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21"/>
          <w:szCs w:val="21"/>
          <w:b w:val="1"/>
          <w:bCs w:val="1"/>
          <w:color w:val="auto"/>
        </w:rPr>
        <w:t>Date of Report (Date of earliest event reported): November 20,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241300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Arvinas,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080"/>
        <w:spacing w:after="0"/>
        <w:rPr>
          <w:sz w:val="20"/>
          <w:szCs w:val="20"/>
          <w:color w:val="auto"/>
        </w:rPr>
      </w:pPr>
      <w:r>
        <w:rPr>
          <w:rFonts w:ascii="Arial" w:cs="Arial" w:eastAsia="Arial" w:hAnsi="Arial"/>
          <w:sz w:val="16"/>
          <w:szCs w:val="16"/>
          <w:b w:val="1"/>
          <w:bCs w:val="1"/>
          <w:color w:val="auto"/>
        </w:rPr>
        <w:t>001-38672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47-2566120</w:t>
      </w:r>
    </w:p>
    <w:p>
      <w:pPr>
        <w:spacing w:after="0" w:line="31" w:lineRule="exact"/>
        <w:rPr>
          <w:sz w:val="24"/>
          <w:szCs w:val="24"/>
          <w:color w:val="auto"/>
        </w:rPr>
      </w:pPr>
    </w:p>
    <w:p>
      <w:pPr>
        <w:sectPr>
          <w:pgSz w:w="11900" w:h="16838" w:orient="portrait"/>
          <w:cols w:equalWidth="0" w:num="3">
            <w:col w:w="4520" w:space="720"/>
            <w:col w:w="2860" w:space="720"/>
            <w:col w:w="2220"/>
          </w:cols>
          <w:pgMar w:left="440" w:top="368" w:right="419" w:bottom="1440" w:gutter="0" w:footer="0" w:header="0"/>
          <w:type w:val="continuous"/>
        </w:sectPr>
      </w:pPr>
    </w:p>
    <w:p>
      <w:pPr>
        <w:spacing w:after="0" w:line="12" w:lineRule="exact"/>
        <w:rPr>
          <w:sz w:val="24"/>
          <w:szCs w:val="24"/>
          <w:color w:val="auto"/>
        </w:rPr>
      </w:pPr>
    </w:p>
    <w:p>
      <w:pPr>
        <w:jc w:val="center"/>
        <w:ind w:right="740"/>
        <w:spacing w:after="0"/>
        <w:rPr>
          <w:sz w:val="20"/>
          <w:szCs w:val="20"/>
          <w:color w:val="auto"/>
        </w:rPr>
      </w:pPr>
      <w:r>
        <w:rPr>
          <w:rFonts w:ascii="Arial" w:cs="Arial" w:eastAsia="Arial" w:hAnsi="Arial"/>
          <w:sz w:val="13"/>
          <w:szCs w:val="13"/>
          <w:b w:val="1"/>
          <w:bCs w:val="1"/>
          <w:color w:val="auto"/>
        </w:rPr>
        <w:t>(State or other jurisdiction</w:t>
      </w:r>
    </w:p>
    <w:p>
      <w:pPr>
        <w:jc w:val="center"/>
        <w:ind w:right="7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20"/>
        <w:spacing w:after="0"/>
        <w:rPr>
          <w:sz w:val="20"/>
          <w:szCs w:val="20"/>
          <w:color w:val="auto"/>
        </w:rPr>
      </w:pPr>
      <w:r>
        <w:rPr>
          <w:rFonts w:ascii="Arial" w:cs="Arial" w:eastAsia="Arial" w:hAnsi="Arial"/>
          <w:sz w:val="14"/>
          <w:szCs w:val="14"/>
          <w:b w:val="1"/>
          <w:bCs w:val="1"/>
          <w:color w:val="auto"/>
        </w:rPr>
        <w:t>(IRS Employer</w:t>
      </w:r>
    </w:p>
    <w:p>
      <w:pPr>
        <w:jc w:val="center"/>
        <w:ind w:right="122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500" w:space="720"/>
            <w:col w:w="2760" w:space="720"/>
            <w:col w:w="2340"/>
          </w:cols>
          <w:pgMar w:left="440" w:top="368" w:right="419" w:bottom="1440" w:gutter="0" w:footer="0" w:header="0"/>
          <w:type w:val="continuous"/>
        </w:sectPr>
      </w:pPr>
    </w:p>
    <w:p>
      <w:pPr>
        <w:spacing w:after="0" w:line="33"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5 Science Park</w:t>
      </w:r>
    </w:p>
    <w:p>
      <w:pPr>
        <w:spacing w:after="0" w:line="27"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395 Winchester Ave.</w:t>
      </w:r>
    </w:p>
    <w:p>
      <w:pPr>
        <w:spacing w:after="0" w:line="9" w:lineRule="exact"/>
        <w:rPr>
          <w:sz w:val="24"/>
          <w:szCs w:val="24"/>
          <w:color w:val="auto"/>
        </w:rPr>
      </w:pPr>
    </w:p>
    <w:p>
      <w:pPr>
        <w:jc w:val="center"/>
        <w:ind w:right="1840"/>
        <w:spacing w:after="0"/>
        <w:rPr>
          <w:sz w:val="20"/>
          <w:szCs w:val="20"/>
          <w:color w:val="auto"/>
        </w:rPr>
      </w:pPr>
      <w:r>
        <w:rPr>
          <w:rFonts w:ascii="Arial" w:cs="Arial" w:eastAsia="Arial" w:hAnsi="Arial"/>
          <w:sz w:val="16"/>
          <w:szCs w:val="16"/>
          <w:b w:val="1"/>
          <w:bCs w:val="1"/>
          <w:color w:val="auto"/>
        </w:rPr>
        <w:t>New Haven, Connecticut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8"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06511</w:t>
      </w:r>
    </w:p>
    <w:p>
      <w:pPr>
        <w:spacing w:after="0" w:line="62" w:lineRule="exact"/>
        <w:rPr>
          <w:sz w:val="24"/>
          <w:szCs w:val="24"/>
          <w:color w:val="auto"/>
        </w:rPr>
      </w:pPr>
    </w:p>
    <w:p>
      <w:pPr>
        <w:sectPr>
          <w:pgSz w:w="11900" w:h="16838" w:orient="portrait"/>
          <w:cols w:equalWidth="0" w:num="2">
            <w:col w:w="7420" w:space="720"/>
            <w:col w:w="2900"/>
          </w:cols>
          <w:pgMar w:left="440" w:top="368" w:right="419" w:bottom="1440" w:gutter="0" w:footer="0" w:header="0"/>
          <w:type w:val="continuous"/>
        </w:sectPr>
      </w:pPr>
    </w:p>
    <w:p>
      <w:pPr>
        <w:ind w:left="160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300" w:space="720"/>
            <w:col w:w="3020"/>
          </w:cols>
          <w:pgMar w:left="440" w:top="368" w:right="419" w:bottom="1440" w:gutter="0" w:footer="0" w:header="0"/>
          <w:type w:val="continuous"/>
        </w:sect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including area code: (203) 535-1456</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227965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Trading</w:t>
            </w:r>
          </w:p>
        </w:tc>
        <w:tc>
          <w:tcPr>
            <w:tcW w:w="3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Symbol(s)</w:t>
            </w:r>
          </w:p>
        </w:tc>
        <w:tc>
          <w:tcPr>
            <w:tcW w:w="3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ARVN</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The Nasdaq Stock Market LLC</w:t>
            </w:r>
          </w:p>
        </w:tc>
        <w:tc>
          <w:tcPr>
            <w:tcW w:w="0" w:type="dxa"/>
            <w:vAlign w:val="bottom"/>
          </w:tcPr>
          <w:p>
            <w:pPr>
              <w:spacing w:after="0"/>
              <w:rPr>
                <w:sz w:val="1"/>
                <w:szCs w:val="1"/>
                <w:color w:val="auto"/>
              </w:rPr>
            </w:pPr>
          </w:p>
        </w:tc>
      </w:tr>
    </w:tbl>
    <w:p>
      <w:pPr>
        <w:spacing w:after="0" w:line="187"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ind w:left="850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type w:val="continuous"/>
        </w:sectPr>
      </w:pPr>
    </w:p>
    <w:bookmarkStart w:id="1" w:name="page2"/>
    <w:bookmarkEnd w:id="1"/>
    <w:p>
      <w:pPr>
        <w:ind w:left="1100" w:right="1060" w:hanging="1093"/>
        <w:spacing w:after="0" w:line="282" w:lineRule="auto"/>
        <w:tabs>
          <w:tab w:leader="none" w:pos="10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On November 20, 2019, the Board of Directors (the “Board”) of Arvinas, Inc. (the “Company”) elected Laurie Smaldone Alsup, M.D. as a director of the Company, effective immediately. Dr. Alsup was appointed as a Class I director and will serve in accordance with the Amended and Restated Bylaws of the Company until the 2022 annual meeting of stockholders and thereafter until her successor is duly elected and qualified or until her earlier death, resignation or removal. Dr. Alsup was also appointed to serve on the Compensation Committee of the Board. Following Dr. Alsup’s appointment, the Compensation Committee is now comprised of Dr. Alsup, Liam Ratcliffe, M.D., Ph.D., and Timothy Shannon, M.D. (Chair).</w:t>
      </w:r>
    </w:p>
    <w:p>
      <w:pPr>
        <w:spacing w:after="0" w:line="15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accordance with the Company’s director compensation program (the “Program”), Dr. Alsup will receive (i) annual cash compensation of $35,000 for her service as a director, (ii) additional annual cash compensation of $5,000 as a member of the Compensation Committee and (iii) reimbursement for reasonable travel and other expenses incurred in connection with attending meetings of the Board and committees thereof. In addition, in accordance with the Program, Dr. Alsup was granted a stock option to purchase up to 25,846 shares of the Company’s common stock at a per share exercise price of $34.07, which was the closing price of the Company’s common stock on November 20, 2019, the date of grant. The option will vest monthly in equal amounts over a three-year period following the date of grant, subject to continued service with the Company.</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0" w:right="47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ARVINAS, INC.</w:t>
      </w:r>
    </w:p>
    <w:p>
      <w:pPr>
        <w:spacing w:after="0" w:line="229" w:lineRule="exact"/>
        <w:rPr>
          <w:sz w:val="20"/>
          <w:szCs w:val="20"/>
          <w:color w:val="auto"/>
        </w:rPr>
      </w:pPr>
    </w:p>
    <w:p>
      <w:pPr>
        <w:spacing w:after="0"/>
        <w:tabs>
          <w:tab w:leader="none" w:pos="5620" w:val="left"/>
          <w:tab w:leader="none" w:pos="6040" w:val="left"/>
        </w:tabs>
        <w:rPr>
          <w:sz w:val="20"/>
          <w:szCs w:val="20"/>
          <w:color w:val="auto"/>
        </w:rPr>
      </w:pPr>
      <w:r>
        <w:rPr>
          <w:rFonts w:ascii="Arial" w:cs="Arial" w:eastAsia="Arial" w:hAnsi="Arial"/>
          <w:sz w:val="18"/>
          <w:szCs w:val="18"/>
          <w:color w:val="auto"/>
        </w:rPr>
        <w:t>Date: November 21,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Sean Cassidy</w:t>
      </w:r>
    </w:p>
    <w:p>
      <w:pPr>
        <w:spacing w:after="0" w:line="3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Sean Cassidy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-130175</wp:posOffset>
            </wp:positionV>
            <wp:extent cx="31470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Chief Financial Officer</w:t>
      </w:r>
    </w:p>
    <w:p>
      <w:pPr>
        <w:spacing w:after="0" w:line="14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w:t>
      </w:r>
    </w:p>
    <w:sectPr>
      <w:pgSz w:w="11900" w:h="16838" w:orient="portrait"/>
      <w:cols w:equalWidth="0" w:num="1">
        <w:col w:w="10720"/>
      </w:cols>
      <w:pgMar w:left="440" w:top="270"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2019-11-28T02:18:00Z</dcterms:created>
  <dcterms:modified xsi:type="dcterms:W3CDTF">2019-11-28T02:18:00Z</dcterms:modified>
</cp:coreProperties>
</file>