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323215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340360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2" w:lineRule="exact"/>
        <w:rPr>
          <w:sz w:val="24"/>
          <w:szCs w:val="24"/>
          <w:color w:val="auto"/>
        </w:rPr>
      </w:pPr>
    </w:p>
    <w:p>
      <w:pPr>
        <w:ind w:left="5040"/>
        <w:spacing w:after="0"/>
        <w:rPr>
          <w:sz w:val="20"/>
          <w:szCs w:val="20"/>
          <w:color w:val="auto"/>
        </w:rPr>
      </w:pPr>
      <w:r>
        <w:rPr>
          <w:rFonts w:ascii="Arial" w:cs="Arial" w:eastAsia="Arial" w:hAnsi="Arial"/>
          <w:sz w:val="12"/>
          <w:szCs w:val="12"/>
          <w:color w:val="auto"/>
        </w:rPr>
        <w:t>__________________</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6" w:lineRule="exact"/>
        <w:rPr>
          <w:sz w:val="24"/>
          <w:szCs w:val="24"/>
          <w:color w:val="auto"/>
        </w:rPr>
      </w:pPr>
    </w:p>
    <w:p>
      <w:pPr>
        <w:ind w:left="5040"/>
        <w:spacing w:after="0"/>
        <w:rPr>
          <w:sz w:val="20"/>
          <w:szCs w:val="20"/>
          <w:color w:val="auto"/>
        </w:rPr>
      </w:pPr>
      <w:r>
        <w:rPr>
          <w:rFonts w:ascii="Arial" w:cs="Arial" w:eastAsia="Arial" w:hAnsi="Arial"/>
          <w:sz w:val="12"/>
          <w:szCs w:val="12"/>
          <w:color w:val="auto"/>
        </w:rPr>
        <w:t>__________________</w:t>
      </w:r>
    </w:p>
    <w:p>
      <w:pPr>
        <w:spacing w:after="0" w:line="114" w:lineRule="exact"/>
        <w:rPr>
          <w:sz w:val="24"/>
          <w:szCs w:val="24"/>
          <w:color w:val="auto"/>
        </w:rPr>
      </w:pPr>
    </w:p>
    <w:p>
      <w:pPr>
        <w:ind w:left="4980"/>
        <w:spacing w:after="0"/>
        <w:rPr>
          <w:sz w:val="20"/>
          <w:szCs w:val="20"/>
          <w:color w:val="auto"/>
        </w:rPr>
      </w:pPr>
      <w:r>
        <w:rPr>
          <w:rFonts w:ascii="Arial" w:cs="Arial" w:eastAsia="Arial" w:hAnsi="Arial"/>
          <w:sz w:val="14"/>
          <w:szCs w:val="14"/>
          <w:b w:val="1"/>
          <w:bCs w:val="1"/>
          <w:color w:val="auto"/>
        </w:rPr>
        <w:t>CURRENT REPORT</w:t>
      </w:r>
    </w:p>
    <w:p>
      <w:pPr>
        <w:spacing w:after="0" w:line="25" w:lineRule="exact"/>
        <w:rPr>
          <w:sz w:val="24"/>
          <w:szCs w:val="24"/>
          <w:color w:val="auto"/>
        </w:rPr>
      </w:pPr>
    </w:p>
    <w:p>
      <w:pPr>
        <w:ind w:left="4680"/>
        <w:spacing w:after="0"/>
        <w:rPr>
          <w:sz w:val="20"/>
          <w:szCs w:val="20"/>
          <w:color w:val="auto"/>
        </w:rPr>
      </w:pPr>
      <w:r>
        <w:rPr>
          <w:rFonts w:ascii="Arial" w:cs="Arial" w:eastAsia="Arial" w:hAnsi="Arial"/>
          <w:sz w:val="14"/>
          <w:szCs w:val="14"/>
          <w:b w:val="1"/>
          <w:bCs w:val="1"/>
          <w:color w:val="auto"/>
        </w:rPr>
        <w:t>Pursuant to Section 13 or 15(d)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November 21, 2022</w:t>
      </w:r>
    </w:p>
    <w:p>
      <w:pPr>
        <w:spacing w:after="0" w:line="19" w:lineRule="exact"/>
        <w:rPr>
          <w:sz w:val="24"/>
          <w:szCs w:val="24"/>
          <w:color w:val="auto"/>
        </w:rPr>
      </w:pPr>
    </w:p>
    <w:p>
      <w:pPr>
        <w:ind w:left="5040"/>
        <w:spacing w:after="0"/>
        <w:rPr>
          <w:sz w:val="20"/>
          <w:szCs w:val="20"/>
          <w:color w:val="auto"/>
        </w:rPr>
      </w:pPr>
      <w:r>
        <w:rPr>
          <w:rFonts w:ascii="Arial" w:cs="Arial" w:eastAsia="Arial" w:hAnsi="Arial"/>
          <w:sz w:val="12"/>
          <w:szCs w:val="12"/>
          <w:color w:val="auto"/>
        </w:rPr>
        <w:t>__________________</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Arvinas,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4" w:lineRule="exact"/>
        <w:rPr>
          <w:sz w:val="24"/>
          <w:szCs w:val="24"/>
          <w:color w:val="auto"/>
        </w:rPr>
      </w:pPr>
    </w:p>
    <w:p>
      <w:pPr>
        <w:ind w:left="5040"/>
        <w:spacing w:after="0"/>
        <w:rPr>
          <w:sz w:val="20"/>
          <w:szCs w:val="20"/>
          <w:color w:val="auto"/>
        </w:rPr>
      </w:pPr>
      <w:r>
        <w:rPr>
          <w:rFonts w:ascii="Arial" w:cs="Arial" w:eastAsia="Arial" w:hAnsi="Arial"/>
          <w:sz w:val="12"/>
          <w:szCs w:val="12"/>
          <w:color w:val="auto"/>
        </w:rPr>
        <w:t>__________________</w:t>
      </w:r>
    </w:p>
    <w:p>
      <w:pPr>
        <w:sectPr>
          <w:pgSz w:w="11900" w:h="16838" w:orient="portrait"/>
          <w:cols w:equalWidth="0" w:num="1">
            <w:col w:w="11280"/>
          </w:cols>
          <w:pgMar w:left="300" w:top="598" w:right="319" w:bottom="1440" w:gutter="0" w:footer="0" w:header="0"/>
        </w:sectPr>
      </w:pPr>
    </w:p>
    <w:p>
      <w:pPr>
        <w:spacing w:after="0" w:line="156" w:lineRule="exact"/>
        <w:rPr>
          <w:sz w:val="24"/>
          <w:szCs w:val="24"/>
          <w:color w:val="auto"/>
        </w:rPr>
      </w:pPr>
    </w:p>
    <w:p>
      <w:pPr>
        <w:ind w:left="164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jc w:val="center"/>
        <w:ind w:right="2480"/>
        <w:spacing w:after="0"/>
        <w:rPr>
          <w:sz w:val="20"/>
          <w:szCs w:val="20"/>
          <w:color w:val="auto"/>
        </w:rPr>
      </w:pPr>
      <w:r>
        <w:rPr>
          <w:rFonts w:ascii="Arial" w:cs="Arial" w:eastAsia="Arial" w:hAnsi="Arial"/>
          <w:sz w:val="10"/>
          <w:szCs w:val="10"/>
          <w:b w:val="1"/>
          <w:bCs w:val="1"/>
          <w:color w:val="auto"/>
        </w:rPr>
        <w:t>001-38672</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47-2566120</w:t>
      </w:r>
    </w:p>
    <w:p>
      <w:pPr>
        <w:spacing w:after="0" w:line="30" w:lineRule="exact"/>
        <w:rPr>
          <w:sz w:val="24"/>
          <w:szCs w:val="24"/>
          <w:color w:val="auto"/>
        </w:rPr>
      </w:pPr>
    </w:p>
    <w:p>
      <w:pPr>
        <w:sectPr>
          <w:pgSz w:w="11900" w:h="16838" w:orient="portrait"/>
          <w:cols w:equalWidth="0" w:num="3">
            <w:col w:w="4680" w:space="720"/>
            <w:col w:w="3000" w:space="720"/>
            <w:col w:w="2160"/>
          </w:cols>
          <w:pgMar w:left="300" w:top="598" w:right="319" w:bottom="1440" w:gutter="0" w:footer="0" w:header="0"/>
          <w:type w:val="continuous"/>
        </w:sectPr>
      </w:pPr>
    </w:p>
    <w:p>
      <w:pPr>
        <w:spacing w:after="0" w:line="15" w:lineRule="exact"/>
        <w:rPr>
          <w:sz w:val="24"/>
          <w:szCs w:val="24"/>
          <w:color w:val="auto"/>
        </w:rPr>
      </w:pPr>
    </w:p>
    <w:p>
      <w:pPr>
        <w:jc w:val="center"/>
        <w:ind w:right="900"/>
        <w:spacing w:after="0"/>
        <w:rPr>
          <w:sz w:val="20"/>
          <w:szCs w:val="20"/>
          <w:color w:val="auto"/>
        </w:rPr>
      </w:pPr>
      <w:r>
        <w:rPr>
          <w:rFonts w:ascii="Arial" w:cs="Arial" w:eastAsia="Arial" w:hAnsi="Arial"/>
          <w:sz w:val="8"/>
          <w:szCs w:val="8"/>
          <w:b w:val="1"/>
          <w:bCs w:val="1"/>
          <w:color w:val="auto"/>
        </w:rPr>
        <w:t>(State or other jurisdiction</w:t>
      </w:r>
    </w:p>
    <w:p>
      <w:pPr>
        <w:spacing w:after="0" w:line="6" w:lineRule="exact"/>
        <w:rPr>
          <w:sz w:val="24"/>
          <w:szCs w:val="24"/>
          <w:color w:val="auto"/>
        </w:rPr>
      </w:pPr>
    </w:p>
    <w:p>
      <w:pPr>
        <w:jc w:val="center"/>
        <w:ind w:right="90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7"/>
          <w:szCs w:val="7"/>
          <w:b w:val="1"/>
          <w:bCs w:val="1"/>
          <w:color w:val="auto"/>
        </w:rPr>
        <w:t>(Commission</w:t>
      </w:r>
    </w:p>
    <w:p>
      <w:pPr>
        <w:spacing w:after="0" w:line="20"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File Number)</w:t>
      </w:r>
    </w:p>
    <w:p>
      <w:pPr>
        <w:spacing w:after="0" w:line="20" w:lineRule="exact"/>
        <w:rPr>
          <w:sz w:val="24"/>
          <w:szCs w:val="24"/>
          <w:color w:val="auto"/>
        </w:rPr>
      </w:pPr>
      <w:r>
        <w:rPr>
          <w:sz w:val="24"/>
          <w:szCs w:val="24"/>
          <w:color w:val="auto"/>
        </w:rPr>
        <w:br w:type="column"/>
      </w:r>
    </w:p>
    <w:p>
      <w:pPr>
        <w:jc w:val="center"/>
        <w:ind w:right="1480"/>
        <w:spacing w:after="0"/>
        <w:rPr>
          <w:sz w:val="20"/>
          <w:szCs w:val="20"/>
          <w:color w:val="auto"/>
        </w:rPr>
      </w:pPr>
      <w:r>
        <w:rPr>
          <w:rFonts w:ascii="Arial" w:cs="Arial" w:eastAsia="Arial" w:hAnsi="Arial"/>
          <w:sz w:val="10"/>
          <w:szCs w:val="10"/>
          <w:b w:val="1"/>
          <w:bCs w:val="1"/>
          <w:color w:val="auto"/>
        </w:rPr>
        <w:t>(IRS Employer</w:t>
      </w:r>
    </w:p>
    <w:p>
      <w:pPr>
        <w:jc w:val="center"/>
        <w:ind w:right="1480"/>
        <w:spacing w:after="0"/>
        <w:rPr>
          <w:sz w:val="20"/>
          <w:szCs w:val="20"/>
          <w:color w:val="auto"/>
        </w:rPr>
      </w:pPr>
      <w:r>
        <w:rPr>
          <w:rFonts w:ascii="Arial" w:cs="Arial" w:eastAsia="Arial" w:hAnsi="Arial"/>
          <w:sz w:val="8"/>
          <w:szCs w:val="8"/>
          <w:b w:val="1"/>
          <w:bCs w:val="1"/>
          <w:color w:val="auto"/>
        </w:rPr>
        <w:t>Identification No.)</w:t>
      </w:r>
    </w:p>
    <w:p>
      <w:pPr>
        <w:spacing w:after="0" w:line="221" w:lineRule="exact"/>
        <w:rPr>
          <w:sz w:val="24"/>
          <w:szCs w:val="24"/>
          <w:color w:val="auto"/>
        </w:rPr>
      </w:pPr>
    </w:p>
    <w:p>
      <w:pPr>
        <w:sectPr>
          <w:pgSz w:w="11900" w:h="16838" w:orient="portrait"/>
          <w:cols w:equalWidth="0" w:num="3">
            <w:col w:w="4660" w:space="720"/>
            <w:col w:w="2940" w:space="720"/>
            <w:col w:w="2240"/>
          </w:cols>
          <w:pgMar w:left="300" w:top="598" w:right="319" w:bottom="1440" w:gutter="0" w:footer="0" w:header="0"/>
          <w:type w:val="continuous"/>
        </w:sectPr>
      </w:pPr>
    </w:p>
    <w:p>
      <w:pPr>
        <w:spacing w:after="0" w:line="20" w:lineRule="exact"/>
        <w:rPr>
          <w:sz w:val="24"/>
          <w:szCs w:val="24"/>
          <w:color w:val="auto"/>
        </w:rPr>
      </w:pPr>
    </w:p>
    <w:p>
      <w:pPr>
        <w:jc w:val="center"/>
        <w:ind w:right="1960"/>
        <w:spacing w:after="0"/>
        <w:rPr>
          <w:sz w:val="20"/>
          <w:szCs w:val="20"/>
          <w:color w:val="auto"/>
        </w:rPr>
      </w:pPr>
      <w:r>
        <w:rPr>
          <w:rFonts w:ascii="Arial" w:cs="Arial" w:eastAsia="Arial" w:hAnsi="Arial"/>
          <w:sz w:val="12"/>
          <w:szCs w:val="12"/>
          <w:b w:val="1"/>
          <w:bCs w:val="1"/>
          <w:color w:val="auto"/>
        </w:rPr>
        <w:t>5 Science Park</w:t>
      </w:r>
    </w:p>
    <w:p>
      <w:pPr>
        <w:spacing w:after="0" w:line="8" w:lineRule="exact"/>
        <w:rPr>
          <w:sz w:val="24"/>
          <w:szCs w:val="24"/>
          <w:color w:val="auto"/>
        </w:rPr>
      </w:pPr>
    </w:p>
    <w:p>
      <w:pPr>
        <w:jc w:val="center"/>
        <w:ind w:right="1960"/>
        <w:spacing w:after="0"/>
        <w:rPr>
          <w:sz w:val="20"/>
          <w:szCs w:val="20"/>
          <w:color w:val="auto"/>
        </w:rPr>
      </w:pPr>
      <w:r>
        <w:rPr>
          <w:rFonts w:ascii="Arial" w:cs="Arial" w:eastAsia="Arial" w:hAnsi="Arial"/>
          <w:sz w:val="12"/>
          <w:szCs w:val="12"/>
          <w:b w:val="1"/>
          <w:bCs w:val="1"/>
          <w:color w:val="auto"/>
        </w:rPr>
        <w:t>395 Winchester Ave.</w:t>
      </w:r>
    </w:p>
    <w:p>
      <w:pPr>
        <w:jc w:val="center"/>
        <w:ind w:right="1960"/>
        <w:spacing w:after="0"/>
        <w:rPr>
          <w:sz w:val="20"/>
          <w:szCs w:val="20"/>
          <w:color w:val="auto"/>
        </w:rPr>
      </w:pPr>
      <w:r>
        <w:rPr>
          <w:rFonts w:ascii="Arial" w:cs="Arial" w:eastAsia="Arial" w:hAnsi="Arial"/>
          <w:sz w:val="10"/>
          <w:szCs w:val="10"/>
          <w:b w:val="1"/>
          <w:bCs w:val="1"/>
          <w:color w:val="auto"/>
        </w:rPr>
        <w:t>New Haven, Connecticut</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06511</w:t>
      </w:r>
    </w:p>
    <w:p>
      <w:pPr>
        <w:spacing w:after="0" w:line="54" w:lineRule="exact"/>
        <w:rPr>
          <w:sz w:val="24"/>
          <w:szCs w:val="24"/>
          <w:color w:val="auto"/>
        </w:rPr>
      </w:pPr>
    </w:p>
    <w:p>
      <w:pPr>
        <w:sectPr>
          <w:pgSz w:w="11900" w:h="16838" w:orient="portrait"/>
          <w:cols w:equalWidth="0" w:num="2">
            <w:col w:w="7600" w:space="720"/>
            <w:col w:w="2960"/>
          </w:cols>
          <w:pgMar w:left="300" w:top="598" w:right="319" w:bottom="1440" w:gutter="0" w:footer="0" w:header="0"/>
          <w:type w:val="continuous"/>
        </w:sectPr>
      </w:pPr>
    </w:p>
    <w:p>
      <w:pPr>
        <w:ind w:left="2020"/>
        <w:spacing w:after="0"/>
        <w:rPr>
          <w:sz w:val="20"/>
          <w:szCs w:val="20"/>
          <w:color w:val="auto"/>
        </w:rPr>
      </w:pPr>
      <w:r>
        <w:rPr>
          <w:rFonts w:ascii="Arial" w:cs="Arial" w:eastAsia="Arial" w:hAnsi="Arial"/>
          <w:sz w:val="8"/>
          <w:szCs w:val="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b w:val="1"/>
          <w:bCs w:val="1"/>
          <w:color w:val="auto"/>
        </w:rPr>
        <w:t>(Zip Code)</w:t>
      </w:r>
    </w:p>
    <w:p>
      <w:pPr>
        <w:spacing w:after="0" w:line="200" w:lineRule="exact"/>
        <w:rPr>
          <w:sz w:val="24"/>
          <w:szCs w:val="24"/>
          <w:color w:val="auto"/>
        </w:rPr>
      </w:pPr>
    </w:p>
    <w:p>
      <w:pPr>
        <w:sectPr>
          <w:pgSz w:w="11900" w:h="16838" w:orient="portrait"/>
          <w:cols w:equalWidth="0" w:num="2">
            <w:col w:w="7520" w:space="720"/>
            <w:col w:w="3040"/>
          </w:cols>
          <w:pgMar w:left="300" w:top="598" w:right="319" w:bottom="1440" w:gutter="0" w:footer="0" w:header="0"/>
          <w:type w:val="continuous"/>
        </w:sectPr>
      </w:pPr>
    </w:p>
    <w:p>
      <w:pPr>
        <w:spacing w:after="0" w:line="16"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Registrant’s telephone number, including area code: (203) 535-1456</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Not applicable</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7" w:lineRule="exact"/>
        <w:rPr>
          <w:sz w:val="24"/>
          <w:szCs w:val="24"/>
          <w:color w:val="auto"/>
        </w:rPr>
      </w:pPr>
    </w:p>
    <w:p>
      <w:pPr>
        <w:ind w:left="5040"/>
        <w:spacing w:after="0"/>
        <w:rPr>
          <w:sz w:val="20"/>
          <w:szCs w:val="20"/>
          <w:color w:val="auto"/>
        </w:rPr>
      </w:pPr>
      <w:r>
        <w:rPr>
          <w:rFonts w:ascii="Arial" w:cs="Arial" w:eastAsia="Arial" w:hAnsi="Arial"/>
          <w:sz w:val="12"/>
          <w:szCs w:val="12"/>
          <w:color w:val="auto"/>
        </w:rPr>
        <w:t>__________________</w:t>
      </w:r>
    </w:p>
    <w:p>
      <w:pPr>
        <w:sectPr>
          <w:pgSz w:w="11900" w:h="16838" w:orient="portrait"/>
          <w:cols w:equalWidth="0" w:num="1">
            <w:col w:w="11280"/>
          </w:cols>
          <w:pgMar w:left="300" w:top="598" w:right="319" w:bottom="1440" w:gutter="0" w:footer="0" w:header="0"/>
          <w:type w:val="continuous"/>
        </w:sectPr>
      </w:pPr>
    </w:p>
    <w:p>
      <w:pPr>
        <w:spacing w:after="0" w:line="61"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General Instruction A.2. below):</w:t>
      </w:r>
    </w:p>
    <w:p>
      <w:pPr>
        <w:spacing w:after="0" w:line="150" w:lineRule="exact"/>
        <w:rPr>
          <w:sz w:val="24"/>
          <w:szCs w:val="24"/>
          <w:color w:val="auto"/>
        </w:rPr>
      </w:pPr>
    </w:p>
    <w:p>
      <w:pPr>
        <w:ind w:left="460" w:hanging="456"/>
        <w:spacing w:after="0"/>
        <w:tabs>
          <w:tab w:leader="none" w:pos="460" w:val="left"/>
        </w:tabs>
        <w:numPr>
          <w:ilvl w:val="0"/>
          <w:numId w:val="1"/>
        </w:numPr>
        <w:rPr>
          <w:rFonts w:ascii="Arial" w:cs="Arial" w:eastAsia="Arial" w:hAnsi="Arial"/>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51" w:lineRule="exact"/>
        <w:rPr>
          <w:rFonts w:ascii="Arial" w:cs="Arial" w:eastAsia="Arial" w:hAnsi="Arial"/>
          <w:sz w:val="12"/>
          <w:szCs w:val="12"/>
          <w:color w:val="auto"/>
        </w:rPr>
      </w:pPr>
    </w:p>
    <w:p>
      <w:pPr>
        <w:ind w:left="460" w:hanging="456"/>
        <w:spacing w:after="0"/>
        <w:tabs>
          <w:tab w:leader="none" w:pos="460" w:val="left"/>
        </w:tabs>
        <w:numPr>
          <w:ilvl w:val="0"/>
          <w:numId w:val="1"/>
        </w:numPr>
        <w:rPr>
          <w:rFonts w:ascii="Arial" w:cs="Arial" w:eastAsia="Arial" w:hAnsi="Arial"/>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78" w:lineRule="exact"/>
        <w:rPr>
          <w:rFonts w:ascii="Arial" w:cs="Arial" w:eastAsia="Arial" w:hAnsi="Arial"/>
          <w:sz w:val="12"/>
          <w:szCs w:val="12"/>
          <w:color w:val="auto"/>
        </w:rPr>
      </w:pPr>
    </w:p>
    <w:p>
      <w:pPr>
        <w:ind w:left="460" w:hanging="456"/>
        <w:spacing w:after="0"/>
        <w:tabs>
          <w:tab w:leader="none" w:pos="460" w:val="left"/>
        </w:tabs>
        <w:numPr>
          <w:ilvl w:val="0"/>
          <w:numId w:val="1"/>
        </w:numPr>
        <w:rPr>
          <w:rFonts w:ascii="Arial" w:cs="Arial" w:eastAsia="Arial" w:hAnsi="Arial"/>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78" w:lineRule="exact"/>
        <w:rPr>
          <w:rFonts w:ascii="Arial" w:cs="Arial" w:eastAsia="Arial" w:hAnsi="Arial"/>
          <w:sz w:val="12"/>
          <w:szCs w:val="12"/>
          <w:color w:val="auto"/>
        </w:rPr>
      </w:pPr>
    </w:p>
    <w:p>
      <w:pPr>
        <w:ind w:left="460" w:hanging="456"/>
        <w:spacing w:after="0"/>
        <w:tabs>
          <w:tab w:leader="none" w:pos="460" w:val="left"/>
        </w:tabs>
        <w:numPr>
          <w:ilvl w:val="0"/>
          <w:numId w:val="1"/>
        </w:numPr>
        <w:rPr>
          <w:rFonts w:ascii="Arial" w:cs="Arial" w:eastAsia="Arial" w:hAnsi="Arial"/>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32" w:lineRule="exact"/>
        <w:rPr>
          <w:sz w:val="24"/>
          <w:szCs w:val="24"/>
          <w:color w:val="auto"/>
        </w:rPr>
      </w:pPr>
    </w:p>
    <w:p>
      <w:pPr>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117"/>
        </w:trPr>
        <w:tc>
          <w:tcPr>
            <w:tcW w:w="4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7"/>
              </w:rPr>
              <w:t>Trading</w:t>
            </w:r>
          </w:p>
        </w:tc>
        <w:tc>
          <w:tcPr>
            <w:tcW w:w="450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50"/>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3"/>
              </w:rPr>
              <w:t>Title of each class</w:t>
            </w:r>
          </w:p>
        </w:tc>
        <w:tc>
          <w:tcPr>
            <w:tcW w:w="80" w:type="dxa"/>
            <w:vAlign w:val="bottom"/>
          </w:tcPr>
          <w:p>
            <w:pPr>
              <w:spacing w:after="0"/>
              <w:rPr>
                <w:sz w:val="13"/>
                <w:szCs w:val="13"/>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Symbol(s)</w:t>
            </w:r>
          </w:p>
        </w:tc>
        <w:tc>
          <w:tcPr>
            <w:tcW w:w="80" w:type="dxa"/>
            <w:vAlign w:val="bottom"/>
          </w:tcPr>
          <w:p>
            <w:pPr>
              <w:spacing w:after="0"/>
              <w:rPr>
                <w:sz w:val="13"/>
                <w:szCs w:val="13"/>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60"/>
        </w:trPr>
        <w:tc>
          <w:tcPr>
            <w:tcW w:w="456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9"/>
              </w:rPr>
              <w:t>Common stock, par value $0.001 per share</w:t>
            </w:r>
          </w:p>
        </w:tc>
        <w:tc>
          <w:tcPr>
            <w:tcW w:w="22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9"/>
              </w:rPr>
              <w:t>ARVN</w:t>
            </w:r>
          </w:p>
        </w:tc>
        <w:tc>
          <w:tcPr>
            <w:tcW w:w="4500" w:type="dxa"/>
            <w:vAlign w:val="bottom"/>
          </w:tcPr>
          <w:p>
            <w:pPr>
              <w:jc w:val="center"/>
              <w:spacing w:after="0"/>
              <w:rPr>
                <w:sz w:val="20"/>
                <w:szCs w:val="20"/>
                <w:color w:val="auto"/>
              </w:rPr>
            </w:pPr>
            <w:r>
              <w:rPr>
                <w:rFonts w:ascii="Arial" w:cs="Arial" w:eastAsia="Arial" w:hAnsi="Arial"/>
                <w:sz w:val="12"/>
                <w:szCs w:val="12"/>
                <w:b w:val="1"/>
                <w:bCs w:val="1"/>
                <w:color w:val="auto"/>
                <w:w w:val="94"/>
              </w:rPr>
              <w:t>The Nasdaq Stock Market LLC</w:t>
            </w:r>
          </w:p>
        </w:tc>
      </w:tr>
    </w:tbl>
    <w:p>
      <w:pPr>
        <w:spacing w:after="0" w:line="180" w:lineRule="exact"/>
        <w:rPr>
          <w:sz w:val="24"/>
          <w:szCs w:val="24"/>
          <w:color w:val="auto"/>
        </w:rPr>
      </w:pPr>
    </w:p>
    <w:p>
      <w:pPr>
        <w:ind w:right="16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rPr>
          <w:sz w:val="20"/>
          <w:szCs w:val="20"/>
          <w:color w:val="auto"/>
        </w:rPr>
      </w:pPr>
      <w:r>
        <w:rPr>
          <w:rFonts w:ascii="Arial" w:cs="Arial" w:eastAsia="Arial" w:hAnsi="Arial"/>
          <w:sz w:val="12"/>
          <w:szCs w:val="12"/>
          <w:color w:val="auto"/>
        </w:rPr>
        <w:t>Emerging growth company o</w:t>
      </w:r>
    </w:p>
    <w:p>
      <w:pPr>
        <w:spacing w:after="0" w:line="132" w:lineRule="exact"/>
        <w:rPr>
          <w:sz w:val="24"/>
          <w:szCs w:val="24"/>
          <w:color w:val="auto"/>
        </w:rPr>
      </w:pPr>
    </w:p>
    <w:p>
      <w:pPr>
        <w:ind w:right="80"/>
        <w:spacing w:after="0" w:line="276" w:lineRule="auto"/>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346075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84455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101600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598" w:right="319" w:bottom="1440" w:gutter="0" w:footer="0" w:header="0"/>
          <w:type w:val="continuous"/>
        </w:sectPr>
      </w:pPr>
    </w:p>
    <w:bookmarkStart w:id="1" w:name="page2"/>
    <w:bookmarkEnd w:id="1"/>
    <w:p>
      <w:pPr>
        <w:spacing w:after="0"/>
        <w:tabs>
          <w:tab w:leader="none" w:pos="110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235" w:lineRule="exact"/>
        <w:rPr>
          <w:sz w:val="20"/>
          <w:szCs w:val="20"/>
          <w:color w:val="auto"/>
        </w:rPr>
      </w:pPr>
    </w:p>
    <w:p>
      <w:pPr>
        <w:ind w:right="360"/>
        <w:spacing w:after="0" w:line="323" w:lineRule="auto"/>
        <w:rPr>
          <w:sz w:val="20"/>
          <w:szCs w:val="20"/>
          <w:color w:val="auto"/>
        </w:rPr>
      </w:pPr>
      <w:r>
        <w:rPr>
          <w:rFonts w:ascii="Arial" w:cs="Arial" w:eastAsia="Arial" w:hAnsi="Arial"/>
          <w:sz w:val="11"/>
          <w:szCs w:val="11"/>
          <w:color w:val="auto"/>
        </w:rPr>
        <w:t>Arvinas, Inc. (the “Company”) today disclosed top-line results from the Phase 2 cohort expansion portion (VERITAC) of a Phase 1/2 clinical trial with ARV-471, a novel investigational PROTAC® estrogen receptor (ER) protein degrader. ARV-471 is being co-developed with Pfizer, Inc. for the treatment of patients with locally advanced or metastatic ER positive / human epidermal growth factor receptor 2 (HER2) negative (ER+/HER2-) breast cancer.</w:t>
      </w:r>
    </w:p>
    <w:p>
      <w:pPr>
        <w:spacing w:after="0" w:line="92" w:lineRule="exact"/>
        <w:rPr>
          <w:sz w:val="20"/>
          <w:szCs w:val="20"/>
          <w:color w:val="auto"/>
        </w:rPr>
      </w:pPr>
    </w:p>
    <w:p>
      <w:pPr>
        <w:ind w:right="40"/>
        <w:spacing w:after="0" w:line="298" w:lineRule="auto"/>
        <w:rPr>
          <w:sz w:val="20"/>
          <w:szCs w:val="20"/>
          <w:color w:val="auto"/>
        </w:rPr>
      </w:pPr>
      <w:r>
        <w:rPr>
          <w:rFonts w:ascii="Arial" w:cs="Arial" w:eastAsia="Arial" w:hAnsi="Arial"/>
          <w:sz w:val="11"/>
          <w:szCs w:val="11"/>
          <w:color w:val="auto"/>
        </w:rPr>
        <w:t>This disclosure was originally planned for December 8, 2022. However, on November 21, 2022, the 2022 San Antonio Breast Cancer Symposium (“SABCS”) incorrectly published for conference participants Arvinas’ and Pfizer’s joint abstract, omitting a key safety data table, and inadvertently released the corresponding full data presentation on the SABCS website. These full data were originally scheduled to be presented in an oral presentation titled “ARV-471, a PROTAC® estrogen receptor (ER) degrader in advanced ER-positive/human epidermal growth factor receptor 2 (HER2)-negative breast cancer: phase 2 expansion (VERITAC) of a phase 1/2 study.”</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A copy of the presentation is attached as Exhibit 99.1 to this Current Report on Form 8-K and is incorporated herein by reference.</w:t>
      </w:r>
    </w:p>
    <w:p>
      <w:pPr>
        <w:spacing w:after="0" w:line="150" w:lineRule="exact"/>
        <w:rPr>
          <w:sz w:val="20"/>
          <w:szCs w:val="20"/>
          <w:color w:val="auto"/>
        </w:rPr>
      </w:pPr>
    </w:p>
    <w:p>
      <w:pPr>
        <w:ind w:right="180"/>
        <w:spacing w:after="0" w:line="323" w:lineRule="auto"/>
        <w:rPr>
          <w:sz w:val="20"/>
          <w:szCs w:val="20"/>
          <w:color w:val="auto"/>
        </w:rPr>
      </w:pPr>
      <w:r>
        <w:rPr>
          <w:rFonts w:ascii="Arial" w:cs="Arial" w:eastAsia="Arial" w:hAnsi="Arial"/>
          <w:sz w:val="11"/>
          <w:szCs w:val="11"/>
          <w:color w:val="auto"/>
        </w:rPr>
        <w:t>The information in this Item 7.01,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080" w:type="dxa"/>
            <w:vAlign w:val="bottom"/>
            <w:gridSpan w:val="2"/>
          </w:tcPr>
          <w:p>
            <w:pPr>
              <w:spacing w:after="0"/>
              <w:rPr>
                <w:sz w:val="20"/>
                <w:szCs w:val="20"/>
                <w:color w:val="auto"/>
              </w:rPr>
            </w:pPr>
            <w:r>
              <w:rPr>
                <w:rFonts w:ascii="Arial" w:cs="Arial" w:eastAsia="Arial" w:hAnsi="Arial"/>
                <w:sz w:val="12"/>
                <w:szCs w:val="12"/>
                <w:b w:val="1"/>
                <w:bCs w:val="1"/>
                <w:color w:val="auto"/>
              </w:rPr>
              <w:t>Item 9.01</w:t>
            </w:r>
          </w:p>
        </w:tc>
        <w:tc>
          <w:tcPr>
            <w:tcW w:w="10220" w:type="dxa"/>
            <w:vAlign w:val="bottom"/>
            <w:gridSpan w:val="3"/>
          </w:tcPr>
          <w:p>
            <w:pPr>
              <w:ind w:left="40"/>
              <w:spacing w:after="0"/>
              <w:rPr>
                <w:sz w:val="20"/>
                <w:szCs w:val="20"/>
                <w:color w:val="auto"/>
              </w:rPr>
            </w:pPr>
            <w:r>
              <w:rPr>
                <w:rFonts w:ascii="Arial" w:cs="Arial" w:eastAsia="Arial" w:hAnsi="Arial"/>
                <w:sz w:val="12"/>
                <w:szCs w:val="12"/>
                <w:b w:val="1"/>
                <w:bCs w:val="1"/>
                <w:color w:val="auto"/>
              </w:rPr>
              <w:t>Financial Statements and Exhibits.</w:t>
            </w:r>
          </w:p>
        </w:tc>
      </w:tr>
      <w:tr>
        <w:trPr>
          <w:trHeight w:val="288"/>
        </w:trPr>
        <w:tc>
          <w:tcPr>
            <w:tcW w:w="1080" w:type="dxa"/>
            <w:vAlign w:val="bottom"/>
            <w:gridSpan w:val="2"/>
          </w:tcPr>
          <w:p>
            <w:pPr>
              <w:spacing w:after="0"/>
              <w:rPr>
                <w:sz w:val="20"/>
                <w:szCs w:val="20"/>
                <w:color w:val="auto"/>
              </w:rPr>
            </w:pPr>
            <w:r>
              <w:rPr>
                <w:rFonts w:ascii="Arial" w:cs="Arial" w:eastAsia="Arial" w:hAnsi="Arial"/>
                <w:sz w:val="12"/>
                <w:szCs w:val="12"/>
                <w:color w:val="auto"/>
              </w:rPr>
              <w:t>(d) Exhibits.</w:t>
            </w:r>
          </w:p>
        </w:tc>
        <w:tc>
          <w:tcPr>
            <w:tcW w:w="240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28"/>
        </w:trPr>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Exhibit No.</w:t>
            </w:r>
          </w:p>
        </w:tc>
        <w:tc>
          <w:tcPr>
            <w:tcW w:w="240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tcPr>
          <w:p>
            <w:pPr>
              <w:ind w:left="2240"/>
              <w:spacing w:after="0"/>
              <w:rPr>
                <w:sz w:val="20"/>
                <w:szCs w:val="20"/>
                <w:color w:val="auto"/>
              </w:rPr>
            </w:pPr>
            <w:r>
              <w:rPr>
                <w:rFonts w:ascii="Arial" w:cs="Arial" w:eastAsia="Arial" w:hAnsi="Arial"/>
                <w:sz w:val="12"/>
                <w:szCs w:val="12"/>
                <w:b w:val="1"/>
                <w:bCs w:val="1"/>
                <w:color w:val="auto"/>
              </w:rPr>
              <w:t>Description</w:t>
            </w:r>
          </w:p>
        </w:tc>
        <w:tc>
          <w:tcPr>
            <w:tcW w:w="360" w:type="dxa"/>
            <w:vAlign w:val="bottom"/>
          </w:tcPr>
          <w:p>
            <w:pPr>
              <w:spacing w:after="0"/>
              <w:rPr>
                <w:sz w:val="24"/>
                <w:szCs w:val="24"/>
                <w:color w:val="auto"/>
              </w:rPr>
            </w:pPr>
          </w:p>
        </w:tc>
      </w:tr>
      <w:tr>
        <w:trPr>
          <w:trHeight w:val="156"/>
        </w:trPr>
        <w:tc>
          <w:tcPr>
            <w:tcW w:w="220" w:type="dxa"/>
            <w:vAlign w:val="bottom"/>
            <w:tcBorders>
              <w:bottom w:val="single" w:sz="8" w:color="0000FF"/>
            </w:tcBorders>
          </w:tcPr>
          <w:p>
            <w:pPr>
              <w:spacing w:after="0"/>
              <w:rPr>
                <w:sz w:val="20"/>
                <w:szCs w:val="20"/>
                <w:color w:val="auto"/>
              </w:rPr>
            </w:pPr>
            <w:r>
              <w:rPr>
                <w:rFonts w:ascii="Arial" w:cs="Arial" w:eastAsia="Arial" w:hAnsi="Arial"/>
                <w:sz w:val="12"/>
                <w:szCs w:val="12"/>
                <w:color w:val="0000FF"/>
                <w:w w:val="85"/>
              </w:rPr>
              <w:t>99.</w:t>
            </w:r>
            <w:r>
              <w:rPr>
                <w:rFonts w:ascii="Arial" w:cs="Arial" w:eastAsia="Arial" w:hAnsi="Arial"/>
                <w:sz w:val="12"/>
                <w:szCs w:val="12"/>
                <w:u w:val="single" w:color="auto"/>
                <w:color w:val="0000FF"/>
                <w:w w:val="85"/>
              </w:rPr>
              <w:t>1</w:t>
            </w:r>
          </w:p>
        </w:tc>
        <w:tc>
          <w:tcPr>
            <w:tcW w:w="860" w:type="dxa"/>
            <w:vAlign w:val="bottom"/>
          </w:tcPr>
          <w:p>
            <w:pPr>
              <w:spacing w:after="0"/>
              <w:rPr>
                <w:sz w:val="13"/>
                <w:szCs w:val="13"/>
                <w:color w:val="auto"/>
              </w:rPr>
            </w:pPr>
          </w:p>
        </w:tc>
        <w:tc>
          <w:tcPr>
            <w:tcW w:w="2400" w:type="dxa"/>
            <w:vAlign w:val="bottom"/>
            <w:tcBorders>
              <w:bottom w:val="single" w:sz="8" w:color="0000FF"/>
            </w:tcBorders>
          </w:tcPr>
          <w:p>
            <w:pPr>
              <w:spacing w:after="0"/>
              <w:rPr>
                <w:sz w:val="20"/>
                <w:szCs w:val="20"/>
                <w:color w:val="auto"/>
              </w:rPr>
            </w:pPr>
            <w:r>
              <w:rPr>
                <w:rFonts w:ascii="Arial" w:cs="Arial" w:eastAsia="Arial" w:hAnsi="Arial"/>
                <w:sz w:val="12"/>
                <w:szCs w:val="12"/>
                <w:color w:val="0000FF"/>
                <w:w w:val="88"/>
              </w:rPr>
              <w:t>Company Presentation, dated November 21, 2022</w:t>
            </w:r>
          </w:p>
        </w:tc>
        <w:tc>
          <w:tcPr>
            <w:tcW w:w="7820" w:type="dxa"/>
            <w:vAlign w:val="bottom"/>
            <w:gridSpan w:val="2"/>
          </w:tcPr>
          <w:p>
            <w:pPr>
              <w:spacing w:after="0"/>
              <w:rPr>
                <w:sz w:val="13"/>
                <w:szCs w:val="13"/>
                <w:color w:val="auto"/>
              </w:rPr>
            </w:pPr>
          </w:p>
        </w:tc>
      </w:tr>
      <w:tr>
        <w:trPr>
          <w:trHeight w:val="214"/>
        </w:trPr>
        <w:tc>
          <w:tcPr>
            <w:tcW w:w="220" w:type="dxa"/>
            <w:vAlign w:val="bottom"/>
          </w:tcPr>
          <w:p>
            <w:pPr>
              <w:spacing w:after="0"/>
              <w:rPr>
                <w:sz w:val="20"/>
                <w:szCs w:val="20"/>
                <w:color w:val="auto"/>
              </w:rPr>
            </w:pPr>
            <w:r>
              <w:rPr>
                <w:rFonts w:ascii="Arial" w:cs="Arial" w:eastAsia="Arial" w:hAnsi="Arial"/>
                <w:sz w:val="12"/>
                <w:szCs w:val="12"/>
                <w:color w:val="auto"/>
                <w:w w:val="99"/>
              </w:rPr>
              <w:t>104</w:t>
            </w:r>
          </w:p>
        </w:tc>
        <w:tc>
          <w:tcPr>
            <w:tcW w:w="860" w:type="dxa"/>
            <w:vAlign w:val="bottom"/>
          </w:tcPr>
          <w:p>
            <w:pPr>
              <w:spacing w:after="0"/>
              <w:rPr>
                <w:sz w:val="18"/>
                <w:szCs w:val="18"/>
                <w:color w:val="auto"/>
              </w:rPr>
            </w:pPr>
          </w:p>
        </w:tc>
        <w:tc>
          <w:tcPr>
            <w:tcW w:w="10220" w:type="dxa"/>
            <w:vAlign w:val="bottom"/>
            <w:gridSpan w:val="3"/>
          </w:tcPr>
          <w:p>
            <w:pPr>
              <w:spacing w:after="0"/>
              <w:rPr>
                <w:sz w:val="20"/>
                <w:szCs w:val="20"/>
                <w:color w:val="auto"/>
              </w:rPr>
            </w:pPr>
            <w:r>
              <w:rPr>
                <w:rFonts w:ascii="Arial" w:cs="Arial" w:eastAsia="Arial" w:hAnsi="Arial"/>
                <w:sz w:val="12"/>
                <w:szCs w:val="12"/>
                <w:color w:val="auto"/>
              </w:rPr>
              <w:t>Cover Page Interactive Data File (formatted as Inline XBRL).</w:t>
            </w:r>
          </w:p>
        </w:tc>
      </w:tr>
      <w:tr>
        <w:trPr>
          <w:trHeight w:val="684"/>
        </w:trPr>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94" w:right="299" w:bottom="1440" w:gutter="0" w:footer="0" w:header="0"/>
        </w:sectPr>
      </w:pPr>
    </w:p>
    <w:bookmarkStart w:id="2" w:name="page3"/>
    <w:bookmarkEnd w:id="2"/>
    <w:p>
      <w:pPr>
        <w:ind w:left="5260"/>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hereunto duly authorized.</w:t>
      </w:r>
    </w:p>
    <w:p>
      <w:pPr>
        <w:spacing w:after="0" w:line="205" w:lineRule="exact"/>
        <w:rPr>
          <w:sz w:val="20"/>
          <w:szCs w:val="20"/>
          <w:color w:val="auto"/>
        </w:rPr>
      </w:pPr>
    </w:p>
    <w:p>
      <w:pPr>
        <w:ind w:left="5420"/>
        <w:spacing w:after="0"/>
        <w:rPr>
          <w:sz w:val="20"/>
          <w:szCs w:val="20"/>
          <w:color w:val="auto"/>
        </w:rPr>
      </w:pPr>
      <w:r>
        <w:rPr>
          <w:rFonts w:ascii="Arial" w:cs="Arial" w:eastAsia="Arial" w:hAnsi="Arial"/>
          <w:sz w:val="12"/>
          <w:szCs w:val="12"/>
          <w:b w:val="1"/>
          <w:bCs w:val="1"/>
          <w:color w:val="auto"/>
        </w:rPr>
        <w:t>ARVINAS, INC.</w:t>
      </w:r>
    </w:p>
    <w:p>
      <w:pPr>
        <w:spacing w:after="0" w:line="217" w:lineRule="exact"/>
        <w:rPr>
          <w:sz w:val="20"/>
          <w:szCs w:val="20"/>
          <w:color w:val="auto"/>
        </w:rPr>
      </w:pPr>
    </w:p>
    <w:p>
      <w:pPr>
        <w:spacing w:after="0"/>
        <w:tabs>
          <w:tab w:leader="none" w:pos="5400" w:val="left"/>
          <w:tab w:leader="none" w:pos="5860" w:val="left"/>
        </w:tabs>
        <w:rPr>
          <w:sz w:val="20"/>
          <w:szCs w:val="20"/>
          <w:color w:val="auto"/>
        </w:rPr>
      </w:pPr>
      <w:r>
        <w:rPr>
          <w:rFonts w:ascii="Arial" w:cs="Arial" w:eastAsia="Arial" w:hAnsi="Arial"/>
          <w:sz w:val="12"/>
          <w:szCs w:val="12"/>
          <w:color w:val="auto"/>
        </w:rPr>
        <w:t>Date: November 21, 2022</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Sean Cassidy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15240</wp:posOffset>
            </wp:positionV>
            <wp:extent cx="343471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34715" cy="5715"/>
                    </a:xfrm>
                    <a:prstGeom prst="rect">
                      <a:avLst/>
                    </a:prstGeom>
                    <a:noFill/>
                  </pic:spPr>
                </pic:pic>
              </a:graphicData>
            </a:graphic>
          </wp:anchor>
        </w:drawing>
      </w:r>
    </w:p>
    <w:p>
      <w:pPr>
        <w:spacing w:after="0" w:line="22"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Sean Cassidy</w:t>
      </w:r>
    </w:p>
    <w:p>
      <w:pPr>
        <w:spacing w:after="0" w:line="7"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Chief Financial Officer</w:t>
      </w:r>
    </w:p>
    <w:p>
      <w:pPr>
        <w:sectPr>
          <w:pgSz w:w="11900" w:h="16838" w:orient="portrait"/>
          <w:cols w:equalWidth="0" w:num="1">
            <w:col w:w="10159"/>
          </w:cols>
          <w:pgMar w:left="300" w:top="667"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2022-11-22T05:12:09Z</dcterms:created>
  <dcterms:modified xsi:type="dcterms:W3CDTF">2022-11-22T05:12:09Z</dcterms:modified>
</cp:coreProperties>
</file>