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As filed with the Securities and Exchange Commission on September 28, 2026 </w: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 xml:space="preserve">Registration No. 333-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w:t>
      </w:r>
    </w:p>
    <w:p>
      <w:pPr>
        <w:pStyle w:val="TextBody"/>
        <w:bidi w:val="0"/>
        <w:spacing w:lineRule="auto" w:line="240" w:before="240" w:after="283"/>
        <w:jc w:val="center"/>
        <w:rPr>
          <w:rFonts w:ascii="Times New Roman;serif" w:hAnsi="Times New Roman;serif"/>
          <w:b/>
          <w:color w:val="000000"/>
          <w:sz w:val="36"/>
        </w:rPr>
      </w:pPr>
      <w:r>
        <w:rPr>
          <w:rFonts w:ascii="Times New Roman;serif" w:hAnsi="Times New Roman;serif"/>
          <w:b/>
          <w:color w:val="000000"/>
          <w:sz w:val="36"/>
        </w:rPr>
        <w:t xml:space="preserve">FORM S-8 </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 xml:space="preserve">REGISTRATION STATEMENT </w:t>
      </w:r>
    </w:p>
    <w:p>
      <w:pPr>
        <w:pStyle w:val="TextBody"/>
        <w:bidi w:val="0"/>
        <w:spacing w:lineRule="auto" w:line="240" w:before="0" w:after="0"/>
        <w:jc w:val="center"/>
        <w:rPr>
          <w:rFonts w:ascii="Times New Roman;serif" w:hAnsi="Times New Roman;serif"/>
          <w:b/>
          <w:i/>
          <w:color w:val="000000"/>
          <w:sz w:val="24"/>
        </w:rPr>
      </w:pPr>
      <w:r>
        <w:rPr>
          <w:rFonts w:ascii="Times New Roman;serif" w:hAnsi="Times New Roman;serif"/>
          <w:b/>
          <w:i/>
          <w:color w:val="000000"/>
          <w:sz w:val="24"/>
        </w:rPr>
        <w:t xml:space="preserve">UNDER </w:t>
      </w:r>
    </w:p>
    <w:p>
      <w:pPr>
        <w:pStyle w:val="TextBody"/>
        <w:bidi w:val="0"/>
        <w:spacing w:lineRule="auto" w:line="240" w:before="0" w:after="0"/>
        <w:jc w:val="center"/>
        <w:rPr>
          <w:rFonts w:ascii="Times New Roman;serif" w:hAnsi="Times New Roman;serif"/>
          <w:b/>
          <w:i/>
          <w:color w:val="000000"/>
          <w:sz w:val="24"/>
        </w:rPr>
      </w:pPr>
      <w:r>
        <w:rPr>
          <w:rFonts w:ascii="Times New Roman;serif" w:hAnsi="Times New Roman;serif"/>
          <w:b/>
          <w:i/>
          <w:color w:val="000000"/>
          <w:sz w:val="24"/>
        </w:rPr>
        <w:t xml:space="preserve">THE SECURITIES ACT OF 1933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w:t>
      </w:r>
    </w:p>
    <w:p>
      <w:pPr>
        <w:pStyle w:val="TextBody"/>
        <w:bidi w:val="0"/>
        <w:spacing w:lineRule="auto" w:line="240" w:before="240" w:after="283"/>
        <w:jc w:val="center"/>
        <w:rPr>
          <w:rFonts w:ascii="Times New Roman;serif" w:hAnsi="Times New Roman;serif"/>
          <w:b/>
          <w:color w:val="000000"/>
          <w:sz w:val="48"/>
        </w:rPr>
      </w:pPr>
      <w:r>
        <w:rPr>
          <w:rFonts w:ascii="Times New Roman;serif" w:hAnsi="Times New Roman;serif"/>
          <w:b/>
          <w:color w:val="000000"/>
          <w:sz w:val="48"/>
        </w:rPr>
        <w:t xml:space="preserve">ARVINAS, INC.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w:t>
      </w:r>
    </w:p>
    <w:p>
      <w:pPr>
        <w:pStyle w:val="TextBody"/>
        <w:bidi w:val="0"/>
        <w:spacing w:before="0" w:after="0"/>
        <w:jc w:val="center"/>
        <w:rPr/>
      </w:pPr>
      <w:r>
        <w:rPr/>
      </w:r>
    </w:p>
    <w:tbl>
      <w:tblPr>
        <w:tblW w:w="4826" w:type="dxa"/>
        <w:jc w:val="left"/>
        <w:tblInd w:w="0" w:type="dxa"/>
        <w:tblLayout w:type="fixed"/>
        <w:tblCellMar>
          <w:top w:w="28" w:type="dxa"/>
          <w:left w:w="28" w:type="dxa"/>
          <w:bottom w:w="28" w:type="dxa"/>
          <w:right w:w="28" w:type="dxa"/>
        </w:tblCellMar>
      </w:tblPr>
      <w:tblGrid>
        <w:gridCol w:w="1091"/>
        <w:gridCol w:w="957"/>
        <w:gridCol w:w="967"/>
        <w:gridCol w:w="109"/>
        <w:gridCol w:w="109"/>
        <w:gridCol w:w="109"/>
        <w:gridCol w:w="433"/>
        <w:gridCol w:w="433"/>
        <w:gridCol w:w="618"/>
      </w:tblGrid>
      <w:tr>
        <w:trPr/>
        <w:tc>
          <w:tcPr>
            <w:tcW w:w="109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47-2566120</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 Science Park</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395 Winchester Ave.</w:t>
            </w:r>
          </w:p>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New Haven, Connecticut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06511</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240" w:after="283"/>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Inducement Stock Option Award (September 2026)</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Inducement Restricted Stock Unit Award (September 2026) </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(Full Title of the Plans) </w:t>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Randy Teel, Ph.D.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President and Chief Executive Officer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Arvinas, Inc.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5 Science Park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395 Winchester Ave.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New Haven, Connecticut 06511 </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(Name and Address of Agent for Service) </w:t>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(203) 535-1456 </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(Telephone Number, Including Area Code, of Agent for Service)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w: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90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2"/>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 xml:space="preserve">PART I </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INFORMATION REQUIRED IN THE SECTION 10(a)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Plan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Item 1 is omitted from this registration statement and included in documents sent or given to participants in the plans covered by this registration statement pursuant to Rule 428(b)(1) of the Securities Act of 1933, as amended (the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Registrant Information and Employee Plan Annual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written statement required by Item 2 is omitted from this registration statement and included in documents sent or given to participants in the plans covered by this registration statement pursuant to Rule 428(b)(1)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PART II</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INFORMATION REQUIRED IN THE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Incorporation of Documents by Reference.</w:t>
      </w:r>
    </w:p>
    <w:p>
      <w:pPr>
        <w:pStyle w:val="TextBody"/>
        <w:bidi w:val="0"/>
        <w:spacing w:lineRule="auto" w:line="288" w:before="240" w:after="283"/>
        <w:jc w:val="left"/>
        <w:rPr/>
      </w:pPr>
      <w:r>
        <w:rPr>
          <w:rFonts w:ascii="Times New Roman;serif" w:hAnsi="Times New Roman;serif"/>
          <w:b w:val="false"/>
          <w:color w:val="000000"/>
          <w:sz w:val="20"/>
        </w:rPr>
        <w:t>The registrant is subject to the informational and reporting requirements of Sections 13(a), 14, and 15(d) of the Securities Exchange Act of 1934, as amended (the “Exchange Act”), and in accordance therewith files reports, proxy statements and other information with the Securities and Exchange Commission (the “Commission”).</w:t>
      </w:r>
      <w:r>
        <w:rPr>
          <w:color w:val="000000"/>
        </w:rPr>
        <w:t xml:space="preserve"> </w:t>
      </w:r>
      <w:r>
        <w:rPr>
          <w:rFonts w:ascii="Times New Roman;serif" w:hAnsi="Times New Roman;serif"/>
          <w:b w:val="false"/>
          <w:color w:val="000000"/>
          <w:sz w:val="20"/>
        </w:rPr>
        <w:t>The following documents, which are on file with the Commission, are incorporated in this registration statement by reference:</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(a)    The registrant’s latest </w:t>
      </w:r>
      <w:hyperlink r:id="rId2">
        <w:r>
          <w:rPr>
            <w:rStyle w:val="InternetLink"/>
            <w:rFonts w:ascii="Times New Roman;serif" w:hAnsi="Times New Roman;serif"/>
            <w:b w:val="false"/>
            <w:color w:val="0000FF"/>
            <w:sz w:val="20"/>
            <w:u w:val="single"/>
          </w:rPr>
          <w:t>annual report</w:t>
        </w:r>
      </w:hyperlink>
      <w:r>
        <w:rPr>
          <w:color w:val="000000"/>
        </w:rPr>
        <w:t xml:space="preserve"> </w:t>
      </w:r>
      <w:r>
        <w:rPr>
          <w:rFonts w:ascii="Times New Roman;serif" w:hAnsi="Times New Roman;serif"/>
          <w:b w:val="false"/>
          <w:color w:val="000000"/>
          <w:sz w:val="20"/>
        </w:rPr>
        <w:t xml:space="preserve">filed pursuant to Section 13(a) or 15(d) of the Exchange Act or the latest prospectus filed pursuant to Rule 424(b) under the Securities Act that contains audited financial statements for the registrant’s latest fiscal year for which such statements have been filed;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All other reports filed pursuant to Section 13(a) or 15(d) of the Exchange Act since the end of the fiscal year covered by the document referred to in (a) above; and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(c)    The description of the registrant’s common stock contained in the registrant’s registration statement on </w:t>
      </w:r>
      <w:hyperlink r:id="rId3">
        <w:r>
          <w:rPr>
            <w:rStyle w:val="InternetLink"/>
            <w:rFonts w:ascii="Times New Roman;serif" w:hAnsi="Times New Roman;serif"/>
            <w:b w:val="false"/>
            <w:color w:val="0000FF"/>
            <w:sz w:val="20"/>
            <w:u w:val="single"/>
          </w:rPr>
          <w:t>Form 8-A</w:t>
        </w:r>
      </w:hyperlink>
      <w:r>
        <w:rPr>
          <w:color w:val="000000"/>
        </w:rPr>
        <w:t xml:space="preserve"> </w:t>
      </w:r>
      <w:r>
        <w:rPr>
          <w:rFonts w:ascii="Times New Roman;serif" w:hAnsi="Times New Roman;serif"/>
          <w:b w:val="false"/>
          <w:color w:val="000000"/>
          <w:sz w:val="20"/>
        </w:rPr>
        <w:t>as filed with the Commission on September</w:t>
      </w:r>
      <w:r>
        <w:rPr>
          <w:color w:val="000000"/>
        </w:rPr>
        <w:t xml:space="preserve"> </w:t>
      </w:r>
      <w:r>
        <w:rPr>
          <w:rFonts w:ascii="Times New Roman;serif" w:hAnsi="Times New Roman;serif"/>
          <w:b w:val="false"/>
          <w:color w:val="000000"/>
          <w:sz w:val="20"/>
        </w:rPr>
        <w:t xml:space="preserve">21, 2018, as the description therein has been updated and superseded by the description of the registrant’s capital stock contained in </w:t>
      </w:r>
      <w:hyperlink r:id="rId4">
        <w:r>
          <w:rPr>
            <w:rStyle w:val="InternetLink"/>
            <w:rFonts w:ascii="Times New Roman;serif" w:hAnsi="Times New Roman;serif"/>
            <w:b w:val="false"/>
            <w:color w:val="0000FF"/>
            <w:sz w:val="20"/>
            <w:u w:val="single"/>
          </w:rPr>
          <w:t>Exhibit 4.4</w:t>
        </w:r>
      </w:hyperlink>
      <w:r>
        <w:rPr>
          <w:color w:val="000000"/>
        </w:rPr>
        <w:t xml:space="preserve"> </w:t>
      </w:r>
      <w:r>
        <w:rPr>
          <w:rFonts w:ascii="Times New Roman;serif" w:hAnsi="Times New Roman;serif"/>
          <w:b w:val="false"/>
          <w:color w:val="000000"/>
          <w:sz w:val="20"/>
        </w:rPr>
        <w:t>to the registrant’s annual report on Form 10-K for the fiscal year ended December 31, 2019, as filed with the Commission on March 16, 2020, and including any amendments and reports filed for the purpose of updating such description.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Description of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Interests of Named Experts and Counsel.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6. Indemnification of Directors and Officers.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summary is qualified in its entirety by reference to the complete Delaware General Corporation Law (“DGCL”) and the registrant’s certificate of incorporation and bylaws.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Section 102 of the DGCL permits a corporation to eliminate the personal liability of its directors or officers to the corporation or its stockholders for monetary damages for a breach of fiduciary duty as a director or officer, except (1) where the director or officer breached his or her duty of loyalty, failed to act in good faith, engaged in intentional misconduct, knowingly violated a law or obtained an improper personal benefit, (2) where any director authorized the payment of a dividend or approved a stock repurchase in violation of Delaware corporate law, or (3) for any officer, in any action by or in the right of the corporation. The registrant’s certificate of incorporation provides that no director shall be personally liable to the registrant or its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indemnification for such expenses which the Court of Chancery or such other court shall deem proper.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registrant’s certificate of incorporation provides that it will indemnify each person who was or is a party or threatened to be made a party to any threatened, pending or completed action, suit or proceeding, whether civil, criminal, administrative or investigative (other than an action by or in the right of the registrant) by reason of the fact that he or she is or was, or has agreed to become, a director or officer of the registrant, or is or was serving, or has agreed to serve, at the registrant’s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the registrant’s best interests, and, with respect to any criminal action or proceeding, he or she had no reasonable cause to believe his or her conduct was unlawful. The registrant’s certificate of incorporation also provides that it will indemnify any Indemnitee who was or is a party to an action or suit by or in the right of the registrant to procure a judgment in the registrant’s favor by reason of the fact that the Indemnitee is or was, or has agreed to become, a director or officer of the registrant, or is or was serving, or has agreed to serve, at the registrant’s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the registrant’s best interests, except that no indemnification shall be made with respect to any claim, issue or matter as to which such person shall have been adjudged to be liable to the registrant, unless a court determines that, despite such adjudication but in view of all of the circumstances, he or she is entitled to indemnification of such expenses. Notwithstanding the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foregoing, to the extent that any Indemnitee has been successful, on the merits or otherwise, he or she will be indemnified by the registrant against all expenses (including attorneys’ fees) actually and reasonably incurred by him or her or on his or her behalf in connection therewith. If the registrant does not assume the defense, expenses must be advanced to an Indemnitee under certain circumstances.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registrant has entered into indemnification agreements with all of its directors and executive officers. In general, these agreements provide that the registrant will indemnify the director or executive officer to the fullest extent permitted by law for claims arising in his or her capacity as a director or officer of the registrant or in connection with their service at the registrant’s request for another corporation or entity. The indemnification agreements also provide for procedures that will apply in the event that a director or executive officer makes a claim for indemnification and establish certain presumptions that are favorable to the director or executive officer.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registrant maintains a general liability insurance policy which covers certain liabilities of the directors and officers of the registrant arising out of claims based on acts or omissions in their capacities as directors or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 Exemption from Registration Claimed.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Exhibits.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exhibits are incorporated herein by reference:</w:t>
      </w:r>
    </w:p>
    <w:tbl>
      <w:tblPr>
        <w:tblW w:w="9370" w:type="dxa"/>
        <w:jc w:val="left"/>
        <w:tblInd w:w="0" w:type="dxa"/>
        <w:tblLayout w:type="fixed"/>
        <w:tblCellMar>
          <w:top w:w="28" w:type="dxa"/>
          <w:left w:w="28" w:type="dxa"/>
          <w:bottom w:w="28" w:type="dxa"/>
          <w:right w:w="28" w:type="dxa"/>
        </w:tblCellMar>
      </w:tblPr>
      <w:tblGrid>
        <w:gridCol w:w="271"/>
        <w:gridCol w:w="238"/>
        <w:gridCol w:w="240"/>
        <w:gridCol w:w="109"/>
        <w:gridCol w:w="109"/>
        <w:gridCol w:w="109"/>
        <w:gridCol w:w="2426"/>
        <w:gridCol w:w="2426"/>
        <w:gridCol w:w="3442"/>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3442"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Restated Certificate of Incorporation of the Registrant</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Second Amended and Restated Bylaws of the Registrant</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vn-ex51toinducementgrant.htm">
              <w:r>
                <w:rPr>
                  <w:rStyle w:val="InternetLink"/>
                  <w:rFonts w:ascii="Times New Roman;serif" w:hAnsi="Times New Roman;serif"/>
                  <w:b w:val="false"/>
                  <w:color w:val="0000FF"/>
                  <w:sz w:val="20"/>
                  <w:u w:val="single"/>
                </w:rPr>
                <w:t>Opinion of Wilmer Cutler Pickering Hale and Dorr LLP, counsel to the Registrant</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vn-ex51toinducementgrant.htm">
              <w:r>
                <w:rPr>
                  <w:rStyle w:val="InternetLink"/>
                  <w:rFonts w:ascii="Times New Roman;serif" w:hAnsi="Times New Roman;serif"/>
                  <w:b w:val="false"/>
                  <w:color w:val="0000FF"/>
                  <w:sz w:val="20"/>
                  <w:u w:val="single"/>
                </w:rPr>
                <w:t>Consent of Wilmer Cutler Pickering Hale and Dorr LLP (included in Exhibit 5.1)</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nsentofindependentregist.htm">
              <w:r>
                <w:rPr>
                  <w:rStyle w:val="InternetLink"/>
                  <w:rFonts w:ascii="Times New Roman;serif" w:hAnsi="Times New Roman;serif"/>
                  <w:b w:val="false"/>
                  <w:color w:val="0000FF"/>
                  <w:sz w:val="20"/>
                  <w:u w:val="single"/>
                </w:rPr>
                <w:t>Consent of Deloitte &amp; Touche LLP, independent registered public accounting firm for the Registrant</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6f3b9e2a0e4c869d35360c215fff43_40">
              <w:r>
                <w:rPr>
                  <w:rStyle w:val="InternetLink"/>
                  <w:rFonts w:ascii="Times New Roman;serif" w:hAnsi="Times New Roman;serif"/>
                  <w:b w:val="false"/>
                  <w:color w:val="0000FF"/>
                  <w:sz w:val="20"/>
                  <w:u w:val="single"/>
                </w:rPr>
                <w:t>Power of Attorney (included on the signature pages of this registration statement)</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4" w:type="dxa"/>
            <w:gridSpan w:val="3"/>
            <w:tcBorders/>
            <w:vAlign w:val="center"/>
          </w:tcPr>
          <w:p>
            <w:pPr>
              <w:pStyle w:val="TableContents"/>
              <w:bidi w:val="0"/>
              <w:spacing w:before="0" w:after="283"/>
              <w:jc w:val="left"/>
              <w:rPr>
                <w:sz w:val="4"/>
                <w:szCs w:val="4"/>
              </w:rPr>
            </w:pPr>
            <w:r>
              <w:rPr>
                <w:sz w:val="4"/>
                <w:szCs w:val="4"/>
              </w:rPr>
            </w:r>
          </w:p>
        </w:tc>
      </w:tr>
      <w:tr>
        <w:trPr/>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4" w:type="dxa"/>
            <w:gridSpan w:val="3"/>
            <w:tcBorders/>
            <w:vAlign w:val="center"/>
          </w:tcPr>
          <w:p>
            <w:pPr>
              <w:pStyle w:val="TableContents"/>
              <w:bidi w:val="0"/>
              <w:spacing w:before="0" w:after="283"/>
              <w:jc w:val="left"/>
              <w:rPr>
                <w:sz w:val="4"/>
                <w:szCs w:val="4"/>
              </w:rPr>
            </w:pPr>
            <w:r>
              <w:rPr>
                <w:sz w:val="4"/>
                <w:szCs w:val="4"/>
              </w:rPr>
            </w:r>
          </w:p>
        </w:tc>
      </w:tr>
      <w:tr>
        <w:trPr/>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4" w:type="dxa"/>
            <w:gridSpan w:val="3"/>
            <w:tcBorders/>
            <w:vAlign w:val="center"/>
          </w:tcPr>
          <w:p>
            <w:pPr>
              <w:pStyle w:val="TableContents"/>
              <w:bidi w:val="0"/>
              <w:spacing w:before="0" w:after="283"/>
              <w:jc w:val="left"/>
              <w:rPr>
                <w:sz w:val="4"/>
                <w:szCs w:val="4"/>
              </w:rPr>
            </w:pPr>
            <w:r>
              <w:rPr>
                <w:sz w:val="4"/>
                <w:szCs w:val="4"/>
              </w:rPr>
            </w:r>
          </w:p>
        </w:tc>
      </w:tr>
      <w:tr>
        <w:trPr/>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4" w:type="dxa"/>
            <w:gridSpan w:val="3"/>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Form of Inducement Stock Option Award Agreement</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Form of Inducement Restricted Stock Unit Award Agreement</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vn0926_exfilingfee.htm">
              <w:r>
                <w:rPr>
                  <w:rStyle w:val="InternetLink"/>
                  <w:rFonts w:ascii="Times New Roman;serif" w:hAnsi="Times New Roman;serif"/>
                  <w:b w:val="false"/>
                  <w:color w:val="0000FF"/>
                  <w:sz w:val="20"/>
                  <w:u w:val="single"/>
                </w:rPr>
                <w:t>Calculation of Filing Fee Tables</w:t>
              </w:r>
            </w:hyperlink>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Previously filed with the Securities and Exchange Commission on October 1, 2018 as Exhibit 3.1 to the Registrant’s Current Report on Form 8-K (File No. 001-38672) and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Previously filed with the Securities and Exchange Commission on June 21, 2023 as Exhibit 3.1 to the Registrant’s Current Report on Form 8-K (File No. 001-38672) and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Previously filed with the Securities and Exchange Commission on January 16, 2024 as Exhibit 99.3 to the Registrant’s Registration Statement on Form S-8 (File No. 333-276519) and 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Previously filed with the Securities and Exchange Commission on January 16, 2024 as Exhibit 99.4 to the Registrant’s Registration Statement on Form S-8 (File No. 333-276519) and incorporated herein by reference.</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 Undertakings.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The undersigned registrant hereby undertakes: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(1)    To file, during any period in which offers or sales are being made, a post-effective amendment to this registration statement:</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    To include any prospectus required by Section 10(a)(3) of the Securities Act;</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(iii)    To include any material information with respect to the plan of distribution not previously disclosed in the registration statement or any material change to such information in the registration statement; provided, however, that paragraphs (1)(i) and (1)(ii)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(3)    To remove from registration by means of a post-effective amendment any of the securities being registered which remain unsold at the termination of the offering.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240" w:after="283"/>
        <w:ind w:left="0" w:right="0" w:firstLine="5"/>
        <w:jc w:val="left"/>
        <w:rPr>
          <w:rFonts w:ascii="Times New Roman;serif" w:hAnsi="Times New Roman;serif"/>
          <w:b w:val="false"/>
          <w:color w:val="000000"/>
          <w:sz w:val="20"/>
        </w:rPr>
      </w:pPr>
      <w:r>
        <w:rPr>
          <w:rFonts w:ascii="Times New Roman;serif" w:hAnsi="Times New Roman;serif"/>
          <w:b w:val="false"/>
          <w:color w:val="000000"/>
          <w:sz w:val="20"/>
        </w:rPr>
        <w:t>3.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New Haven, State of Connecticut, on this 28th day of September, 2026. </w:t>
      </w:r>
    </w:p>
    <w:tbl>
      <w:tblPr>
        <w:tblW w:w="4154" w:type="dxa"/>
        <w:jc w:val="left"/>
        <w:tblInd w:w="0" w:type="dxa"/>
        <w:tblLayout w:type="fixed"/>
        <w:tblCellMar>
          <w:top w:w="28" w:type="dxa"/>
          <w:left w:w="28" w:type="dxa"/>
          <w:bottom w:w="28" w:type="dxa"/>
          <w:right w:w="28" w:type="dxa"/>
        </w:tblCellMar>
      </w:tblPr>
      <w:tblGrid>
        <w:gridCol w:w="175"/>
        <w:gridCol w:w="154"/>
        <w:gridCol w:w="154"/>
        <w:gridCol w:w="154"/>
        <w:gridCol w:w="154"/>
        <w:gridCol w:w="154"/>
        <w:gridCol w:w="935"/>
        <w:gridCol w:w="935"/>
        <w:gridCol w:w="1339"/>
      </w:tblGrid>
      <w:tr>
        <w:trPr/>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3209"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9"/>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ARVINAS, INC.</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Randy Teel, Ph.D.</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Randy Teel, Ph.D.</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480" w:after="283"/>
        <w:jc w:val="center"/>
        <w:rPr>
          <w:rFonts w:ascii="Times New Roman;serif" w:hAnsi="Times New Roman;serif"/>
          <w:b/>
          <w:color w:val="000000"/>
          <w:sz w:val="20"/>
        </w:rPr>
      </w:pPr>
      <w:r>
        <w:rPr>
          <w:rFonts w:ascii="Times New Roman;serif" w:hAnsi="Times New Roman;serif"/>
          <w:b/>
          <w:color w:val="000000"/>
          <w:sz w:val="20"/>
        </w:rPr>
        <w:t xml:space="preserve">POWER OF ATTORNEY AND SIGNATURES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the undersigned officers and directors of Arvinas, Inc., hereby severally constitute and appoint Randy Teel, Ph.D. and Andrew Saik, each of them singly, our true and lawful attorneys with full power to any of them, and to each of them singly, to sign for us and in our names in the capacities indicated below the Registration Statement on Form S-8 filed herewith and any and all amendments to said Registration Statement, and generally to do all such things in our names and on our behalf in our capacities as officers and directors to enable Arvinas,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r>
    </w:p>
    <w:tbl>
      <w:tblPr>
        <w:tblW w:w="9097" w:type="dxa"/>
        <w:jc w:val="left"/>
        <w:tblInd w:w="0" w:type="dxa"/>
        <w:tblLayout w:type="fixed"/>
        <w:tblCellMar>
          <w:top w:w="28" w:type="dxa"/>
          <w:left w:w="28" w:type="dxa"/>
          <w:bottom w:w="28" w:type="dxa"/>
          <w:right w:w="28" w:type="dxa"/>
        </w:tblCellMar>
      </w:tblPr>
      <w:tblGrid>
        <w:gridCol w:w="1000"/>
        <w:gridCol w:w="876"/>
        <w:gridCol w:w="884"/>
        <w:gridCol w:w="109"/>
        <w:gridCol w:w="109"/>
        <w:gridCol w:w="109"/>
        <w:gridCol w:w="1299"/>
        <w:gridCol w:w="1299"/>
        <w:gridCol w:w="1316"/>
        <w:gridCol w:w="109"/>
        <w:gridCol w:w="109"/>
        <w:gridCol w:w="109"/>
        <w:gridCol w:w="517"/>
        <w:gridCol w:w="517"/>
        <w:gridCol w:w="735"/>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u w:val="single"/>
              </w:rPr>
            </w:pPr>
            <w:r>
              <w:rPr>
                <w:rFonts w:ascii="Times New Roman;serif" w:hAnsi="Times New Roman;serif"/>
                <w:b/>
                <w:i/>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Date</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Randy Teel, Ph.D.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p>
            <w:pPr>
              <w:pStyle w:val="TableContents"/>
              <w:bidi w:val="0"/>
              <w:spacing w:lineRule="auto" w:line="240" w:before="0" w:after="20"/>
              <w:jc w:val="center"/>
              <w:rPr>
                <w:color w:val="000000"/>
              </w:rPr>
            </w:pPr>
            <w:r>
              <w:rPr>
                <w:color w:val="000000"/>
              </w:rPr>
              <w:t> </w:t>
            </w:r>
            <w:r>
              <w:rPr>
                <w:rFonts w:ascii="Times New Roman;serif" w:hAnsi="Times New Roman;serif"/>
                <w:b w:val="false"/>
                <w:color w:val="000000"/>
                <w:sz w:val="20"/>
              </w:rPr>
              <w:t>(principal executive officer)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28, 2026</w:t>
            </w:r>
          </w:p>
        </w:tc>
      </w:tr>
      <w:tr>
        <w:trPr/>
        <w:tc>
          <w:tcPr>
            <w:tcW w:w="276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Randy Teel, Ph.D.</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Saik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28, 2026</w:t>
            </w:r>
          </w:p>
        </w:tc>
      </w:tr>
      <w:tr>
        <w:trPr/>
        <w:tc>
          <w:tcPr>
            <w:tcW w:w="276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Saik</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K. Loomis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w:t>
            </w:r>
          </w:p>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28, 2026</w:t>
            </w:r>
          </w:p>
        </w:tc>
      </w:tr>
      <w:tr>
        <w:trPr/>
        <w:tc>
          <w:tcPr>
            <w:tcW w:w="276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K. Loomis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Briggs Morrison, M.D.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 of the Board of Directors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28, 2026</w:t>
            </w:r>
          </w:p>
        </w:tc>
      </w:tr>
      <w:tr>
        <w:trPr/>
        <w:tc>
          <w:tcPr>
            <w:tcW w:w="276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Briggs Morrison, M.D.</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Linda Bain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28, 2026</w:t>
            </w:r>
          </w:p>
        </w:tc>
      </w:tr>
      <w:tr>
        <w:trPr/>
        <w:tc>
          <w:tcPr>
            <w:tcW w:w="276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Linda Bain</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Everett Cunningham</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28, 2026</w:t>
            </w:r>
          </w:p>
        </w:tc>
      </w:tr>
      <w:tr>
        <w:trPr/>
        <w:tc>
          <w:tcPr>
            <w:tcW w:w="276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Everett Cunningham</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Houston, Ph.D.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28, 2026</w:t>
            </w:r>
          </w:p>
        </w:tc>
      </w:tr>
      <w:tr>
        <w:trPr/>
        <w:tc>
          <w:tcPr>
            <w:tcW w:w="276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Houston, Ph.D.</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Kennedy, Jr.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28, 2026</w:t>
            </w:r>
          </w:p>
        </w:tc>
      </w:tr>
      <w:tr>
        <w:trPr/>
        <w:tc>
          <w:tcPr>
            <w:tcW w:w="276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Kennedy, Jr.</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Leslie Norwalk, Esq.</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28, 2026</w:t>
            </w:r>
          </w:p>
        </w:tc>
      </w:tr>
      <w:tr>
        <w:trPr/>
        <w:tc>
          <w:tcPr>
            <w:tcW w:w="276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Leslie Norwalk, Esq.</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Laurie Smaldone Alsup, M.D.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28, 2026</w:t>
            </w:r>
          </w:p>
        </w:tc>
      </w:tr>
      <w:tr>
        <w:trPr/>
        <w:tc>
          <w:tcPr>
            <w:tcW w:w="276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Laurie Smaldone Alsup, M.D.</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69"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Normal"/>
        <w:bidi w:val="0"/>
        <w:spacing w:before="0" w:after="0"/>
        <w:jc w:val="left"/>
        <w:rPr>
          <w:sz w:val="4"/>
          <w:szCs w:val="4"/>
        </w:rPr>
      </w:pPr>
      <w:r>
        <w:rPr>
          <w:sz w:val="4"/>
          <w:szCs w:val="4"/>
        </w:rPr>
      </w:r>
      <w:bookmarkStart w:id="0" w:name="arvn0926_exfilingfee.htm"/>
      <w:bookmarkStart w:id="1" w:name="ksarvn0926_exfilingfee"/>
      <w:bookmarkStart w:id="2" w:name="arvn0926_exfilingfee.htm"/>
      <w:bookmarkStart w:id="3" w:name="ksarvn0926_exfilingfee"/>
      <w:bookmarkEnd w:id="2"/>
      <w:bookmarkEnd w:id="3"/>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564" w:type="dxa"/>
        <w:jc w:val="left"/>
        <w:tblInd w:w="0" w:type="dxa"/>
        <w:tblLayout w:type="fixed"/>
        <w:tblCellMar>
          <w:top w:w="28" w:type="dxa"/>
          <w:left w:w="28" w:type="dxa"/>
          <w:bottom w:w="28" w:type="dxa"/>
          <w:right w:w="28" w:type="dxa"/>
        </w:tblCellMar>
      </w:tblPr>
      <w:tblGrid>
        <w:gridCol w:w="3410"/>
        <w:gridCol w:w="154"/>
      </w:tblGrid>
      <w:tr>
        <w:trPr/>
        <w:tc>
          <w:tcPr>
            <w:tcW w:w="356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0"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b/>
              </w:rPr>
            </w:pPr>
            <w:r>
              <w:rPr>
                <w:b/>
              </w:rPr>
              <w:t xml:space="preserve">ARVINAS,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3"/>
        <w:gridCol w:w="970"/>
        <w:gridCol w:w="1116"/>
        <w:gridCol w:w="1314"/>
        <w:gridCol w:w="1222"/>
        <w:gridCol w:w="1290"/>
        <w:gridCol w:w="1459"/>
        <w:gridCol w:w="1128"/>
        <w:gridCol w:w="1463"/>
      </w:tblGrid>
      <w:tr>
        <w:trPr/>
        <w:tc>
          <w:tcPr>
            <w:tcW w:w="243" w:type="dxa"/>
            <w:tcBorders/>
            <w:shd w:fill="9ADAF6" w:val="clear"/>
            <w:vAlign w:val="center"/>
          </w:tcPr>
          <w:p>
            <w:pPr>
              <w:pStyle w:val="TableHeading"/>
              <w:bidi w:val="0"/>
              <w:spacing w:before="0" w:after="283"/>
              <w:rPr>
                <w:sz w:val="4"/>
                <w:szCs w:val="4"/>
              </w:rPr>
            </w:pPr>
            <w:r>
              <w:rPr>
                <w:sz w:val="4"/>
                <w:szCs w:val="4"/>
              </w:rPr>
            </w:r>
          </w:p>
        </w:tc>
        <w:tc>
          <w:tcPr>
            <w:tcW w:w="970"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1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14"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22"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90"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459"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8"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63"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3" w:type="dxa"/>
            <w:tcBorders/>
            <w:shd w:fill="E7E7E2" w:val="clear"/>
            <w:vAlign w:val="center"/>
          </w:tcPr>
          <w:p>
            <w:pPr>
              <w:pStyle w:val="TableContents"/>
              <w:bidi w:val="0"/>
              <w:spacing w:before="0" w:after="283"/>
              <w:jc w:val="center"/>
              <w:rPr/>
            </w:pPr>
            <w:r>
              <w:rPr/>
              <w:t xml:space="preserve">1 </w:t>
            </w:r>
          </w:p>
        </w:tc>
        <w:tc>
          <w:tcPr>
            <w:tcW w:w="970" w:type="dxa"/>
            <w:tcBorders/>
            <w:shd w:fill="E7E7E2" w:val="clear"/>
            <w:vAlign w:val="center"/>
          </w:tcPr>
          <w:p>
            <w:pPr>
              <w:pStyle w:val="TableContents"/>
              <w:bidi w:val="0"/>
              <w:spacing w:before="0" w:after="283"/>
              <w:jc w:val="left"/>
              <w:rPr/>
            </w:pPr>
            <w:r>
              <w:rPr/>
              <w:t xml:space="preserve">Equity </w:t>
            </w:r>
          </w:p>
        </w:tc>
        <w:tc>
          <w:tcPr>
            <w:tcW w:w="1116" w:type="dxa"/>
            <w:tcBorders/>
            <w:shd w:fill="E7E7E2" w:val="clear"/>
            <w:vAlign w:val="center"/>
          </w:tcPr>
          <w:p>
            <w:pPr>
              <w:pStyle w:val="TableContents"/>
              <w:bidi w:val="0"/>
              <w:spacing w:before="0" w:after="283"/>
              <w:jc w:val="left"/>
              <w:rPr/>
            </w:pPr>
            <w:r>
              <w:rPr/>
              <w:t xml:space="preserve">Common Stock, $0.001 par value per share </w:t>
            </w:r>
          </w:p>
        </w:tc>
        <w:tc>
          <w:tcPr>
            <w:tcW w:w="1314" w:type="dxa"/>
            <w:tcBorders/>
            <w:shd w:fill="E7E7E2" w:val="clear"/>
            <w:vAlign w:val="center"/>
          </w:tcPr>
          <w:p>
            <w:pPr>
              <w:pStyle w:val="TableContents"/>
              <w:bidi w:val="0"/>
              <w:spacing w:before="0" w:after="283"/>
              <w:jc w:val="center"/>
              <w:rPr/>
            </w:pPr>
            <w:r>
              <w:rPr/>
              <w:t xml:space="preserve">Other </w:t>
            </w:r>
          </w:p>
        </w:tc>
        <w:tc>
          <w:tcPr>
            <w:tcW w:w="1222" w:type="dxa"/>
            <w:tcBorders/>
            <w:shd w:fill="E7E7E2" w:val="clear"/>
            <w:vAlign w:val="center"/>
          </w:tcPr>
          <w:p>
            <w:pPr>
              <w:pStyle w:val="TableContents"/>
              <w:bidi w:val="0"/>
              <w:spacing w:before="0" w:after="283"/>
              <w:jc w:val="right"/>
              <w:rPr/>
            </w:pPr>
            <w:r>
              <w:rPr/>
              <w:t xml:space="preserve">64,766 </w:t>
            </w:r>
          </w:p>
        </w:tc>
        <w:tc>
          <w:tcPr>
            <w:tcW w:w="1290" w:type="dxa"/>
            <w:tcBorders/>
            <w:shd w:fill="E7E7E2" w:val="clear"/>
            <w:vAlign w:val="center"/>
          </w:tcPr>
          <w:p>
            <w:pPr>
              <w:pStyle w:val="TableContents"/>
              <w:bidi w:val="0"/>
              <w:spacing w:before="0" w:after="283"/>
              <w:jc w:val="right"/>
              <w:rPr/>
            </w:pPr>
            <w:r>
              <w:rPr/>
              <w:t xml:space="preserve">$ 7.605 </w:t>
            </w:r>
          </w:p>
        </w:tc>
        <w:tc>
          <w:tcPr>
            <w:tcW w:w="1459" w:type="dxa"/>
            <w:tcBorders/>
            <w:shd w:fill="E7E7E2" w:val="clear"/>
            <w:vAlign w:val="center"/>
          </w:tcPr>
          <w:p>
            <w:pPr>
              <w:pStyle w:val="TableContents"/>
              <w:bidi w:val="0"/>
              <w:spacing w:before="0" w:after="283"/>
              <w:jc w:val="right"/>
              <w:rPr/>
            </w:pPr>
            <w:r>
              <w:rPr/>
              <w:t xml:space="preserve">$ 492,545.43 </w:t>
            </w:r>
          </w:p>
        </w:tc>
        <w:tc>
          <w:tcPr>
            <w:tcW w:w="1128" w:type="dxa"/>
            <w:tcBorders/>
            <w:shd w:fill="E7E7E2" w:val="clear"/>
            <w:vAlign w:val="center"/>
          </w:tcPr>
          <w:p>
            <w:pPr>
              <w:pStyle w:val="TableContents"/>
              <w:bidi w:val="0"/>
              <w:spacing w:before="0" w:after="283"/>
              <w:jc w:val="right"/>
              <w:rPr/>
            </w:pPr>
            <w:r>
              <w:rPr/>
              <w:t xml:space="preserve">0.0001381 </w:t>
            </w:r>
          </w:p>
        </w:tc>
        <w:tc>
          <w:tcPr>
            <w:tcW w:w="1463" w:type="dxa"/>
            <w:tcBorders/>
            <w:shd w:fill="E7E7E2" w:val="clear"/>
            <w:vAlign w:val="center"/>
          </w:tcPr>
          <w:p>
            <w:pPr>
              <w:pStyle w:val="TableContents"/>
              <w:bidi w:val="0"/>
              <w:spacing w:before="0" w:after="283"/>
              <w:jc w:val="right"/>
              <w:rPr/>
            </w:pPr>
            <w:r>
              <w:rPr/>
              <w:t xml:space="preserve">$ 68.02 </w:t>
            </w:r>
          </w:p>
        </w:tc>
      </w:tr>
      <w:tr>
        <w:trPr/>
        <w:tc>
          <w:tcPr>
            <w:tcW w:w="243" w:type="dxa"/>
            <w:tcBorders/>
            <w:shd w:fill="E7E7E2" w:val="clear"/>
            <w:vAlign w:val="center"/>
          </w:tcPr>
          <w:p>
            <w:pPr>
              <w:pStyle w:val="TableContents"/>
              <w:bidi w:val="0"/>
              <w:spacing w:before="0" w:after="283"/>
              <w:jc w:val="center"/>
              <w:rPr/>
            </w:pPr>
            <w:r>
              <w:rPr/>
              <w:t xml:space="preserve">2 </w:t>
            </w:r>
          </w:p>
        </w:tc>
        <w:tc>
          <w:tcPr>
            <w:tcW w:w="970" w:type="dxa"/>
            <w:tcBorders/>
            <w:shd w:fill="E7E7E2" w:val="clear"/>
            <w:vAlign w:val="center"/>
          </w:tcPr>
          <w:p>
            <w:pPr>
              <w:pStyle w:val="TableContents"/>
              <w:bidi w:val="0"/>
              <w:spacing w:before="0" w:after="283"/>
              <w:jc w:val="left"/>
              <w:rPr/>
            </w:pPr>
            <w:r>
              <w:rPr/>
              <w:t xml:space="preserve">Equity </w:t>
            </w:r>
          </w:p>
        </w:tc>
        <w:tc>
          <w:tcPr>
            <w:tcW w:w="1116" w:type="dxa"/>
            <w:tcBorders/>
            <w:shd w:fill="E7E7E2" w:val="clear"/>
            <w:vAlign w:val="center"/>
          </w:tcPr>
          <w:p>
            <w:pPr>
              <w:pStyle w:val="TableContents"/>
              <w:bidi w:val="0"/>
              <w:spacing w:before="0" w:after="283"/>
              <w:jc w:val="left"/>
              <w:rPr/>
            </w:pPr>
            <w:r>
              <w:rPr/>
              <w:t xml:space="preserve">Common Stock, $0.001 par value per share </w:t>
            </w:r>
          </w:p>
        </w:tc>
        <w:tc>
          <w:tcPr>
            <w:tcW w:w="1314" w:type="dxa"/>
            <w:tcBorders/>
            <w:shd w:fill="E7E7E2" w:val="clear"/>
            <w:vAlign w:val="center"/>
          </w:tcPr>
          <w:p>
            <w:pPr>
              <w:pStyle w:val="TableContents"/>
              <w:bidi w:val="0"/>
              <w:spacing w:before="0" w:after="283"/>
              <w:jc w:val="center"/>
              <w:rPr/>
            </w:pPr>
            <w:r>
              <w:rPr/>
              <w:t xml:space="preserve">Other </w:t>
            </w:r>
          </w:p>
        </w:tc>
        <w:tc>
          <w:tcPr>
            <w:tcW w:w="1222" w:type="dxa"/>
            <w:tcBorders/>
            <w:shd w:fill="E7E7E2" w:val="clear"/>
            <w:vAlign w:val="center"/>
          </w:tcPr>
          <w:p>
            <w:pPr>
              <w:pStyle w:val="TableContents"/>
              <w:bidi w:val="0"/>
              <w:spacing w:before="0" w:after="283"/>
              <w:jc w:val="right"/>
              <w:rPr/>
            </w:pPr>
            <w:r>
              <w:rPr/>
              <w:t xml:space="preserve">42,388 </w:t>
            </w:r>
          </w:p>
        </w:tc>
        <w:tc>
          <w:tcPr>
            <w:tcW w:w="1290" w:type="dxa"/>
            <w:tcBorders/>
            <w:shd w:fill="E7E7E2" w:val="clear"/>
            <w:vAlign w:val="center"/>
          </w:tcPr>
          <w:p>
            <w:pPr>
              <w:pStyle w:val="TableContents"/>
              <w:bidi w:val="0"/>
              <w:spacing w:before="0" w:after="283"/>
              <w:jc w:val="right"/>
              <w:rPr/>
            </w:pPr>
            <w:r>
              <w:rPr/>
              <w:t xml:space="preserve">$ 7.605 </w:t>
            </w:r>
          </w:p>
        </w:tc>
        <w:tc>
          <w:tcPr>
            <w:tcW w:w="1459" w:type="dxa"/>
            <w:tcBorders/>
            <w:shd w:fill="E7E7E2" w:val="clear"/>
            <w:vAlign w:val="center"/>
          </w:tcPr>
          <w:p>
            <w:pPr>
              <w:pStyle w:val="TableContents"/>
              <w:bidi w:val="0"/>
              <w:spacing w:before="0" w:after="283"/>
              <w:jc w:val="right"/>
              <w:rPr/>
            </w:pPr>
            <w:r>
              <w:rPr/>
              <w:t xml:space="preserve">$ 322,360.74 </w:t>
            </w:r>
          </w:p>
        </w:tc>
        <w:tc>
          <w:tcPr>
            <w:tcW w:w="1128" w:type="dxa"/>
            <w:tcBorders/>
            <w:shd w:fill="E7E7E2" w:val="clear"/>
            <w:vAlign w:val="center"/>
          </w:tcPr>
          <w:p>
            <w:pPr>
              <w:pStyle w:val="TableContents"/>
              <w:bidi w:val="0"/>
              <w:spacing w:before="0" w:after="283"/>
              <w:jc w:val="right"/>
              <w:rPr/>
            </w:pPr>
            <w:r>
              <w:rPr/>
              <w:t xml:space="preserve">0.0001381 </w:t>
            </w:r>
          </w:p>
        </w:tc>
        <w:tc>
          <w:tcPr>
            <w:tcW w:w="1463" w:type="dxa"/>
            <w:tcBorders/>
            <w:shd w:fill="E7E7E2" w:val="clear"/>
            <w:vAlign w:val="center"/>
          </w:tcPr>
          <w:p>
            <w:pPr>
              <w:pStyle w:val="TableContents"/>
              <w:bidi w:val="0"/>
              <w:spacing w:before="0" w:after="283"/>
              <w:jc w:val="right"/>
              <w:rPr/>
            </w:pPr>
            <w:r>
              <w:rPr/>
              <w:t xml:space="preserve">$ 44.52 </w:t>
            </w:r>
          </w:p>
        </w:tc>
      </w:tr>
      <w:tr>
        <w:trPr/>
        <w:tc>
          <w:tcPr>
            <w:tcW w:w="4865" w:type="dxa"/>
            <w:gridSpan w:val="5"/>
            <w:tcBorders/>
            <w:vAlign w:val="center"/>
          </w:tcPr>
          <w:p>
            <w:pPr>
              <w:pStyle w:val="TableContents"/>
              <w:bidi w:val="0"/>
              <w:spacing w:before="0" w:after="0"/>
              <w:ind w:left="0" w:right="0" w:hanging="0"/>
              <w:jc w:val="right"/>
              <w:rPr/>
            </w:pPr>
            <w:r>
              <w:rPr/>
              <w:t>Total Offering Amounts:</w:t>
            </w:r>
          </w:p>
        </w:tc>
        <w:tc>
          <w:tcPr>
            <w:tcW w:w="129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0"/>
              <w:ind w:left="0" w:right="0" w:hanging="0"/>
              <w:jc w:val="right"/>
              <w:rPr/>
            </w:pPr>
            <w:bookmarkStart w:id="4" w:name="MaxAggtOfferingPrice"/>
            <w:bookmarkEnd w:id="4"/>
            <w:r>
              <w:rPr/>
              <w:t xml:space="preserve">$ 814,906.17 </w:t>
            </w:r>
          </w:p>
        </w:tc>
        <w:tc>
          <w:tcPr>
            <w:tcW w:w="1128" w:type="dxa"/>
            <w:tcBorders/>
            <w:vAlign w:val="center"/>
          </w:tcPr>
          <w:p>
            <w:pPr>
              <w:pStyle w:val="TableContents"/>
              <w:bidi w:val="0"/>
              <w:spacing w:before="0" w:after="283"/>
              <w:jc w:val="left"/>
              <w:rPr>
                <w:sz w:val="4"/>
                <w:szCs w:val="4"/>
              </w:rPr>
            </w:pPr>
            <w:r>
              <w:rPr>
                <w:sz w:val="4"/>
                <w:szCs w:val="4"/>
              </w:rPr>
            </w:r>
          </w:p>
        </w:tc>
        <w:tc>
          <w:tcPr>
            <w:tcW w:w="1463"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$ 112.54 </w:t>
            </w:r>
          </w:p>
        </w:tc>
      </w:tr>
      <w:tr>
        <w:trPr/>
        <w:tc>
          <w:tcPr>
            <w:tcW w:w="4865" w:type="dxa"/>
            <w:gridSpan w:val="5"/>
            <w:tcBorders/>
            <w:vAlign w:val="center"/>
          </w:tcPr>
          <w:p>
            <w:pPr>
              <w:pStyle w:val="TableContents"/>
              <w:bidi w:val="0"/>
              <w:spacing w:before="0" w:after="0"/>
              <w:ind w:left="0" w:right="0" w:hanging="0"/>
              <w:jc w:val="right"/>
              <w:rPr/>
            </w:pPr>
            <w:r>
              <w:rPr/>
              <w:t xml:space="preserve">Total Fee Offsets: </w:t>
            </w:r>
          </w:p>
        </w:tc>
        <w:tc>
          <w:tcPr>
            <w:tcW w:w="129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865" w:type="dxa"/>
            <w:gridSpan w:val="5"/>
            <w:tcBorders/>
            <w:vAlign w:val="center"/>
          </w:tcPr>
          <w:p>
            <w:pPr>
              <w:pStyle w:val="TableContents"/>
              <w:bidi w:val="0"/>
              <w:spacing w:before="0" w:after="0"/>
              <w:ind w:left="0" w:right="0" w:hanging="0"/>
              <w:jc w:val="right"/>
              <w:rPr/>
            </w:pPr>
            <w:r>
              <w:rPr/>
              <w:t xml:space="preserve">Net Fee Due: </w:t>
            </w:r>
          </w:p>
        </w:tc>
        <w:tc>
          <w:tcPr>
            <w:tcW w:w="129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0"/>
              <w:ind w:left="0" w:right="0" w:hanging="0"/>
              <w:jc w:val="right"/>
              <w:rPr/>
            </w:pPr>
            <w:bookmarkStart w:id="7" w:name="NetFeeAmt"/>
            <w:bookmarkEnd w:id="7"/>
            <w:r>
              <w:rPr/>
              <w:t xml:space="preserve">$ 112.54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4"/>
        <w:gridCol w:w="8710"/>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Amount Registered - (1) 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 (2) Consists of shares issuable under a new hire inducement stock option award to be granted on September 28, 2026 to an employee in accordance with Nasdaq Listing Rule 5635(c)(4), as an inducement material to such employee entering into employment with the Registrant. Proposed Maximum Offering Price Per Unit and Maximum Aggregate Offering Price - (3) Estimated solely for the purpose of calculating the registration fee pursuant to Rules 457(c) and 457(h) of the Securities Act of 1933, as amended, and based upon the average of the high and low prices of the Registrant's Common Stock reported on the Nasdaq Global Select Market on September 24, 2026.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4" w:type="dxa"/>
            <w:gridSpan w:val="2"/>
            <w:tcBorders/>
            <w:vAlign w:val="center"/>
          </w:tcPr>
          <w:p>
            <w:pPr>
              <w:pStyle w:val="TableContents"/>
              <w:bidi w:val="0"/>
              <w:spacing w:before="0" w:after="283"/>
              <w:jc w:val="left"/>
              <w:rPr/>
            </w:pPr>
            <w:r>
              <w:rPr/>
              <w:t xml:space="preserve">Amount Registered - (1) 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 (2) Consists of shares issuable under a new hire inducement restricted stock unit award to be granted on September 28, 2026 to an employee in accordance with Nasdaq Listing Rule 5635(c)(4), as an inducement material to such employee entering into employment with the Registrant. Proposed Maximum Offering Price Per Unit and Maximum Aggregate Offering Price - (3) Estimated solely for the purpose of calculating the registration fee pursuant to Rules 457(c) and 457(h) of the Securities Act of 1933, as amended, and based upon the average of the high and low prices of the Registrant's Common Stock reported on the Nasdaq Global Select Market on September 24, 2026.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5.1</w:t>
      </w:r>
    </w:p>
    <w:p>
      <w:pPr>
        <w:pStyle w:val="TextBody"/>
        <w:bidi w:val="0"/>
        <w:spacing w:before="0" w:after="0"/>
        <w:jc w:val="right"/>
        <w:rPr/>
      </w:pPr>
      <w:r>
        <w:rPr/>
      </w:r>
    </w:p>
    <w:p>
      <w:pPr>
        <w:pStyle w:val="TextBody"/>
        <w:bidi w:val="0"/>
        <w:spacing w:before="0" w:after="0"/>
        <w:jc w:val="right"/>
        <w:rPr/>
      </w:pPr>
      <w:r>
        <w:rPr/>
        <w:drawing>
          <wp:inline distT="0" distB="0" distL="0" distR="0">
            <wp:extent cx="1171575" cy="15240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9"/>
                    <a:stretch>
                      <a:fillRect/>
                    </a:stretch>
                  </pic:blipFill>
                  <pic:spPr bwMode="auto">
                    <a:xfrm>
                      <a:off x="0" y="0"/>
                      <a:ext cx="1171575" cy="152400"/>
                    </a:xfrm>
                    <a:prstGeom prst="rect">
                      <a:avLst/>
                    </a:prstGeom>
                  </pic:spPr>
                </pic:pic>
              </a:graphicData>
            </a:graphic>
          </wp:inline>
        </w:drawing>
      </w:r>
    </w:p>
    <w:p>
      <w:pPr>
        <w:pStyle w:val="TextBody"/>
        <w:bidi w:val="0"/>
        <w:spacing w:before="0" w:after="0"/>
        <w:jc w:val="left"/>
        <w:rPr/>
      </w:pPr>
      <w:r>
        <w:rPr/>
      </w:r>
    </w:p>
    <w:tbl>
      <w:tblPr>
        <w:tblW w:w="1395" w:type="dxa"/>
        <w:jc w:val="left"/>
        <w:tblInd w:w="0" w:type="dxa"/>
        <w:tblLayout w:type="fixed"/>
        <w:tblCellMar>
          <w:top w:w="28" w:type="dxa"/>
          <w:left w:w="28" w:type="dxa"/>
          <w:bottom w:w="28" w:type="dxa"/>
          <w:right w:w="28" w:type="dxa"/>
        </w:tblCellMar>
      </w:tblPr>
      <w:tblGrid>
        <w:gridCol w:w="447"/>
        <w:gridCol w:w="392"/>
        <w:gridCol w:w="556"/>
      </w:tblGrid>
      <w:tr>
        <w:trPr/>
        <w:tc>
          <w:tcPr>
            <w:tcW w:w="44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
              <w:jc w:val="right"/>
              <w:rPr/>
            </w:pPr>
            <w:r>
              <w:rPr/>
            </w:r>
          </w:p>
          <w:p>
            <w:pPr>
              <w:pStyle w:val="TableContents"/>
              <w:bidi w:val="0"/>
              <w:spacing w:lineRule="auto" w:line="240" w:before="0" w:after="2"/>
              <w:jc w:val="right"/>
              <w:rPr/>
            </w:pPr>
            <w:r>
              <w:rPr>
                <w:rFonts w:ascii="Arial;sans-serif" w:hAnsi="Arial;sans-serif"/>
                <w:b/>
                <w:color w:val="000000"/>
                <w:sz w:val="14"/>
              </w:rPr>
              <w:t>+1 617 526 6000</w:t>
            </w:r>
            <w:r>
              <w:rPr>
                <w:color w:val="000000"/>
              </w:rPr>
              <w:t xml:space="preserve"> </w:t>
            </w:r>
            <w:r>
              <w:rPr>
                <w:rFonts w:ascii="Arial;sans-serif" w:hAnsi="Arial;sans-serif"/>
                <w:b w:val="false"/>
                <w:color w:val="000000"/>
                <w:sz w:val="14"/>
              </w:rPr>
              <w:t>(t)</w:t>
            </w:r>
          </w:p>
          <w:p>
            <w:pPr>
              <w:pStyle w:val="TableContents"/>
              <w:bidi w:val="0"/>
              <w:spacing w:lineRule="auto" w:line="240" w:before="0" w:after="2"/>
              <w:jc w:val="right"/>
              <w:rPr/>
            </w:pPr>
            <w:r>
              <w:rPr>
                <w:rFonts w:ascii="Arial;sans-serif" w:hAnsi="Arial;sans-serif"/>
                <w:b/>
                <w:color w:val="000000"/>
                <w:sz w:val="14"/>
              </w:rPr>
              <w:t>+1 617 526 5000</w:t>
            </w:r>
            <w:r>
              <w:rPr>
                <w:color w:val="000000"/>
              </w:rPr>
              <w:t xml:space="preserve"> </w:t>
            </w:r>
            <w:r>
              <w:rPr>
                <w:rFonts w:ascii="Arial;sans-serif" w:hAnsi="Arial;sans-serif"/>
                <w:b w:val="false"/>
                <w:color w:val="000000"/>
                <w:sz w:val="14"/>
              </w:rPr>
              <w:t>(f)</w:t>
            </w:r>
          </w:p>
          <w:p>
            <w:pPr>
              <w:pStyle w:val="TableContents"/>
              <w:bidi w:val="0"/>
              <w:spacing w:lineRule="auto" w:line="240" w:before="0" w:after="2"/>
              <w:jc w:val="right"/>
              <w:rPr>
                <w:rFonts w:ascii="Arial;sans-serif" w:hAnsi="Arial;sans-serif"/>
                <w:b w:val="false"/>
                <w:color w:val="000000"/>
                <w:sz w:val="14"/>
              </w:rPr>
            </w:pPr>
            <w:r>
              <w:rPr>
                <w:rFonts w:ascii="Arial;sans-serif" w:hAnsi="Arial;sans-serif"/>
                <w:b w:val="false"/>
                <w:color w:val="000000"/>
                <w:sz w:val="14"/>
              </w:rPr>
              <w:t>wilmerhale.com</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240" w:before="0" w:after="2"/>
        <w:jc w:val="left"/>
        <w:rPr>
          <w:rFonts w:ascii="Times New Roman;serif" w:hAnsi="Times New Roman;serif"/>
          <w:b w:val="false"/>
          <w:color w:val="000000"/>
          <w:sz w:val="24"/>
        </w:rPr>
      </w:pPr>
      <w:r>
        <w:rPr>
          <w:rFonts w:ascii="Times New Roman;serif" w:hAnsi="Times New Roman;serif"/>
          <w:b w:val="false"/>
          <w:color w:val="000000"/>
          <w:sz w:val="24"/>
        </w:rPr>
        <w:t>September 28,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Arvinas,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5 Science Park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395 Winchester Ave.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New Haven, CT 06511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Re: Registration Statement on Form S-8 Inducement Stock Option Award (September 2026) and Inducement Restricted Stock Unit Award (September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Ladies and Gentlemen: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have assisted in the preparation of a Registration Statement on Form S-8 (the “Registration Statement”) to be filed with the Securities and Exchange Commission (the “Commission”) under the Securities Act of 1933, as amended (the “Securities Act”), relating to an aggregate of 107,154 shares (the “Shares”) of common stock, $0.001 par value per share (“Common Stock”), of Arvinas, Inc., a Delaware corporation (the “Company”), consisting of (i) 64,766 shares of Common Stock issuable pursuant to an inducement stock option agreement providing for an employee inducement grant between the Company and an employee, which was or will be entered into in connection with the commencement of such employee’s employment with the Company pursuant to Nasdaq Stock Market Rule 5635(c)(4) (the “Inducement Stock Option Award Agreement”), and (ii) 42,388 shares of Common Stock issuable pursuant to an inducement restricted stock unit agreement providing for an employee inducement grant between the Company and an employee, which was or will be entered into in connection with the commencement of such employee’s employment with the Company pursuant to Nasdaq Stock Market Rule 5635(c)(4) (the “Inducement Restricted Stock Unit Award Agreement,” and together with the Inducement Stock Option Award Agreement, the “Inducement Award Agreements”).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have examined the Certificate of Incorporation and Bylaws of the Company, each as amended and restated to date, and originals, or copies certified to our satisfaction, of all pertinent records of the meetings of the board of directors and stockholders of the Company, the Registration Statement, the Inducement Award Agreements and such other documents relating to the Company as we have deemed material for the purposes of this opinion.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96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52145"/>
                <wp:effectExtent l="0" t="0" r="0" b="0"/>
                <wp:wrapNone/>
                <wp:docPr id="9" name="Frame8"/>
                <a:graphic xmlns:a="http://schemas.openxmlformats.org/drawingml/2006/main">
                  <a:graphicData uri="http://schemas.microsoft.com/office/word/2010/wordprocessingShape">
                    <wps:wsp>
                      <wps:cNvSpPr txBox="1"/>
                      <wps:spPr>
                        <a:xfrm>
                          <a:off x="0" y="0"/>
                          <a:ext cx="6480175" cy="652145"/>
                        </a:xfrm>
                        <a:prstGeom prst="rect"/>
                        <a:solidFill>
                          <a:srgbClr val="FFFFFF"/>
                        </a:solidFill>
                      </wps:spPr>
                      <wps:txbx>
                        <w:txbxContent>
                          <w:p>
                            <w:pPr>
                              <w:pStyle w:val="TextBody"/>
                              <w:bidi w:val="0"/>
                              <w:spacing w:before="0" w:after="0"/>
                              <w:jc w:val="center"/>
                              <w:rPr/>
                            </w:pPr>
                            <w:r>
                              <w:rPr/>
                              <w:drawing>
                                <wp:inline distT="0" distB="0" distL="0" distR="0">
                                  <wp:extent cx="5943600" cy="23812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10"/>
                                          <a:stretch>
                                            <a:fillRect/>
                                          </a:stretch>
                                        </pic:blipFill>
                                        <pic:spPr bwMode="auto">
                                          <a:xfrm>
                                            <a:off x="0" y="0"/>
                                            <a:ext cx="5943600" cy="238125"/>
                                          </a:xfrm>
                                          <a:prstGeom prst="rect">
                                            <a:avLst/>
                                          </a:prstGeom>
                                        </pic:spPr>
                                      </pic:pic>
                                    </a:graphicData>
                                  </a:graphic>
                                </wp:inline>
                              </w:drawing>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5943600" cy="238125"/>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11"/>
                                    <a:stretch>
                                      <a:fillRect/>
                                    </a:stretch>
                                  </pic:blipFill>
                                  <pic:spPr bwMode="auto">
                                    <a:xfrm>
                                      <a:off x="0" y="0"/>
                                      <a:ext cx="5943600" cy="23812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right"/>
        <w:rPr/>
      </w:pPr>
      <w:r>
        <w:rPr/>
        <w:drawing>
          <wp:inline distT="0" distB="0" distL="0" distR="0">
            <wp:extent cx="1171575" cy="15240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12"/>
                    <a:stretch>
                      <a:fillRect/>
                    </a:stretch>
                  </pic:blipFill>
                  <pic:spPr bwMode="auto">
                    <a:xfrm>
                      <a:off x="0" y="0"/>
                      <a:ext cx="1171575" cy="1524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before="0" w:after="2"/>
        <w:jc w:val="left"/>
        <w:rPr>
          <w:rFonts w:ascii="Times New Roman;serif" w:hAnsi="Times New Roman;serif"/>
          <w:b w:val="false"/>
          <w:color w:val="000000"/>
          <w:sz w:val="22"/>
        </w:rPr>
      </w:pPr>
      <w:r>
        <w:rPr>
          <w:rFonts w:ascii="Times New Roman;serif" w:hAnsi="Times New Roman;serif"/>
          <w:b w:val="false"/>
          <w:color w:val="000000"/>
          <w:sz w:val="22"/>
        </w:rPr>
        <w:t>September 28, 2026</w:t>
      </w:r>
    </w:p>
    <w:p>
      <w:pPr>
        <w:pStyle w:val="TextBody"/>
        <w:bidi w:val="0"/>
        <w:spacing w:lineRule="auto" w:line="240" w:before="0" w:after="2"/>
        <w:jc w:val="left"/>
        <w:rPr>
          <w:rFonts w:ascii="Times New Roman;serif" w:hAnsi="Times New Roman;serif"/>
          <w:b w:val="false"/>
          <w:color w:val="000000"/>
          <w:sz w:val="22"/>
        </w:rPr>
      </w:pPr>
      <w:r>
        <w:rPr>
          <w:rFonts w:ascii="Times New Roman;serif" w:hAnsi="Times New Roman;serif"/>
          <w:b w:val="false"/>
          <w:color w:val="000000"/>
          <w:sz w:val="22"/>
        </w:rPr>
        <w:t>Page 2</w:t>
      </w:r>
    </w:p>
    <w:p>
      <w:pPr>
        <w:pStyle w:val="TextBody"/>
        <w:bidi w:val="0"/>
        <w:spacing w:before="0" w:after="0"/>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2"/>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assume that the appropriate action will be taken, prior to the offer and sale of the Shares in accordance with the Inducement Award Agreements, as applicable, to register and qualify the Shares for sale under all applicable state securities or “blue sky” laws.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express no opinion herein as to the laws of any state or jurisdiction other than the General Corporation Law of the State of Delaware.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It is understood that this opinion is to be used only in connection with the offer and sale of the Shares while the Registration Statement is in effect.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Please note that we are opining only as to the matters expressly set forth herein, and no opinion should be inferred as to any other matters.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Based on the foregoing, we are of the opinion that the Shares have been duly authorized for issuance and, when the Shares are issued and paid for in accordance with the terms and conditions of the Inducement Award Agreements, as applicable, the Shares will be validly issued, fully paid and nonassessable.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6090" w:type="dxa"/>
        <w:jc w:val="right"/>
        <w:tblInd w:w="0" w:type="dxa"/>
        <w:tblLayout w:type="fixed"/>
        <w:tblCellMar>
          <w:top w:w="28" w:type="dxa"/>
          <w:left w:w="28" w:type="dxa"/>
          <w:bottom w:w="28" w:type="dxa"/>
          <w:right w:w="28" w:type="dxa"/>
        </w:tblCellMar>
      </w:tblPr>
      <w:tblGrid>
        <w:gridCol w:w="1948"/>
        <w:gridCol w:w="1709"/>
        <w:gridCol w:w="2433"/>
      </w:tblGrid>
      <w:tr>
        <w:trPr/>
        <w:tc>
          <w:tcPr>
            <w:tcW w:w="1948"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Very truly yours,</w:t>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Wilmer Cutler Pickering Hale and Dorr LLP</w:t>
            </w:r>
          </w:p>
        </w:tc>
      </w:tr>
      <w:tr>
        <w:trPr/>
        <w:tc>
          <w:tcPr>
            <w:tcW w:w="609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WILMER CUTLER PICKERING HALE AND DORR LLP</w:t>
            </w:r>
          </w:p>
        </w:tc>
      </w:tr>
    </w:tbl>
    <w:p>
      <w:pPr>
        <w:pStyle w:val="TextBody"/>
        <w:bidi w:val="0"/>
        <w:spacing w:before="0" w:after="2"/>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23.2</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3"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00"/>
        <w:jc w:val="left"/>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We consent to the incorporation by reference in this Registration Statement on Form S-8 of our reports dated February 24, 2026, relating to the consolidated financial statements of Arvinas, Inc. and subsidiaries (the “Company”), and the effectiveness of the Company’s internal control over financial reporting, appearing in the Annual Report on Form 10-K of Arvinas, Inc. and subsidiaries for the year ended December 31, 2025.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 Deloitte &amp; Touche LLP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Boston, Massachusetts</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September 28,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4"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655759/000162828026011226/arvn-20251231.htm" TargetMode="External"/><Relationship Id="rId3" Type="http://schemas.openxmlformats.org/officeDocument/2006/relationships/hyperlink" Target="https://www.sec.gov/Archives/edgar/data/1655759/000119312518280053/d589006d8a12b.htm" TargetMode="External"/><Relationship Id="rId4" Type="http://schemas.openxmlformats.org/officeDocument/2006/relationships/hyperlink" Target="https://www.sec.gov/Archives/edgar/data/1655759/000156459020011004/arvn-ex44_268.htm" TargetMode="External"/><Relationship Id="rId5" Type="http://schemas.openxmlformats.org/officeDocument/2006/relationships/hyperlink" Target="https://www.sec.gov/Archives/edgar/data/1655759/000119312518289513/d615527dex31.htm" TargetMode="External"/><Relationship Id="rId6" Type="http://schemas.openxmlformats.org/officeDocument/2006/relationships/hyperlink" Target="https://www.sec.gov/Archives/edgar/data/1655759/000165575923000073/exhibit31-secondamendeda.htm" TargetMode="External"/><Relationship Id="rId7" Type="http://schemas.openxmlformats.org/officeDocument/2006/relationships/hyperlink" Target="https://www.sec.gov/Archives/edgar/data/1655759/000165575924000009/arvinas-optioninducement.htm" TargetMode="External"/><Relationship Id="rId8" Type="http://schemas.openxmlformats.org/officeDocument/2006/relationships/hyperlink" Target="https://www.sec.gov/Archives/edgar/data/1655759/000165575924000009/arvinas-rsuinducementgra.htm" TargetMode="External"/><Relationship Id="rId9" Type="http://schemas.openxmlformats.org/officeDocument/2006/relationships/image" Target="media/image1.pn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1.pn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4358</Words>
  <Characters>23171</Characters>
  <CharactersWithSpaces>27398</CharactersWithSpaces>
  <Paragraphs>268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