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501.xml.htm"/>
      <w:bookmarkStart w:id="1" w:name="kswkform4_1778703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Saik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ARVINAS,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SCIENCE PARK, 395 WINCHESTER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ARVINAS,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ARVN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9.9374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193,128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automatically by the Issuer to cover tax withholding obligations in connection with the vesting and settlement of one-half of the reporting person's restricted stock units (RSUs) granted on May 9, 2025. The sale does not represent a discretionary trade.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Freedberg, as attorney-in-fact for Andrew Saik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284" TargetMode="External"/><Relationship Id="rId5" Type="http://schemas.openxmlformats.org/officeDocument/2006/relationships/hyperlink" Target="http://www.sec.gov/cgi-bin/browse-edgar?action=getcompany&amp;CIK=00016557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3330</Characters>
  <CharactersWithSpaces>3882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