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4"/>
          <w:szCs w:val="24"/>
          <w:color w:val="auto"/>
        </w:rPr>
      </w:pPr>
    </w:p>
    <w:p>
      <w:pPr>
        <w:jc w:val="right"/>
        <w:spacing w:after="0"/>
        <w:rPr>
          <w:sz w:val="20"/>
          <w:szCs w:val="20"/>
          <w:color w:val="auto"/>
        </w:rPr>
      </w:pPr>
      <w:r>
        <w:rPr>
          <w:rFonts w:ascii="Arial" w:cs="Arial" w:eastAsia="Arial" w:hAnsi="Arial"/>
          <w:sz w:val="17"/>
          <w:szCs w:val="17"/>
          <w:b w:val="1"/>
          <w:bCs w:val="1"/>
          <w:color w:val="auto"/>
        </w:rPr>
        <w:t>Filed pursuant to Rule 424(b)(4)</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7"/>
          <w:szCs w:val="17"/>
          <w:b w:val="1"/>
          <w:bCs w:val="1"/>
          <w:color w:val="auto"/>
        </w:rPr>
        <w:t>File No. 333-227112</w:t>
      </w:r>
    </w:p>
    <w:p>
      <w:pPr>
        <w:spacing w:after="0" w:line="148" w:lineRule="exact"/>
        <w:rPr>
          <w:sz w:val="24"/>
          <w:szCs w:val="24"/>
          <w:color w:val="auto"/>
        </w:rPr>
      </w:pPr>
    </w:p>
    <w:p>
      <w:pPr>
        <w:jc w:val="center"/>
        <w:ind w:right="-359"/>
        <w:spacing w:after="0"/>
        <w:rPr>
          <w:sz w:val="20"/>
          <w:szCs w:val="20"/>
          <w:color w:val="auto"/>
        </w:rPr>
      </w:pPr>
      <w:r>
        <w:rPr>
          <w:rFonts w:ascii="Arial" w:cs="Arial" w:eastAsia="Arial" w:hAnsi="Arial"/>
          <w:sz w:val="24"/>
          <w:szCs w:val="24"/>
          <w:color w:val="auto"/>
        </w:rPr>
        <w:t>7,500,000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2583815</wp:posOffset>
            </wp:positionH>
            <wp:positionV relativeFrom="paragraph">
              <wp:posOffset>231775</wp:posOffset>
            </wp:positionV>
            <wp:extent cx="2098040" cy="6076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98040" cy="6076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359"/>
        <w:spacing w:after="0"/>
        <w:rPr>
          <w:sz w:val="20"/>
          <w:szCs w:val="20"/>
          <w:color w:val="auto"/>
        </w:rPr>
      </w:pPr>
      <w:r>
        <w:rPr>
          <w:rFonts w:ascii="Arial" w:cs="Arial" w:eastAsia="Arial" w:hAnsi="Arial"/>
          <w:sz w:val="24"/>
          <w:szCs w:val="24"/>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2916555</wp:posOffset>
            </wp:positionH>
            <wp:positionV relativeFrom="paragraph">
              <wp:posOffset>207010</wp:posOffset>
            </wp:positionV>
            <wp:extent cx="1423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670" cy="8255"/>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ind w:left="900"/>
        <w:spacing w:after="0"/>
        <w:rPr>
          <w:sz w:val="20"/>
          <w:szCs w:val="20"/>
          <w:color w:val="auto"/>
        </w:rPr>
      </w:pPr>
      <w:r>
        <w:rPr>
          <w:rFonts w:ascii="Arial" w:cs="Arial" w:eastAsia="Arial" w:hAnsi="Arial"/>
          <w:sz w:val="17"/>
          <w:szCs w:val="17"/>
          <w:color w:val="auto"/>
        </w:rPr>
        <w:t>This is the initial offering of shares of common stock of Arvinas, Inc.</w:t>
      </w:r>
    </w:p>
    <w:p>
      <w:pPr>
        <w:spacing w:after="0" w:line="185" w:lineRule="exact"/>
        <w:rPr>
          <w:sz w:val="24"/>
          <w:szCs w:val="24"/>
          <w:color w:val="auto"/>
        </w:rPr>
      </w:pPr>
    </w:p>
    <w:p>
      <w:pPr>
        <w:ind w:left="900"/>
        <w:spacing w:after="0"/>
        <w:rPr>
          <w:sz w:val="20"/>
          <w:szCs w:val="20"/>
          <w:color w:val="auto"/>
        </w:rPr>
      </w:pPr>
      <w:r>
        <w:rPr>
          <w:rFonts w:ascii="Arial" w:cs="Arial" w:eastAsia="Arial" w:hAnsi="Arial"/>
          <w:sz w:val="17"/>
          <w:szCs w:val="17"/>
          <w:color w:val="auto"/>
        </w:rPr>
        <w:t>We are offering 7,500,000 shares of our common stock.</w:t>
      </w:r>
    </w:p>
    <w:p>
      <w:pPr>
        <w:spacing w:after="0" w:line="172" w:lineRule="exact"/>
        <w:rPr>
          <w:sz w:val="24"/>
          <w:szCs w:val="24"/>
          <w:color w:val="auto"/>
        </w:rPr>
      </w:pPr>
    </w:p>
    <w:p>
      <w:pPr>
        <w:ind w:left="360" w:right="400" w:firstLine="535"/>
        <w:spacing w:after="0" w:line="259" w:lineRule="auto"/>
        <w:rPr>
          <w:sz w:val="20"/>
          <w:szCs w:val="20"/>
          <w:color w:val="auto"/>
        </w:rPr>
      </w:pPr>
      <w:r>
        <w:rPr>
          <w:rFonts w:ascii="Arial" w:cs="Arial" w:eastAsia="Arial" w:hAnsi="Arial"/>
          <w:sz w:val="17"/>
          <w:szCs w:val="17"/>
          <w:color w:val="auto"/>
        </w:rPr>
        <w:t>Prior to this offering, there was no public market for our common stock. The initial public offering price per share is $16.00. Our common stock has been approved for listing on the Nasdaq Global Select Market under the symbol “ARVN.”</w:t>
      </w:r>
    </w:p>
    <w:p>
      <w:pPr>
        <w:spacing w:after="0" w:line="124" w:lineRule="exact"/>
        <w:rPr>
          <w:sz w:val="24"/>
          <w:szCs w:val="24"/>
          <w:color w:val="auto"/>
        </w:rPr>
      </w:pPr>
    </w:p>
    <w:p>
      <w:pPr>
        <w:ind w:left="360" w:right="20" w:firstLine="535"/>
        <w:spacing w:after="0" w:line="281" w:lineRule="auto"/>
        <w:rPr>
          <w:sz w:val="20"/>
          <w:szCs w:val="20"/>
          <w:color w:val="auto"/>
        </w:rPr>
      </w:pPr>
      <w:r>
        <w:rPr>
          <w:rFonts w:ascii="Arial" w:cs="Arial" w:eastAsia="Arial" w:hAnsi="Arial"/>
          <w:sz w:val="17"/>
          <w:szCs w:val="17"/>
          <w:i w:val="1"/>
          <w:iCs w:val="1"/>
          <w:color w:val="auto"/>
        </w:rPr>
        <w:t>We are an “emerging growth company” as that term is used in the Jumpstart Our Business Startups Act of 2012 and, as such, have elected to comply with certain reduced public company requirements.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2916555</wp:posOffset>
            </wp:positionH>
            <wp:positionV relativeFrom="paragraph">
              <wp:posOffset>179070</wp:posOffset>
            </wp:positionV>
            <wp:extent cx="14236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670" cy="8255"/>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ind w:left="900"/>
        <w:spacing w:after="0"/>
        <w:rPr>
          <w:rFonts w:ascii="Arial" w:cs="Arial" w:eastAsia="Arial" w:hAnsi="Arial"/>
          <w:sz w:val="17"/>
          <w:szCs w:val="17"/>
          <w:i w:val="1"/>
          <w:iCs w:val="1"/>
          <w:color w:val="auto"/>
        </w:rPr>
      </w:pPr>
      <w:r>
        <w:rPr>
          <w:rFonts w:ascii="Arial" w:cs="Arial" w:eastAsia="Arial" w:hAnsi="Arial"/>
          <w:sz w:val="17"/>
          <w:szCs w:val="17"/>
          <w:i w:val="1"/>
          <w:iCs w:val="1"/>
          <w:color w:val="auto"/>
        </w:rPr>
        <w:t>See “</w:t>
      </w:r>
      <w:hyperlink w:anchor="page15">
        <w:r>
          <w:rPr>
            <w:rFonts w:ascii="Arial" w:cs="Arial" w:eastAsia="Arial" w:hAnsi="Arial"/>
            <w:sz w:val="17"/>
            <w:szCs w:val="17"/>
            <w:i w:val="1"/>
            <w:iCs w:val="1"/>
            <w:u w:val="single" w:color="auto"/>
            <w:color w:val="0000EE"/>
          </w:rPr>
          <w:t>Risk Factors</w:t>
        </w:r>
      </w:hyperlink>
      <w:r>
        <w:rPr>
          <w:rFonts w:ascii="Arial" w:cs="Arial" w:eastAsia="Arial" w:hAnsi="Arial"/>
          <w:sz w:val="17"/>
          <w:szCs w:val="17"/>
          <w:i w:val="1"/>
          <w:iCs w:val="1"/>
          <w:color w:val="auto"/>
        </w:rPr>
        <w:t>” beginning on page 13 to read about factors you should consider before buying shares of our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2916555</wp:posOffset>
            </wp:positionH>
            <wp:positionV relativeFrom="paragraph">
              <wp:posOffset>212725</wp:posOffset>
            </wp:positionV>
            <wp:extent cx="1423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670" cy="8255"/>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ind w:left="360" w:right="140" w:firstLine="535"/>
        <w:spacing w:after="0" w:line="26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nor passed upon the accuracy or adequacy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2916555</wp:posOffset>
            </wp:positionH>
            <wp:positionV relativeFrom="paragraph">
              <wp:posOffset>180975</wp:posOffset>
            </wp:positionV>
            <wp:extent cx="1423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6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tbl>
      <w:tblPr>
        <w:tblLayout w:type="fixed"/>
        <w:tblInd w:w="3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3200" w:type="dxa"/>
            <w:vAlign w:val="bottom"/>
            <w:gridSpan w:val="3"/>
          </w:tcPr>
          <w:p>
            <w:pPr>
              <w:jc w:val="right"/>
              <w:spacing w:after="0"/>
              <w:rPr>
                <w:sz w:val="20"/>
                <w:szCs w:val="20"/>
                <w:color w:val="auto"/>
              </w:rPr>
            </w:pPr>
            <w:r>
              <w:rPr>
                <w:rFonts w:ascii="Arial" w:cs="Arial" w:eastAsia="Arial" w:hAnsi="Arial"/>
                <w:sz w:val="17"/>
                <w:szCs w:val="17"/>
                <w:color w:val="auto"/>
              </w:rPr>
              <w:t>Per share</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ind w:left="260"/>
              <w:spacing w:after="0"/>
              <w:rPr>
                <w:sz w:val="20"/>
                <w:szCs w:val="20"/>
                <w:color w:val="auto"/>
              </w:rPr>
            </w:pPr>
            <w:r>
              <w:rPr>
                <w:rFonts w:ascii="Arial" w:cs="Arial" w:eastAsia="Arial" w:hAnsi="Arial"/>
                <w:sz w:val="17"/>
                <w:szCs w:val="17"/>
                <w:color w:val="auto"/>
              </w:rPr>
              <w:t>Total</w:t>
            </w:r>
          </w:p>
        </w:tc>
      </w:tr>
      <w:tr>
        <w:trPr>
          <w:trHeight w:val="190"/>
        </w:trPr>
        <w:tc>
          <w:tcPr>
            <w:tcW w:w="20" w:type="dxa"/>
            <w:vAlign w:val="bottom"/>
          </w:tcPr>
          <w:p>
            <w:pPr>
              <w:spacing w:after="0"/>
              <w:rPr>
                <w:sz w:val="16"/>
                <w:szCs w:val="16"/>
                <w:color w:val="auto"/>
              </w:rPr>
            </w:pPr>
          </w:p>
        </w:tc>
        <w:tc>
          <w:tcPr>
            <w:tcW w:w="578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Initial public offering price</w:t>
            </w:r>
          </w:p>
        </w:tc>
        <w:tc>
          <w:tcPr>
            <w:tcW w:w="24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16.00</w:t>
            </w:r>
          </w:p>
        </w:tc>
        <w:tc>
          <w:tcPr>
            <w:tcW w:w="5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120,000,000</w:t>
            </w:r>
          </w:p>
        </w:tc>
        <w:tc>
          <w:tcPr>
            <w:tcW w:w="40" w:type="dxa"/>
            <w:vAlign w:val="bottom"/>
            <w:tcBorders>
              <w:top w:val="single" w:sz="8" w:color="CCEEFF"/>
            </w:tcBorders>
            <w:shd w:val="clear" w:color="auto" w:fill="CCEEFF"/>
          </w:tcPr>
          <w:p>
            <w:pPr>
              <w:spacing w:after="0"/>
              <w:rPr>
                <w:sz w:val="16"/>
                <w:szCs w:val="16"/>
                <w:color w:val="auto"/>
              </w:rPr>
            </w:pPr>
          </w:p>
        </w:tc>
      </w:tr>
      <w:tr>
        <w:trPr>
          <w:trHeight w:val="197"/>
        </w:trPr>
        <w:tc>
          <w:tcPr>
            <w:tcW w:w="20" w:type="dxa"/>
            <w:vAlign w:val="bottom"/>
          </w:tcPr>
          <w:p>
            <w:pPr>
              <w:spacing w:after="0"/>
              <w:rPr>
                <w:sz w:val="17"/>
                <w:szCs w:val="17"/>
                <w:color w:val="auto"/>
              </w:rPr>
            </w:pPr>
          </w:p>
        </w:tc>
        <w:tc>
          <w:tcPr>
            <w:tcW w:w="5780" w:type="dxa"/>
            <w:vAlign w:val="bottom"/>
          </w:tcPr>
          <w:p>
            <w:pPr>
              <w:spacing w:after="0"/>
              <w:rPr>
                <w:sz w:val="20"/>
                <w:szCs w:val="20"/>
                <w:color w:val="auto"/>
              </w:rPr>
            </w:pPr>
            <w:r>
              <w:rPr>
                <w:rFonts w:ascii="Arial" w:cs="Arial" w:eastAsia="Arial" w:hAnsi="Arial"/>
                <w:sz w:val="17"/>
                <w:szCs w:val="17"/>
                <w:color w:val="auto"/>
              </w:rPr>
              <w:t>Underwriting discounts(1)</w:t>
            </w:r>
          </w:p>
        </w:tc>
        <w:tc>
          <w:tcPr>
            <w:tcW w:w="2640" w:type="dxa"/>
            <w:vAlign w:val="bottom"/>
            <w:gridSpan w:val="2"/>
          </w:tcPr>
          <w:p>
            <w:pPr>
              <w:jc w:val="right"/>
              <w:ind w:right="44"/>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1.12</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8,400,000</w:t>
            </w:r>
          </w:p>
        </w:tc>
        <w:tc>
          <w:tcPr>
            <w:tcW w:w="4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Proceeds, before expenses, to Arvinas, Inc.</w:t>
            </w:r>
          </w:p>
        </w:tc>
        <w:tc>
          <w:tcPr>
            <w:tcW w:w="2640" w:type="dxa"/>
            <w:vAlign w:val="bottom"/>
            <w:gridSpan w:val="2"/>
            <w:shd w:val="clear" w:color="auto" w:fill="CCEEFF"/>
          </w:tcPr>
          <w:p>
            <w:pPr>
              <w:jc w:val="right"/>
              <w:ind w:right="44"/>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111,600,000</w:t>
            </w:r>
          </w:p>
        </w:tc>
        <w:tc>
          <w:tcPr>
            <w:tcW w:w="40" w:type="dxa"/>
            <w:vAlign w:val="bottom"/>
            <w:shd w:val="clear" w:color="auto" w:fill="CCEEFF"/>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wp:posOffset>
            </wp:positionH>
            <wp:positionV relativeFrom="paragraph">
              <wp:posOffset>83185</wp:posOffset>
            </wp:positionV>
            <wp:extent cx="6743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4370" cy="8255"/>
                    </a:xfrm>
                    <a:prstGeom prst="rect">
                      <a:avLst/>
                    </a:prstGeom>
                    <a:noFill/>
                  </pic:spPr>
                </pic:pic>
              </a:graphicData>
            </a:graphic>
          </wp:anchor>
        </w:drawing>
      </w:r>
    </w:p>
    <w:p>
      <w:pPr>
        <w:spacing w:after="0" w:line="150" w:lineRule="exact"/>
        <w:rPr>
          <w:sz w:val="24"/>
          <w:szCs w:val="24"/>
          <w:color w:val="auto"/>
        </w:rPr>
      </w:pPr>
    </w:p>
    <w:p>
      <w:pPr>
        <w:ind w:left="880" w:hanging="515"/>
        <w:spacing w:after="0"/>
        <w:tabs>
          <w:tab w:leader="none" w:pos="880" w:val="left"/>
        </w:tabs>
        <w:numPr>
          <w:ilvl w:val="0"/>
          <w:numId w:val="1"/>
        </w:numPr>
        <w:rPr>
          <w:rFonts w:ascii="Arial" w:cs="Arial" w:eastAsia="Arial" w:hAnsi="Arial"/>
          <w:sz w:val="17"/>
          <w:szCs w:val="17"/>
          <w:color w:val="auto"/>
        </w:rPr>
      </w:pPr>
      <w:r>
        <w:rPr>
          <w:rFonts w:ascii="Arial" w:cs="Arial" w:eastAsia="Arial" w:hAnsi="Arial"/>
          <w:sz w:val="17"/>
          <w:szCs w:val="17"/>
          <w:color w:val="auto"/>
        </w:rPr>
        <w:t>See the section titled “Underwriting” for a description of the compensation payable to the underwriters.”</w:t>
      </w:r>
    </w:p>
    <w:p>
      <w:pPr>
        <w:spacing w:after="0" w:line="185" w:lineRule="exact"/>
        <w:rPr>
          <w:sz w:val="24"/>
          <w:szCs w:val="24"/>
          <w:color w:val="auto"/>
        </w:rPr>
      </w:pPr>
    </w:p>
    <w:p>
      <w:pPr>
        <w:ind w:left="360" w:right="40" w:firstLine="535"/>
        <w:spacing w:after="0" w:line="250" w:lineRule="auto"/>
        <w:rPr>
          <w:sz w:val="20"/>
          <w:szCs w:val="20"/>
          <w:color w:val="auto"/>
        </w:rPr>
      </w:pPr>
      <w:r>
        <w:rPr>
          <w:rFonts w:ascii="Arial" w:cs="Arial" w:eastAsia="Arial" w:hAnsi="Arial"/>
          <w:sz w:val="17"/>
          <w:szCs w:val="17"/>
          <w:color w:val="auto"/>
        </w:rPr>
        <w:t>To the extent that the underwriters sell more than 7,500,000 shares of common stock, the underwriters have the option to purchase up to an additional 1,125,000 shares from us at the initial price to the public less the underwriting discount. The underwriters expect to deliver the shares against payment in New York, New York on October 1, 2018.</w:t>
      </w:r>
    </w:p>
    <w:p>
      <w:pPr>
        <w:spacing w:after="0" w:line="149" w:lineRule="exact"/>
        <w:rPr>
          <w:sz w:val="24"/>
          <w:szCs w:val="24"/>
          <w:color w:val="auto"/>
        </w:rPr>
      </w:pPr>
    </w:p>
    <w:p>
      <w:pPr>
        <w:ind w:left="360" w:firstLine="535"/>
        <w:spacing w:after="0" w:line="244" w:lineRule="auto"/>
        <w:rPr>
          <w:sz w:val="20"/>
          <w:szCs w:val="20"/>
          <w:color w:val="auto"/>
        </w:rPr>
      </w:pPr>
      <w:r>
        <w:rPr>
          <w:rFonts w:ascii="Arial" w:cs="Arial" w:eastAsia="Arial" w:hAnsi="Arial"/>
          <w:sz w:val="17"/>
          <w:szCs w:val="17"/>
          <w:color w:val="auto"/>
        </w:rPr>
        <w:t>Certain of our existing principal stockholders and their affiliated entities have indicated an interest in purchasing an aggregate of approximately $53 million in shares of our common stock in this offering at the initial public offering price and on the same terms and conditions as the other purchasers in this offering. However, because indications of interest are not binding agreements or commitments to purchase, the underwriters could determine to sell more, fewer or no shares to any of these potential purchasers, and any of these potential purchasers could determine to purchase more, fewer or no shares in this offering. The underwriters will receive the same underwriting discounts and commissions on any shares purchased by these parties as they will on any other shares sold to the public in this offering.</w:t>
      </w:r>
    </w:p>
    <w:p>
      <w:pPr>
        <w:spacing w:after="0" w:line="200" w:lineRule="exact"/>
        <w:rPr>
          <w:sz w:val="24"/>
          <w:szCs w:val="24"/>
          <w:color w:val="auto"/>
        </w:rPr>
      </w:pPr>
    </w:p>
    <w:p>
      <w:pPr>
        <w:spacing w:after="0" w:line="262" w:lineRule="exact"/>
        <w:rPr>
          <w:sz w:val="24"/>
          <w:szCs w:val="24"/>
          <w:color w:val="auto"/>
        </w:rPr>
      </w:pPr>
    </w:p>
    <w:p>
      <w:pPr>
        <w:ind w:left="360"/>
        <w:spacing w:after="0"/>
        <w:tabs>
          <w:tab w:leader="none" w:pos="6040" w:val="left"/>
          <w:tab w:leader="none" w:pos="9340" w:val="left"/>
        </w:tabs>
        <w:rPr>
          <w:sz w:val="20"/>
          <w:szCs w:val="20"/>
          <w:color w:val="auto"/>
        </w:rPr>
      </w:pPr>
      <w:r>
        <w:rPr>
          <w:rFonts w:ascii="Arial" w:cs="Arial" w:eastAsia="Arial" w:hAnsi="Arial"/>
          <w:sz w:val="28"/>
          <w:szCs w:val="28"/>
          <w:b w:val="1"/>
          <w:bCs w:val="1"/>
          <w:color w:val="auto"/>
        </w:rPr>
        <w:t>Goldman Sachs &amp; Co. LLC</w:t>
      </w:r>
      <w:r>
        <w:rPr>
          <w:sz w:val="20"/>
          <w:szCs w:val="20"/>
          <w:color w:val="auto"/>
        </w:rPr>
        <w:tab/>
      </w:r>
      <w:r>
        <w:rPr>
          <w:rFonts w:ascii="Arial" w:cs="Arial" w:eastAsia="Arial" w:hAnsi="Arial"/>
          <w:sz w:val="28"/>
          <w:szCs w:val="28"/>
          <w:b w:val="1"/>
          <w:bCs w:val="1"/>
          <w:color w:val="auto"/>
        </w:rPr>
        <w:t>Citigroup</w:t>
      </w:r>
      <w:r>
        <w:rPr>
          <w:sz w:val="20"/>
          <w:szCs w:val="20"/>
          <w:color w:val="auto"/>
        </w:rPr>
        <w:tab/>
      </w:r>
      <w:r>
        <w:rPr>
          <w:rFonts w:ascii="Arial" w:cs="Arial" w:eastAsia="Arial" w:hAnsi="Arial"/>
          <w:sz w:val="28"/>
          <w:szCs w:val="28"/>
          <w:b w:val="1"/>
          <w:bCs w:val="1"/>
          <w:color w:val="auto"/>
        </w:rPr>
        <w:t>Piper Jaffray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2916555</wp:posOffset>
            </wp:positionH>
            <wp:positionV relativeFrom="paragraph">
              <wp:posOffset>227330</wp:posOffset>
            </wp:positionV>
            <wp:extent cx="14236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670" cy="825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359"/>
        <w:spacing w:after="0"/>
        <w:rPr>
          <w:sz w:val="20"/>
          <w:szCs w:val="20"/>
          <w:color w:val="auto"/>
        </w:rPr>
      </w:pPr>
      <w:r>
        <w:rPr>
          <w:rFonts w:ascii="Arial" w:cs="Arial" w:eastAsia="Arial" w:hAnsi="Arial"/>
          <w:sz w:val="17"/>
          <w:szCs w:val="17"/>
          <w:color w:val="auto"/>
        </w:rPr>
        <w:t>Prospectus dated September 26, 2018.</w:t>
      </w:r>
    </w:p>
    <w:p>
      <w:pPr>
        <w:sectPr>
          <w:pgSz w:w="11900" w:h="16838" w:orient="portrait"/>
          <w:cols w:equalWidth="0" w:num="1">
            <w:col w:w="11060"/>
          </w:cols>
          <w:pgMar w:left="240" w:top="227" w:right="599" w:bottom="1440" w:gutter="0" w:footer="0" w:header="0"/>
        </w:sectPr>
      </w:pPr>
    </w:p>
    <w:bookmarkStart w:id="1" w:name="page2"/>
    <w:bookmarkEnd w:id="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tbl>
      <w:tblPr>
        <w:tblLayout w:type="fixed"/>
        <w:tblInd w:w="360" w:type="dxa"/>
        <w:tblCellMar>
          <w:top w:w="0" w:type="dxa"/>
          <w:left w:w="0" w:type="dxa"/>
          <w:bottom w:w="0" w:type="dxa"/>
          <w:right w:w="0" w:type="dxa"/>
        </w:tblCellMar>
      </w:tblPr>
      <w:tr>
        <w:trPr>
          <w:trHeight w:val="232"/>
        </w:trPr>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920" w:type="dxa"/>
            <w:vAlign w:val="bottom"/>
            <w:gridSpan w:val="4"/>
          </w:tcPr>
          <w:p>
            <w:pPr>
              <w:ind w:left="1040"/>
              <w:spacing w:after="0"/>
              <w:rPr>
                <w:sz w:val="20"/>
                <w:szCs w:val="20"/>
                <w:color w:val="auto"/>
              </w:rPr>
            </w:pPr>
            <w:r>
              <w:rPr>
                <w:rFonts w:ascii="Arial" w:cs="Arial" w:eastAsia="Arial" w:hAnsi="Arial"/>
                <w:sz w:val="17"/>
                <w:szCs w:val="17"/>
                <w:b w:val="1"/>
                <w:bCs w:val="1"/>
                <w:color w:val="auto"/>
              </w:rPr>
              <w:t>TABLE OF CONTENTS</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1"/>
        </w:trPr>
        <w:tc>
          <w:tcPr>
            <w:tcW w:w="1680" w:type="dxa"/>
            <w:vAlign w:val="bottom"/>
            <w:gridSpan w:val="8"/>
            <w:vMerge w:val="restart"/>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Prospectus Summary</w:t>
              </w:r>
            </w:hyperlink>
          </w:p>
        </w:tc>
        <w:tc>
          <w:tcPr>
            <w:tcW w:w="8620" w:type="dxa"/>
            <w:vAlign w:val="bottom"/>
            <w:gridSpan w:val="15"/>
            <w:vMerge w:val="restart"/>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55"/>
        </w:trPr>
        <w:tc>
          <w:tcPr>
            <w:tcW w:w="1680" w:type="dxa"/>
            <w:vAlign w:val="bottom"/>
            <w:tcBorders>
              <w:bottom w:val="single" w:sz="8" w:color="0000EE"/>
            </w:tcBorders>
            <w:gridSpan w:val="8"/>
            <w:vMerge w:val="continue"/>
          </w:tcPr>
          <w:p>
            <w:pPr>
              <w:spacing w:after="0"/>
              <w:rPr>
                <w:sz w:val="13"/>
                <w:szCs w:val="13"/>
                <w:color w:val="auto"/>
              </w:rPr>
            </w:pPr>
          </w:p>
        </w:tc>
        <w:tc>
          <w:tcPr>
            <w:tcW w:w="8620" w:type="dxa"/>
            <w:vAlign w:val="bottom"/>
            <w:gridSpan w:val="15"/>
            <w:vMerge w:val="continue"/>
          </w:tcPr>
          <w:p>
            <w:pPr>
              <w:spacing w:after="0"/>
              <w:rPr>
                <w:sz w:val="13"/>
                <w:szCs w:val="13"/>
                <w:color w:val="auto"/>
              </w:rPr>
            </w:pPr>
          </w:p>
        </w:tc>
        <w:tc>
          <w:tcPr>
            <w:tcW w:w="360" w:type="dxa"/>
            <w:vAlign w:val="bottom"/>
          </w:tcPr>
          <w:p>
            <w:pPr>
              <w:jc w:val="right"/>
              <w:spacing w:after="0" w:line="138"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0"/>
        </w:trPr>
        <w:tc>
          <w:tcPr>
            <w:tcW w:w="980" w:type="dxa"/>
            <w:vAlign w:val="bottom"/>
            <w:tcBorders>
              <w:bottom w:val="single" w:sz="8" w:color="0000EE"/>
            </w:tcBorders>
            <w:gridSpan w:val="4"/>
          </w:tcPr>
          <w:p>
            <w:pPr>
              <w:spacing w:after="0" w:line="189" w:lineRule="exact"/>
              <w:rPr>
                <w:rFonts w:ascii="Arial" w:cs="Arial" w:eastAsia="Arial" w:hAnsi="Arial"/>
                <w:sz w:val="17"/>
                <w:szCs w:val="17"/>
                <w:color w:val="0000EE"/>
                <w:w w:val="99"/>
              </w:rPr>
            </w:pPr>
            <w:hyperlink w:anchor="page11">
              <w:r>
                <w:rPr>
                  <w:rFonts w:ascii="Arial" w:cs="Arial" w:eastAsia="Arial" w:hAnsi="Arial"/>
                  <w:sz w:val="17"/>
                  <w:szCs w:val="17"/>
                  <w:color w:val="0000EE"/>
                  <w:w w:val="99"/>
                </w:rPr>
                <w:t>The Offering</w:t>
              </w:r>
            </w:hyperlink>
          </w:p>
        </w:tc>
        <w:tc>
          <w:tcPr>
            <w:tcW w:w="9320" w:type="dxa"/>
            <w:vAlign w:val="bottom"/>
            <w:gridSpan w:val="19"/>
          </w:tcPr>
          <w:p>
            <w:pPr>
              <w:spacing w:after="0"/>
              <w:rPr>
                <w:sz w:val="16"/>
                <w:szCs w:val="16"/>
                <w:color w:val="auto"/>
              </w:rPr>
            </w:pPr>
          </w:p>
        </w:tc>
        <w:tc>
          <w:tcPr>
            <w:tcW w:w="360" w:type="dxa"/>
            <w:vAlign w:val="bottom"/>
          </w:tcPr>
          <w:p>
            <w:pPr>
              <w:jc w:val="right"/>
              <w:spacing w:after="0" w:line="189"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77"/>
        </w:trPr>
        <w:tc>
          <w:tcPr>
            <w:tcW w:w="10300" w:type="dxa"/>
            <w:vAlign w:val="bottom"/>
            <w:gridSpan w:val="23"/>
          </w:tcPr>
          <w:p>
            <w:pPr>
              <w:spacing w:after="0" w:line="176" w:lineRule="exact"/>
              <w:rPr>
                <w:rFonts w:ascii="Arial" w:cs="Arial" w:eastAsia="Arial" w:hAnsi="Arial"/>
                <w:sz w:val="17"/>
                <w:szCs w:val="17"/>
                <w:color w:val="0000EE"/>
              </w:rPr>
            </w:pPr>
            <w:hyperlink w:anchor="page13">
              <w:r>
                <w:rPr>
                  <w:rFonts w:ascii="Arial" w:cs="Arial" w:eastAsia="Arial" w:hAnsi="Arial"/>
                  <w:sz w:val="17"/>
                  <w:szCs w:val="17"/>
                  <w:color w:val="0000EE"/>
                </w:rPr>
                <w:t>Summary Consolidated Financial Data</w:t>
              </w:r>
            </w:hyperlink>
          </w:p>
        </w:tc>
        <w:tc>
          <w:tcPr>
            <w:tcW w:w="360" w:type="dxa"/>
            <w:vAlign w:val="bottom"/>
          </w:tcPr>
          <w:p>
            <w:pPr>
              <w:jc w:val="right"/>
              <w:spacing w:after="0" w:line="176"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77"/>
        </w:trPr>
        <w:tc>
          <w:tcPr>
            <w:tcW w:w="980" w:type="dxa"/>
            <w:vAlign w:val="bottom"/>
            <w:tcBorders>
              <w:top w:val="single" w:sz="8" w:color="0000EE"/>
              <w:bottom w:val="single" w:sz="8" w:color="0000EE"/>
            </w:tcBorders>
            <w:gridSpan w:val="4"/>
          </w:tcPr>
          <w:p>
            <w:pPr>
              <w:spacing w:after="0" w:line="176" w:lineRule="exact"/>
              <w:rPr>
                <w:rFonts w:ascii="Arial" w:cs="Arial" w:eastAsia="Arial" w:hAnsi="Arial"/>
                <w:sz w:val="17"/>
                <w:szCs w:val="17"/>
                <w:color w:val="0000EE"/>
                <w:w w:val="99"/>
              </w:rPr>
            </w:pPr>
            <w:hyperlink w:anchor="page15">
              <w:r>
                <w:rPr>
                  <w:rFonts w:ascii="Arial" w:cs="Arial" w:eastAsia="Arial" w:hAnsi="Arial"/>
                  <w:sz w:val="17"/>
                  <w:szCs w:val="17"/>
                  <w:color w:val="0000EE"/>
                  <w:w w:val="99"/>
                </w:rPr>
                <w:t>Risk Factors</w:t>
              </w:r>
            </w:hyperlink>
          </w:p>
        </w:tc>
        <w:tc>
          <w:tcPr>
            <w:tcW w:w="2000" w:type="dxa"/>
            <w:vAlign w:val="bottom"/>
            <w:tcBorders>
              <w:top w:val="single" w:sz="8" w:color="0000EE"/>
            </w:tcBorders>
            <w:gridSpan w:val="13"/>
          </w:tcPr>
          <w:p>
            <w:pPr>
              <w:spacing w:after="0"/>
              <w:rPr>
                <w:sz w:val="15"/>
                <w:szCs w:val="15"/>
                <w:color w:val="auto"/>
              </w:rPr>
            </w:pPr>
          </w:p>
        </w:tc>
        <w:tc>
          <w:tcPr>
            <w:tcW w:w="7320" w:type="dxa"/>
            <w:vAlign w:val="bottom"/>
            <w:gridSpan w:val="6"/>
          </w:tcPr>
          <w:p>
            <w:pPr>
              <w:spacing w:after="0"/>
              <w:rPr>
                <w:sz w:val="15"/>
                <w:szCs w:val="15"/>
                <w:color w:val="auto"/>
              </w:rPr>
            </w:pPr>
          </w:p>
        </w:tc>
        <w:tc>
          <w:tcPr>
            <w:tcW w:w="360" w:type="dxa"/>
            <w:vAlign w:val="bottom"/>
          </w:tcPr>
          <w:p>
            <w:pPr>
              <w:jc w:val="right"/>
              <w:spacing w:after="0" w:line="176" w:lineRule="exact"/>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177"/>
        </w:trPr>
        <w:tc>
          <w:tcPr>
            <w:tcW w:w="5580" w:type="dxa"/>
            <w:vAlign w:val="bottom"/>
            <w:tcBorders>
              <w:bottom w:val="single" w:sz="8" w:color="0000EE"/>
            </w:tcBorders>
            <w:gridSpan w:val="20"/>
          </w:tcPr>
          <w:p>
            <w:pPr>
              <w:spacing w:after="0" w:line="176" w:lineRule="exact"/>
              <w:rPr>
                <w:rFonts w:ascii="Arial" w:cs="Arial" w:eastAsia="Arial" w:hAnsi="Arial"/>
                <w:sz w:val="17"/>
                <w:szCs w:val="17"/>
                <w:color w:val="0000EE"/>
              </w:rPr>
            </w:pPr>
            <w:hyperlink w:anchor="page61">
              <w:r>
                <w:rPr>
                  <w:rFonts w:ascii="Arial" w:cs="Arial" w:eastAsia="Arial" w:hAnsi="Arial"/>
                  <w:sz w:val="17"/>
                  <w:szCs w:val="17"/>
                  <w:color w:val="0000EE"/>
                </w:rPr>
                <w:t>Special Note Regarding Forward-Looking Statements and Industry Data</w:t>
              </w:r>
            </w:hyperlink>
          </w:p>
        </w:tc>
        <w:tc>
          <w:tcPr>
            <w:tcW w:w="4720" w:type="dxa"/>
            <w:vAlign w:val="bottom"/>
            <w:gridSpan w:val="3"/>
          </w:tcPr>
          <w:p>
            <w:pPr>
              <w:spacing w:after="0"/>
              <w:rPr>
                <w:sz w:val="15"/>
                <w:szCs w:val="15"/>
                <w:color w:val="auto"/>
              </w:rPr>
            </w:pPr>
          </w:p>
        </w:tc>
        <w:tc>
          <w:tcPr>
            <w:tcW w:w="360" w:type="dxa"/>
            <w:vAlign w:val="bottom"/>
          </w:tcPr>
          <w:p>
            <w:pPr>
              <w:jc w:val="right"/>
              <w:spacing w:after="0" w:line="176" w:lineRule="exact"/>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177"/>
        </w:trPr>
        <w:tc>
          <w:tcPr>
            <w:tcW w:w="1300" w:type="dxa"/>
            <w:vAlign w:val="bottom"/>
            <w:tcBorders>
              <w:bottom w:val="single" w:sz="8" w:color="0000EE"/>
            </w:tcBorders>
            <w:gridSpan w:val="7"/>
          </w:tcPr>
          <w:p>
            <w:pPr>
              <w:spacing w:after="0" w:line="176" w:lineRule="exact"/>
              <w:rPr>
                <w:rFonts w:ascii="Arial" w:cs="Arial" w:eastAsia="Arial" w:hAnsi="Arial"/>
                <w:sz w:val="17"/>
                <w:szCs w:val="17"/>
                <w:color w:val="0000EE"/>
              </w:rPr>
            </w:pPr>
            <w:hyperlink w:anchor="page63">
              <w:r>
                <w:rPr>
                  <w:rFonts w:ascii="Arial" w:cs="Arial" w:eastAsia="Arial" w:hAnsi="Arial"/>
                  <w:sz w:val="17"/>
                  <w:szCs w:val="17"/>
                  <w:color w:val="0000EE"/>
                </w:rPr>
                <w:t>Use of Proceeds</w:t>
              </w:r>
            </w:hyperlink>
          </w:p>
        </w:tc>
        <w:tc>
          <w:tcPr>
            <w:tcW w:w="9000" w:type="dxa"/>
            <w:vAlign w:val="bottom"/>
            <w:gridSpan w:val="16"/>
          </w:tcPr>
          <w:p>
            <w:pPr>
              <w:spacing w:after="0"/>
              <w:rPr>
                <w:sz w:val="15"/>
                <w:szCs w:val="15"/>
                <w:color w:val="auto"/>
              </w:rPr>
            </w:pPr>
          </w:p>
        </w:tc>
        <w:tc>
          <w:tcPr>
            <w:tcW w:w="360" w:type="dxa"/>
            <w:vAlign w:val="bottom"/>
          </w:tcPr>
          <w:p>
            <w:pPr>
              <w:jc w:val="right"/>
              <w:spacing w:after="0" w:line="176" w:lineRule="exact"/>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177"/>
        </w:trPr>
        <w:tc>
          <w:tcPr>
            <w:tcW w:w="1200" w:type="dxa"/>
            <w:vAlign w:val="bottom"/>
            <w:tcBorders>
              <w:bottom w:val="single" w:sz="8" w:color="0000EE"/>
            </w:tcBorders>
            <w:gridSpan w:val="6"/>
          </w:tcPr>
          <w:p>
            <w:pPr>
              <w:spacing w:after="0" w:line="176" w:lineRule="exact"/>
              <w:rPr>
                <w:rFonts w:ascii="Arial" w:cs="Arial" w:eastAsia="Arial" w:hAnsi="Arial"/>
                <w:sz w:val="17"/>
                <w:szCs w:val="17"/>
                <w:color w:val="0000EE"/>
              </w:rPr>
            </w:pPr>
            <w:hyperlink w:anchor="page64">
              <w:r>
                <w:rPr>
                  <w:rFonts w:ascii="Arial" w:cs="Arial" w:eastAsia="Arial" w:hAnsi="Arial"/>
                  <w:sz w:val="17"/>
                  <w:szCs w:val="17"/>
                  <w:color w:val="0000EE"/>
                </w:rPr>
                <w:t>Dividend Policy</w:t>
              </w:r>
            </w:hyperlink>
          </w:p>
        </w:tc>
        <w:tc>
          <w:tcPr>
            <w:tcW w:w="9100" w:type="dxa"/>
            <w:vAlign w:val="bottom"/>
            <w:gridSpan w:val="17"/>
          </w:tcPr>
          <w:p>
            <w:pPr>
              <w:spacing w:after="0"/>
              <w:rPr>
                <w:sz w:val="15"/>
                <w:szCs w:val="15"/>
                <w:color w:val="auto"/>
              </w:rPr>
            </w:pPr>
          </w:p>
        </w:tc>
        <w:tc>
          <w:tcPr>
            <w:tcW w:w="360" w:type="dxa"/>
            <w:vAlign w:val="bottom"/>
          </w:tcPr>
          <w:p>
            <w:pPr>
              <w:jc w:val="right"/>
              <w:spacing w:after="0" w:line="176" w:lineRule="exact"/>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177"/>
        </w:trPr>
        <w:tc>
          <w:tcPr>
            <w:tcW w:w="1720" w:type="dxa"/>
            <w:vAlign w:val="bottom"/>
            <w:tcBorders>
              <w:bottom w:val="single" w:sz="8" w:color="0000EE"/>
            </w:tcBorders>
            <w:gridSpan w:val="9"/>
          </w:tcPr>
          <w:p>
            <w:pPr>
              <w:spacing w:after="0" w:line="176" w:lineRule="exact"/>
              <w:rPr>
                <w:rFonts w:ascii="Arial" w:cs="Arial" w:eastAsia="Arial" w:hAnsi="Arial"/>
                <w:sz w:val="17"/>
                <w:szCs w:val="17"/>
                <w:color w:val="0000EE"/>
              </w:rPr>
            </w:pPr>
            <w:hyperlink w:anchor="page65">
              <w:r>
                <w:rPr>
                  <w:rFonts w:ascii="Arial" w:cs="Arial" w:eastAsia="Arial" w:hAnsi="Arial"/>
                  <w:sz w:val="17"/>
                  <w:szCs w:val="17"/>
                  <w:color w:val="0000EE"/>
                </w:rPr>
                <w:t>Corporate Conversion</w:t>
              </w:r>
            </w:hyperlink>
          </w:p>
        </w:tc>
        <w:tc>
          <w:tcPr>
            <w:tcW w:w="8580" w:type="dxa"/>
            <w:vAlign w:val="bottom"/>
            <w:gridSpan w:val="14"/>
          </w:tcPr>
          <w:p>
            <w:pPr>
              <w:spacing w:after="0"/>
              <w:rPr>
                <w:sz w:val="15"/>
                <w:szCs w:val="15"/>
                <w:color w:val="auto"/>
              </w:rPr>
            </w:pPr>
          </w:p>
        </w:tc>
        <w:tc>
          <w:tcPr>
            <w:tcW w:w="360" w:type="dxa"/>
            <w:vAlign w:val="bottom"/>
          </w:tcPr>
          <w:p>
            <w:pPr>
              <w:jc w:val="right"/>
              <w:spacing w:after="0" w:line="176" w:lineRule="exact"/>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177"/>
        </w:trPr>
        <w:tc>
          <w:tcPr>
            <w:tcW w:w="1060" w:type="dxa"/>
            <w:vAlign w:val="bottom"/>
            <w:tcBorders>
              <w:bottom w:val="single" w:sz="8" w:color="0000EE"/>
            </w:tcBorders>
            <w:gridSpan w:val="5"/>
          </w:tcPr>
          <w:p>
            <w:pPr>
              <w:spacing w:after="0" w:line="176" w:lineRule="exact"/>
              <w:rPr>
                <w:rFonts w:ascii="Arial" w:cs="Arial" w:eastAsia="Arial" w:hAnsi="Arial"/>
                <w:sz w:val="17"/>
                <w:szCs w:val="17"/>
                <w:color w:val="0000EE"/>
              </w:rPr>
            </w:pPr>
            <w:hyperlink w:anchor="page66">
              <w:r>
                <w:rPr>
                  <w:rFonts w:ascii="Arial" w:cs="Arial" w:eastAsia="Arial" w:hAnsi="Arial"/>
                  <w:sz w:val="17"/>
                  <w:szCs w:val="17"/>
                  <w:color w:val="0000EE"/>
                </w:rPr>
                <w:t>Capitalization</w:t>
              </w:r>
            </w:hyperlink>
          </w:p>
        </w:tc>
        <w:tc>
          <w:tcPr>
            <w:tcW w:w="9240" w:type="dxa"/>
            <w:vAlign w:val="bottom"/>
            <w:gridSpan w:val="18"/>
          </w:tcPr>
          <w:p>
            <w:pPr>
              <w:spacing w:after="0"/>
              <w:rPr>
                <w:sz w:val="15"/>
                <w:szCs w:val="15"/>
                <w:color w:val="auto"/>
              </w:rPr>
            </w:pPr>
          </w:p>
        </w:tc>
        <w:tc>
          <w:tcPr>
            <w:tcW w:w="360" w:type="dxa"/>
            <w:vAlign w:val="bottom"/>
          </w:tcPr>
          <w:p>
            <w:pPr>
              <w:jc w:val="right"/>
              <w:spacing w:after="0" w:line="176" w:lineRule="exact"/>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177"/>
        </w:trPr>
        <w:tc>
          <w:tcPr>
            <w:tcW w:w="10300" w:type="dxa"/>
            <w:vAlign w:val="bottom"/>
            <w:gridSpan w:val="23"/>
          </w:tcPr>
          <w:p>
            <w:pPr>
              <w:spacing w:after="0" w:line="176" w:lineRule="exact"/>
              <w:rPr>
                <w:rFonts w:ascii="Arial" w:cs="Arial" w:eastAsia="Arial" w:hAnsi="Arial"/>
                <w:sz w:val="17"/>
                <w:szCs w:val="17"/>
                <w:color w:val="0000EE"/>
              </w:rPr>
            </w:pPr>
            <w:hyperlink w:anchor="page69">
              <w:r>
                <w:rPr>
                  <w:rFonts w:ascii="Arial" w:cs="Arial" w:eastAsia="Arial" w:hAnsi="Arial"/>
                  <w:sz w:val="17"/>
                  <w:szCs w:val="17"/>
                  <w:color w:val="0000EE"/>
                </w:rPr>
                <w:t>Dilution</w:t>
              </w:r>
            </w:hyperlink>
          </w:p>
        </w:tc>
        <w:tc>
          <w:tcPr>
            <w:tcW w:w="360" w:type="dxa"/>
            <w:vAlign w:val="bottom"/>
          </w:tcPr>
          <w:p>
            <w:pPr>
              <w:jc w:val="right"/>
              <w:spacing w:after="0" w:line="176" w:lineRule="exact"/>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920" w:type="dxa"/>
            <w:vAlign w:val="bottom"/>
            <w:tcBorders>
              <w:bottom w:val="single" w:sz="8" w:color="0000EE"/>
            </w:tcBorders>
            <w:gridSpan w:val="16"/>
          </w:tcPr>
          <w:p>
            <w:pPr>
              <w:spacing w:after="0" w:line="176" w:lineRule="exact"/>
              <w:rPr>
                <w:rFonts w:ascii="Arial" w:cs="Arial" w:eastAsia="Arial" w:hAnsi="Arial"/>
                <w:sz w:val="17"/>
                <w:szCs w:val="17"/>
                <w:color w:val="0000EE"/>
              </w:rPr>
            </w:pPr>
            <w:hyperlink w:anchor="page72">
              <w:r>
                <w:rPr>
                  <w:rFonts w:ascii="Arial" w:cs="Arial" w:eastAsia="Arial" w:hAnsi="Arial"/>
                  <w:sz w:val="17"/>
                  <w:szCs w:val="17"/>
                  <w:color w:val="0000EE"/>
                </w:rPr>
                <w:t>Selected Consolidated Financial Data</w:t>
              </w:r>
            </w:hyperlink>
          </w:p>
        </w:tc>
        <w:tc>
          <w:tcPr>
            <w:tcW w:w="7380" w:type="dxa"/>
            <w:vAlign w:val="bottom"/>
            <w:gridSpan w:val="7"/>
          </w:tcPr>
          <w:p>
            <w:pPr>
              <w:spacing w:after="0"/>
              <w:rPr>
                <w:sz w:val="15"/>
                <w:szCs w:val="15"/>
                <w:color w:val="auto"/>
              </w:rPr>
            </w:pPr>
          </w:p>
        </w:tc>
        <w:tc>
          <w:tcPr>
            <w:tcW w:w="360" w:type="dxa"/>
            <w:vAlign w:val="bottom"/>
          </w:tcPr>
          <w:p>
            <w:pPr>
              <w:jc w:val="right"/>
              <w:spacing w:after="0" w:line="176" w:lineRule="exact"/>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177"/>
        </w:trPr>
        <w:tc>
          <w:tcPr>
            <w:tcW w:w="6880" w:type="dxa"/>
            <w:vAlign w:val="bottom"/>
            <w:tcBorders>
              <w:bottom w:val="single" w:sz="8" w:color="0000EE"/>
            </w:tcBorders>
            <w:gridSpan w:val="21"/>
          </w:tcPr>
          <w:p>
            <w:pPr>
              <w:spacing w:after="0" w:line="176" w:lineRule="exact"/>
              <w:rPr>
                <w:rFonts w:ascii="Arial" w:cs="Arial" w:eastAsia="Arial" w:hAnsi="Arial"/>
                <w:sz w:val="17"/>
                <w:szCs w:val="17"/>
                <w:color w:val="0000EE"/>
              </w:rPr>
            </w:pPr>
            <w:hyperlink w:anchor="page74">
              <w:r>
                <w:rPr>
                  <w:rFonts w:ascii="Arial" w:cs="Arial" w:eastAsia="Arial" w:hAnsi="Arial"/>
                  <w:sz w:val="17"/>
                  <w:szCs w:val="17"/>
                  <w:color w:val="0000EE"/>
                </w:rPr>
                <w:t>Management’s Discussion and Analysis of Financial Condition and Results of Operations</w:t>
              </w:r>
            </w:hyperlink>
          </w:p>
        </w:tc>
        <w:tc>
          <w:tcPr>
            <w:tcW w:w="3420" w:type="dxa"/>
            <w:vAlign w:val="bottom"/>
            <w:gridSpan w:val="2"/>
          </w:tcPr>
          <w:p>
            <w:pPr>
              <w:spacing w:after="0"/>
              <w:rPr>
                <w:sz w:val="15"/>
                <w:szCs w:val="15"/>
                <w:color w:val="auto"/>
              </w:rPr>
            </w:pPr>
          </w:p>
        </w:tc>
        <w:tc>
          <w:tcPr>
            <w:tcW w:w="360" w:type="dxa"/>
            <w:vAlign w:val="bottom"/>
          </w:tcPr>
          <w:p>
            <w:pPr>
              <w:jc w:val="right"/>
              <w:spacing w:after="0" w:line="176" w:lineRule="exact"/>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177"/>
        </w:trPr>
        <w:tc>
          <w:tcPr>
            <w:tcW w:w="720" w:type="dxa"/>
            <w:vAlign w:val="bottom"/>
            <w:tcBorders>
              <w:bottom w:val="single" w:sz="8" w:color="0000EE"/>
            </w:tcBorders>
            <w:gridSpan w:val="3"/>
          </w:tcPr>
          <w:p>
            <w:pPr>
              <w:spacing w:after="0" w:line="176" w:lineRule="exact"/>
              <w:rPr>
                <w:rFonts w:ascii="Arial" w:cs="Arial" w:eastAsia="Arial" w:hAnsi="Arial"/>
                <w:sz w:val="17"/>
                <w:szCs w:val="17"/>
                <w:color w:val="0000EE"/>
              </w:rPr>
            </w:pPr>
            <w:hyperlink w:anchor="page90">
              <w:r>
                <w:rPr>
                  <w:rFonts w:ascii="Arial" w:cs="Arial" w:eastAsia="Arial" w:hAnsi="Arial"/>
                  <w:sz w:val="17"/>
                  <w:szCs w:val="17"/>
                  <w:color w:val="0000EE"/>
                </w:rPr>
                <w:t>Business</w:t>
              </w:r>
            </w:hyperlink>
          </w:p>
        </w:tc>
        <w:tc>
          <w:tcPr>
            <w:tcW w:w="9580" w:type="dxa"/>
            <w:vAlign w:val="bottom"/>
            <w:gridSpan w:val="20"/>
          </w:tcPr>
          <w:p>
            <w:pPr>
              <w:spacing w:after="0"/>
              <w:rPr>
                <w:sz w:val="15"/>
                <w:szCs w:val="15"/>
                <w:color w:val="auto"/>
              </w:rPr>
            </w:pPr>
          </w:p>
        </w:tc>
        <w:tc>
          <w:tcPr>
            <w:tcW w:w="360" w:type="dxa"/>
            <w:vAlign w:val="bottom"/>
          </w:tcPr>
          <w:p>
            <w:pPr>
              <w:jc w:val="right"/>
              <w:spacing w:after="0" w:line="176" w:lineRule="exact"/>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177"/>
        </w:trPr>
        <w:tc>
          <w:tcPr>
            <w:tcW w:w="10300" w:type="dxa"/>
            <w:vAlign w:val="bottom"/>
            <w:gridSpan w:val="23"/>
          </w:tcPr>
          <w:p>
            <w:pPr>
              <w:spacing w:after="0" w:line="176" w:lineRule="exact"/>
              <w:rPr>
                <w:rFonts w:ascii="Arial" w:cs="Arial" w:eastAsia="Arial" w:hAnsi="Arial"/>
                <w:sz w:val="17"/>
                <w:szCs w:val="17"/>
                <w:color w:val="0000EE"/>
              </w:rPr>
            </w:pPr>
            <w:hyperlink w:anchor="page147">
              <w:r>
                <w:rPr>
                  <w:rFonts w:ascii="Arial" w:cs="Arial" w:eastAsia="Arial" w:hAnsi="Arial"/>
                  <w:sz w:val="17"/>
                  <w:szCs w:val="17"/>
                  <w:color w:val="0000EE"/>
                </w:rPr>
                <w:t>Management</w:t>
              </w:r>
            </w:hyperlink>
          </w:p>
        </w:tc>
        <w:tc>
          <w:tcPr>
            <w:tcW w:w="360" w:type="dxa"/>
            <w:vAlign w:val="bottom"/>
          </w:tcPr>
          <w:p>
            <w:pPr>
              <w:jc w:val="right"/>
              <w:spacing w:after="0" w:line="176" w:lineRule="exact"/>
              <w:rPr>
                <w:sz w:val="20"/>
                <w:szCs w:val="20"/>
                <w:color w:val="auto"/>
              </w:rPr>
            </w:pPr>
            <w:r>
              <w:rPr>
                <w:rFonts w:ascii="Arial" w:cs="Arial" w:eastAsia="Arial" w:hAnsi="Arial"/>
                <w:sz w:val="17"/>
                <w:szCs w:val="17"/>
                <w:color w:val="auto"/>
              </w:rPr>
              <w:t>145</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940" w:type="dxa"/>
            <w:vAlign w:val="bottom"/>
            <w:tcBorders>
              <w:bottom w:val="single" w:sz="8" w:color="0000EE"/>
            </w:tcBorders>
            <w:gridSpan w:val="12"/>
          </w:tcPr>
          <w:p>
            <w:pPr>
              <w:spacing w:after="0" w:line="176" w:lineRule="exact"/>
              <w:rPr>
                <w:rFonts w:ascii="Arial" w:cs="Arial" w:eastAsia="Arial" w:hAnsi="Arial"/>
                <w:sz w:val="17"/>
                <w:szCs w:val="17"/>
                <w:color w:val="0000EE"/>
              </w:rPr>
            </w:pPr>
            <w:hyperlink w:anchor="page155">
              <w:r>
                <w:rPr>
                  <w:rFonts w:ascii="Arial" w:cs="Arial" w:eastAsia="Arial" w:hAnsi="Arial"/>
                  <w:sz w:val="17"/>
                  <w:szCs w:val="17"/>
                  <w:color w:val="0000EE"/>
                </w:rPr>
                <w:t>Executive Compensation</w:t>
              </w:r>
            </w:hyperlink>
          </w:p>
        </w:tc>
        <w:tc>
          <w:tcPr>
            <w:tcW w:w="8360" w:type="dxa"/>
            <w:vAlign w:val="bottom"/>
            <w:gridSpan w:val="11"/>
          </w:tcPr>
          <w:p>
            <w:pPr>
              <w:spacing w:after="0"/>
              <w:rPr>
                <w:sz w:val="15"/>
                <w:szCs w:val="15"/>
                <w:color w:val="auto"/>
              </w:rPr>
            </w:pPr>
          </w:p>
        </w:tc>
        <w:tc>
          <w:tcPr>
            <w:tcW w:w="360" w:type="dxa"/>
            <w:vAlign w:val="bottom"/>
          </w:tcPr>
          <w:p>
            <w:pPr>
              <w:jc w:val="right"/>
              <w:spacing w:after="0" w:line="176" w:lineRule="exact"/>
              <w:rPr>
                <w:sz w:val="20"/>
                <w:szCs w:val="20"/>
                <w:color w:val="auto"/>
              </w:rPr>
            </w:pPr>
            <w:r>
              <w:rPr>
                <w:rFonts w:ascii="Arial" w:cs="Arial" w:eastAsia="Arial" w:hAnsi="Arial"/>
                <w:sz w:val="17"/>
                <w:szCs w:val="17"/>
                <w:color w:val="auto"/>
              </w:rPr>
              <w:t>153</w:t>
            </w:r>
          </w:p>
        </w:tc>
        <w:tc>
          <w:tcPr>
            <w:tcW w:w="0" w:type="dxa"/>
            <w:vAlign w:val="bottom"/>
          </w:tcPr>
          <w:p>
            <w:pPr>
              <w:spacing w:after="0"/>
              <w:rPr>
                <w:sz w:val="1"/>
                <w:szCs w:val="1"/>
                <w:color w:val="auto"/>
              </w:rPr>
            </w:pPr>
          </w:p>
        </w:tc>
      </w:tr>
      <w:tr>
        <w:trPr>
          <w:trHeight w:val="177"/>
        </w:trPr>
        <w:tc>
          <w:tcPr>
            <w:tcW w:w="1800" w:type="dxa"/>
            <w:vAlign w:val="bottom"/>
            <w:tcBorders>
              <w:bottom w:val="single" w:sz="8" w:color="0000EE"/>
            </w:tcBorders>
            <w:gridSpan w:val="11"/>
          </w:tcPr>
          <w:p>
            <w:pPr>
              <w:spacing w:after="0" w:line="176" w:lineRule="exact"/>
              <w:rPr>
                <w:rFonts w:ascii="Arial" w:cs="Arial" w:eastAsia="Arial" w:hAnsi="Arial"/>
                <w:sz w:val="17"/>
                <w:szCs w:val="17"/>
                <w:color w:val="0000EE"/>
              </w:rPr>
            </w:pPr>
            <w:hyperlink w:anchor="page170">
              <w:r>
                <w:rPr>
                  <w:rFonts w:ascii="Arial" w:cs="Arial" w:eastAsia="Arial" w:hAnsi="Arial"/>
                  <w:sz w:val="17"/>
                  <w:szCs w:val="17"/>
                  <w:color w:val="0000EE"/>
                </w:rPr>
                <w:t>Director Compensation</w:t>
              </w:r>
            </w:hyperlink>
          </w:p>
        </w:tc>
        <w:tc>
          <w:tcPr>
            <w:tcW w:w="8500" w:type="dxa"/>
            <w:vAlign w:val="bottom"/>
            <w:gridSpan w:val="12"/>
          </w:tcPr>
          <w:p>
            <w:pPr>
              <w:spacing w:after="0"/>
              <w:rPr>
                <w:sz w:val="15"/>
                <w:szCs w:val="15"/>
                <w:color w:val="auto"/>
              </w:rPr>
            </w:pPr>
          </w:p>
        </w:tc>
        <w:tc>
          <w:tcPr>
            <w:tcW w:w="360" w:type="dxa"/>
            <w:vAlign w:val="bottom"/>
          </w:tcPr>
          <w:p>
            <w:pPr>
              <w:jc w:val="right"/>
              <w:spacing w:after="0" w:line="176" w:lineRule="exact"/>
              <w:rPr>
                <w:sz w:val="20"/>
                <w:szCs w:val="20"/>
                <w:color w:val="auto"/>
              </w:rPr>
            </w:pPr>
            <w:r>
              <w:rPr>
                <w:rFonts w:ascii="Arial" w:cs="Arial" w:eastAsia="Arial" w:hAnsi="Arial"/>
                <w:sz w:val="17"/>
                <w:szCs w:val="17"/>
                <w:color w:val="auto"/>
              </w:rPr>
              <w:t>168</w:t>
            </w:r>
          </w:p>
        </w:tc>
        <w:tc>
          <w:tcPr>
            <w:tcW w:w="0" w:type="dxa"/>
            <w:vAlign w:val="bottom"/>
          </w:tcPr>
          <w:p>
            <w:pPr>
              <w:spacing w:after="0"/>
              <w:rPr>
                <w:sz w:val="1"/>
                <w:szCs w:val="1"/>
                <w:color w:val="auto"/>
              </w:rPr>
            </w:pPr>
          </w:p>
        </w:tc>
      </w:tr>
      <w:tr>
        <w:trPr>
          <w:trHeight w:val="177"/>
        </w:trPr>
        <w:tc>
          <w:tcPr>
            <w:tcW w:w="2740" w:type="dxa"/>
            <w:vAlign w:val="bottom"/>
            <w:tcBorders>
              <w:bottom w:val="single" w:sz="8" w:color="0000EE"/>
            </w:tcBorders>
            <w:gridSpan w:val="15"/>
          </w:tcPr>
          <w:p>
            <w:pPr>
              <w:spacing w:after="0" w:line="176" w:lineRule="exact"/>
              <w:rPr>
                <w:rFonts w:ascii="Arial" w:cs="Arial" w:eastAsia="Arial" w:hAnsi="Arial"/>
                <w:sz w:val="17"/>
                <w:szCs w:val="17"/>
                <w:color w:val="0000EE"/>
              </w:rPr>
            </w:pPr>
            <w:hyperlink w:anchor="page172">
              <w:r>
                <w:rPr>
                  <w:rFonts w:ascii="Arial" w:cs="Arial" w:eastAsia="Arial" w:hAnsi="Arial"/>
                  <w:sz w:val="17"/>
                  <w:szCs w:val="17"/>
                  <w:color w:val="0000EE"/>
                </w:rPr>
                <w:t>Transactions With Related Persons</w:t>
              </w:r>
            </w:hyperlink>
          </w:p>
        </w:tc>
        <w:tc>
          <w:tcPr>
            <w:tcW w:w="7560" w:type="dxa"/>
            <w:vAlign w:val="bottom"/>
            <w:gridSpan w:val="8"/>
          </w:tcPr>
          <w:p>
            <w:pPr>
              <w:spacing w:after="0"/>
              <w:rPr>
                <w:sz w:val="15"/>
                <w:szCs w:val="15"/>
                <w:color w:val="auto"/>
              </w:rPr>
            </w:pPr>
          </w:p>
        </w:tc>
        <w:tc>
          <w:tcPr>
            <w:tcW w:w="360" w:type="dxa"/>
            <w:vAlign w:val="bottom"/>
          </w:tcPr>
          <w:p>
            <w:pPr>
              <w:jc w:val="right"/>
              <w:spacing w:after="0" w:line="176" w:lineRule="exact"/>
              <w:rPr>
                <w:sz w:val="20"/>
                <w:szCs w:val="20"/>
                <w:color w:val="auto"/>
              </w:rPr>
            </w:pPr>
            <w:r>
              <w:rPr>
                <w:rFonts w:ascii="Arial" w:cs="Arial" w:eastAsia="Arial" w:hAnsi="Arial"/>
                <w:sz w:val="17"/>
                <w:szCs w:val="17"/>
                <w:color w:val="auto"/>
              </w:rPr>
              <w:t>170</w:t>
            </w:r>
          </w:p>
        </w:tc>
        <w:tc>
          <w:tcPr>
            <w:tcW w:w="0" w:type="dxa"/>
            <w:vAlign w:val="bottom"/>
          </w:tcPr>
          <w:p>
            <w:pPr>
              <w:spacing w:after="0"/>
              <w:rPr>
                <w:sz w:val="1"/>
                <w:szCs w:val="1"/>
                <w:color w:val="auto"/>
              </w:rPr>
            </w:pPr>
          </w:p>
        </w:tc>
      </w:tr>
      <w:tr>
        <w:trPr>
          <w:trHeight w:val="177"/>
        </w:trPr>
        <w:tc>
          <w:tcPr>
            <w:tcW w:w="1740" w:type="dxa"/>
            <w:vAlign w:val="bottom"/>
            <w:tcBorders>
              <w:bottom w:val="single" w:sz="8" w:color="0000EE"/>
            </w:tcBorders>
            <w:gridSpan w:val="10"/>
          </w:tcPr>
          <w:p>
            <w:pPr>
              <w:spacing w:after="0" w:line="176" w:lineRule="exact"/>
              <w:rPr>
                <w:rFonts w:ascii="Arial" w:cs="Arial" w:eastAsia="Arial" w:hAnsi="Arial"/>
                <w:sz w:val="17"/>
                <w:szCs w:val="17"/>
                <w:color w:val="0000EE"/>
              </w:rPr>
            </w:pPr>
            <w:hyperlink w:anchor="page178">
              <w:r>
                <w:rPr>
                  <w:rFonts w:ascii="Arial" w:cs="Arial" w:eastAsia="Arial" w:hAnsi="Arial"/>
                  <w:sz w:val="17"/>
                  <w:szCs w:val="17"/>
                  <w:color w:val="0000EE"/>
                </w:rPr>
                <w:t>Principal Stockholders</w:t>
              </w:r>
            </w:hyperlink>
          </w:p>
        </w:tc>
        <w:tc>
          <w:tcPr>
            <w:tcW w:w="8560" w:type="dxa"/>
            <w:vAlign w:val="bottom"/>
            <w:gridSpan w:val="13"/>
          </w:tcPr>
          <w:p>
            <w:pPr>
              <w:spacing w:after="0"/>
              <w:rPr>
                <w:sz w:val="15"/>
                <w:szCs w:val="15"/>
                <w:color w:val="auto"/>
              </w:rPr>
            </w:pPr>
          </w:p>
        </w:tc>
        <w:tc>
          <w:tcPr>
            <w:tcW w:w="360" w:type="dxa"/>
            <w:vAlign w:val="bottom"/>
          </w:tcPr>
          <w:p>
            <w:pPr>
              <w:jc w:val="right"/>
              <w:spacing w:after="0" w:line="176" w:lineRule="exact"/>
              <w:rPr>
                <w:sz w:val="20"/>
                <w:szCs w:val="20"/>
                <w:color w:val="auto"/>
              </w:rPr>
            </w:pPr>
            <w:r>
              <w:rPr>
                <w:rFonts w:ascii="Arial" w:cs="Arial" w:eastAsia="Arial" w:hAnsi="Arial"/>
                <w:sz w:val="17"/>
                <w:szCs w:val="17"/>
                <w:color w:val="auto"/>
              </w:rPr>
              <w:t>176</w:t>
            </w:r>
          </w:p>
        </w:tc>
        <w:tc>
          <w:tcPr>
            <w:tcW w:w="0" w:type="dxa"/>
            <w:vAlign w:val="bottom"/>
          </w:tcPr>
          <w:p>
            <w:pPr>
              <w:spacing w:after="0"/>
              <w:rPr>
                <w:sz w:val="1"/>
                <w:szCs w:val="1"/>
                <w:color w:val="auto"/>
              </w:rPr>
            </w:pPr>
          </w:p>
        </w:tc>
      </w:tr>
      <w:tr>
        <w:trPr>
          <w:trHeight w:val="177"/>
        </w:trPr>
        <w:tc>
          <w:tcPr>
            <w:tcW w:w="2160" w:type="dxa"/>
            <w:vAlign w:val="bottom"/>
            <w:tcBorders>
              <w:bottom w:val="single" w:sz="8" w:color="0000EE"/>
            </w:tcBorders>
            <w:gridSpan w:val="13"/>
          </w:tcPr>
          <w:p>
            <w:pPr>
              <w:spacing w:after="0" w:line="176" w:lineRule="exact"/>
              <w:rPr>
                <w:rFonts w:ascii="Arial" w:cs="Arial" w:eastAsia="Arial" w:hAnsi="Arial"/>
                <w:sz w:val="17"/>
                <w:szCs w:val="17"/>
                <w:color w:val="0000EE"/>
              </w:rPr>
            </w:pPr>
            <w:hyperlink w:anchor="page183">
              <w:r>
                <w:rPr>
                  <w:rFonts w:ascii="Arial" w:cs="Arial" w:eastAsia="Arial" w:hAnsi="Arial"/>
                  <w:sz w:val="17"/>
                  <w:szCs w:val="17"/>
                  <w:color w:val="0000EE"/>
                </w:rPr>
                <w:t>Description of Capital Stock</w:t>
              </w:r>
            </w:hyperlink>
          </w:p>
        </w:tc>
        <w:tc>
          <w:tcPr>
            <w:tcW w:w="8140" w:type="dxa"/>
            <w:vAlign w:val="bottom"/>
            <w:gridSpan w:val="10"/>
          </w:tcPr>
          <w:p>
            <w:pPr>
              <w:spacing w:after="0"/>
              <w:rPr>
                <w:sz w:val="15"/>
                <w:szCs w:val="15"/>
                <w:color w:val="auto"/>
              </w:rPr>
            </w:pPr>
          </w:p>
        </w:tc>
        <w:tc>
          <w:tcPr>
            <w:tcW w:w="360" w:type="dxa"/>
            <w:vAlign w:val="bottom"/>
          </w:tcPr>
          <w:p>
            <w:pPr>
              <w:jc w:val="right"/>
              <w:spacing w:after="0" w:line="176" w:lineRule="exact"/>
              <w:rPr>
                <w:sz w:val="20"/>
                <w:szCs w:val="20"/>
                <w:color w:val="auto"/>
              </w:rPr>
            </w:pPr>
            <w:r>
              <w:rPr>
                <w:rFonts w:ascii="Arial" w:cs="Arial" w:eastAsia="Arial" w:hAnsi="Arial"/>
                <w:sz w:val="17"/>
                <w:szCs w:val="17"/>
                <w:color w:val="auto"/>
              </w:rPr>
              <w:t>181</w:t>
            </w:r>
          </w:p>
        </w:tc>
        <w:tc>
          <w:tcPr>
            <w:tcW w:w="0" w:type="dxa"/>
            <w:vAlign w:val="bottom"/>
          </w:tcPr>
          <w:p>
            <w:pPr>
              <w:spacing w:after="0"/>
              <w:rPr>
                <w:sz w:val="1"/>
                <w:szCs w:val="1"/>
                <w:color w:val="auto"/>
              </w:rPr>
            </w:pPr>
          </w:p>
        </w:tc>
      </w:tr>
      <w:tr>
        <w:trPr>
          <w:trHeight w:val="177"/>
        </w:trPr>
        <w:tc>
          <w:tcPr>
            <w:tcW w:w="2380" w:type="dxa"/>
            <w:vAlign w:val="bottom"/>
            <w:tcBorders>
              <w:bottom w:val="single" w:sz="8" w:color="0000EE"/>
            </w:tcBorders>
            <w:gridSpan w:val="14"/>
          </w:tcPr>
          <w:p>
            <w:pPr>
              <w:spacing w:after="0" w:line="176" w:lineRule="exact"/>
              <w:rPr>
                <w:rFonts w:ascii="Arial" w:cs="Arial" w:eastAsia="Arial" w:hAnsi="Arial"/>
                <w:sz w:val="17"/>
                <w:szCs w:val="17"/>
                <w:color w:val="0000EE"/>
              </w:rPr>
            </w:pPr>
            <w:hyperlink w:anchor="page187">
              <w:r>
                <w:rPr>
                  <w:rFonts w:ascii="Arial" w:cs="Arial" w:eastAsia="Arial" w:hAnsi="Arial"/>
                  <w:sz w:val="17"/>
                  <w:szCs w:val="17"/>
                  <w:color w:val="0000EE"/>
                </w:rPr>
                <w:t>Shares Eligible for Future Sale</w:t>
              </w:r>
            </w:hyperlink>
          </w:p>
        </w:tc>
        <w:tc>
          <w:tcPr>
            <w:tcW w:w="7920" w:type="dxa"/>
            <w:vAlign w:val="bottom"/>
            <w:gridSpan w:val="9"/>
          </w:tcPr>
          <w:p>
            <w:pPr>
              <w:spacing w:after="0"/>
              <w:rPr>
                <w:sz w:val="15"/>
                <w:szCs w:val="15"/>
                <w:color w:val="auto"/>
              </w:rPr>
            </w:pPr>
          </w:p>
        </w:tc>
        <w:tc>
          <w:tcPr>
            <w:tcW w:w="360" w:type="dxa"/>
            <w:vAlign w:val="bottom"/>
          </w:tcPr>
          <w:p>
            <w:pPr>
              <w:jc w:val="right"/>
              <w:spacing w:after="0" w:line="176" w:lineRule="exact"/>
              <w:rPr>
                <w:sz w:val="20"/>
                <w:szCs w:val="20"/>
                <w:color w:val="auto"/>
              </w:rPr>
            </w:pPr>
            <w:r>
              <w:rPr>
                <w:rFonts w:ascii="Arial" w:cs="Arial" w:eastAsia="Arial" w:hAnsi="Arial"/>
                <w:sz w:val="17"/>
                <w:szCs w:val="17"/>
                <w:color w:val="auto"/>
              </w:rPr>
              <w:t>185</w:t>
            </w:r>
          </w:p>
        </w:tc>
        <w:tc>
          <w:tcPr>
            <w:tcW w:w="0" w:type="dxa"/>
            <w:vAlign w:val="bottom"/>
          </w:tcPr>
          <w:p>
            <w:pPr>
              <w:spacing w:after="0"/>
              <w:rPr>
                <w:sz w:val="1"/>
                <w:szCs w:val="1"/>
                <w:color w:val="auto"/>
              </w:rPr>
            </w:pPr>
          </w:p>
        </w:tc>
      </w:tr>
      <w:tr>
        <w:trPr>
          <w:trHeight w:val="177"/>
        </w:trPr>
        <w:tc>
          <w:tcPr>
            <w:tcW w:w="10300" w:type="dxa"/>
            <w:vAlign w:val="bottom"/>
            <w:gridSpan w:val="23"/>
          </w:tcPr>
          <w:p>
            <w:pPr>
              <w:spacing w:after="0" w:line="176" w:lineRule="exact"/>
              <w:rPr>
                <w:rFonts w:ascii="Arial" w:cs="Arial" w:eastAsia="Arial" w:hAnsi="Arial"/>
                <w:sz w:val="17"/>
                <w:szCs w:val="17"/>
                <w:color w:val="0000EE"/>
              </w:rPr>
            </w:pPr>
            <w:hyperlink w:anchor="page190">
              <w:r>
                <w:rPr>
                  <w:rFonts w:ascii="Arial" w:cs="Arial" w:eastAsia="Arial" w:hAnsi="Arial"/>
                  <w:sz w:val="17"/>
                  <w:szCs w:val="17"/>
                  <w:color w:val="0000EE"/>
                </w:rPr>
                <w:t>Material U.S. Federal Income and Estate Tax Considerations For Non-U.S. Holders of Common Stock</w:t>
              </w:r>
            </w:hyperlink>
          </w:p>
        </w:tc>
        <w:tc>
          <w:tcPr>
            <w:tcW w:w="360" w:type="dxa"/>
            <w:vAlign w:val="bottom"/>
          </w:tcPr>
          <w:p>
            <w:pPr>
              <w:jc w:val="right"/>
              <w:spacing w:after="0" w:line="176" w:lineRule="exact"/>
              <w:rPr>
                <w:sz w:val="20"/>
                <w:szCs w:val="20"/>
                <w:color w:val="auto"/>
              </w:rPr>
            </w:pPr>
            <w:r>
              <w:rPr>
                <w:rFonts w:ascii="Arial" w:cs="Arial" w:eastAsia="Arial" w:hAnsi="Arial"/>
                <w:sz w:val="17"/>
                <w:szCs w:val="17"/>
                <w:color w:val="auto"/>
              </w:rPr>
              <w:t>188</w:t>
            </w:r>
          </w:p>
        </w:tc>
        <w:tc>
          <w:tcPr>
            <w:tcW w:w="0" w:type="dxa"/>
            <w:vAlign w:val="bottom"/>
          </w:tcPr>
          <w:p>
            <w:pPr>
              <w:spacing w:after="0"/>
              <w:rPr>
                <w:sz w:val="1"/>
                <w:szCs w:val="1"/>
                <w:color w:val="auto"/>
              </w:rPr>
            </w:pPr>
          </w:p>
        </w:tc>
      </w:tr>
      <w:tr>
        <w:trPr>
          <w:trHeight w:val="177"/>
        </w:trPr>
        <w:tc>
          <w:tcPr>
            <w:tcW w:w="7860" w:type="dxa"/>
            <w:vAlign w:val="bottom"/>
            <w:tcBorders>
              <w:top w:val="single" w:sz="8" w:color="0000EE"/>
            </w:tcBorders>
            <w:gridSpan w:val="22"/>
          </w:tcPr>
          <w:p>
            <w:pPr>
              <w:spacing w:after="0" w:line="176" w:lineRule="exact"/>
              <w:rPr>
                <w:rFonts w:ascii="Arial" w:cs="Arial" w:eastAsia="Arial" w:hAnsi="Arial"/>
                <w:sz w:val="17"/>
                <w:szCs w:val="17"/>
                <w:color w:val="0000EE"/>
              </w:rPr>
            </w:pPr>
            <w:hyperlink w:anchor="page194">
              <w:r>
                <w:rPr>
                  <w:rFonts w:ascii="Arial" w:cs="Arial" w:eastAsia="Arial" w:hAnsi="Arial"/>
                  <w:sz w:val="17"/>
                  <w:szCs w:val="17"/>
                  <w:color w:val="0000EE"/>
                </w:rPr>
                <w:t>Underwriting</w:t>
              </w:r>
            </w:hyperlink>
          </w:p>
        </w:tc>
        <w:tc>
          <w:tcPr>
            <w:tcW w:w="2440" w:type="dxa"/>
            <w:vAlign w:val="bottom"/>
          </w:tcPr>
          <w:p>
            <w:pPr>
              <w:spacing w:after="0"/>
              <w:rPr>
                <w:sz w:val="15"/>
                <w:szCs w:val="15"/>
                <w:color w:val="auto"/>
              </w:rPr>
            </w:pPr>
          </w:p>
        </w:tc>
        <w:tc>
          <w:tcPr>
            <w:tcW w:w="360" w:type="dxa"/>
            <w:vAlign w:val="bottom"/>
          </w:tcPr>
          <w:p>
            <w:pPr>
              <w:jc w:val="right"/>
              <w:spacing w:after="0" w:line="176" w:lineRule="exact"/>
              <w:rPr>
                <w:sz w:val="20"/>
                <w:szCs w:val="20"/>
                <w:color w:val="auto"/>
              </w:rPr>
            </w:pPr>
            <w:r>
              <w:rPr>
                <w:rFonts w:ascii="Arial" w:cs="Arial" w:eastAsia="Arial" w:hAnsi="Arial"/>
                <w:sz w:val="17"/>
                <w:szCs w:val="17"/>
                <w:color w:val="auto"/>
              </w:rPr>
              <w:t>192</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gridSpan w:val="1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9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0300" w:type="dxa"/>
            <w:vAlign w:val="bottom"/>
            <w:gridSpan w:val="23"/>
          </w:tcPr>
          <w:p>
            <w:pPr>
              <w:spacing w:after="0" w:line="176" w:lineRule="exact"/>
              <w:rPr>
                <w:rFonts w:ascii="Arial" w:cs="Arial" w:eastAsia="Arial" w:hAnsi="Arial"/>
                <w:sz w:val="17"/>
                <w:szCs w:val="17"/>
                <w:color w:val="0000EE"/>
              </w:rPr>
            </w:pPr>
            <w:hyperlink w:anchor="page201">
              <w:r>
                <w:rPr>
                  <w:rFonts w:ascii="Arial" w:cs="Arial" w:eastAsia="Arial" w:hAnsi="Arial"/>
                  <w:sz w:val="17"/>
                  <w:szCs w:val="17"/>
                  <w:color w:val="0000EE"/>
                </w:rPr>
                <w:t>Legal Matters</w:t>
              </w:r>
            </w:hyperlink>
          </w:p>
        </w:tc>
        <w:tc>
          <w:tcPr>
            <w:tcW w:w="360" w:type="dxa"/>
            <w:vAlign w:val="bottom"/>
          </w:tcPr>
          <w:p>
            <w:pPr>
              <w:jc w:val="right"/>
              <w:spacing w:after="0" w:line="176" w:lineRule="exact"/>
              <w:rPr>
                <w:sz w:val="20"/>
                <w:szCs w:val="20"/>
                <w:color w:val="auto"/>
              </w:rPr>
            </w:pPr>
            <w:r>
              <w:rPr>
                <w:rFonts w:ascii="Arial" w:cs="Arial" w:eastAsia="Arial" w:hAnsi="Arial"/>
                <w:sz w:val="17"/>
                <w:szCs w:val="17"/>
                <w:color w:val="auto"/>
              </w:rPr>
              <w:t>199</w:t>
            </w:r>
          </w:p>
        </w:tc>
        <w:tc>
          <w:tcPr>
            <w:tcW w:w="0" w:type="dxa"/>
            <w:vAlign w:val="bottom"/>
          </w:tcPr>
          <w:p>
            <w:pPr>
              <w:spacing w:after="0"/>
              <w:rPr>
                <w:sz w:val="1"/>
                <w:szCs w:val="1"/>
                <w:color w:val="auto"/>
              </w:rPr>
            </w:pPr>
          </w:p>
        </w:tc>
      </w:tr>
      <w:tr>
        <w:trPr>
          <w:trHeight w:val="177"/>
        </w:trPr>
        <w:tc>
          <w:tcPr>
            <w:tcW w:w="600" w:type="dxa"/>
            <w:vAlign w:val="bottom"/>
            <w:tcBorders>
              <w:top w:val="single" w:sz="8" w:color="0000EE"/>
              <w:bottom w:val="single" w:sz="8" w:color="0000EE"/>
            </w:tcBorders>
            <w:gridSpan w:val="2"/>
          </w:tcPr>
          <w:p>
            <w:pPr>
              <w:spacing w:after="0" w:line="176" w:lineRule="exact"/>
              <w:rPr>
                <w:rFonts w:ascii="Arial" w:cs="Arial" w:eastAsia="Arial" w:hAnsi="Arial"/>
                <w:sz w:val="17"/>
                <w:szCs w:val="17"/>
                <w:color w:val="0000EE"/>
              </w:rPr>
            </w:pPr>
            <w:hyperlink w:anchor="page201">
              <w:r>
                <w:rPr>
                  <w:rFonts w:ascii="Arial" w:cs="Arial" w:eastAsia="Arial" w:hAnsi="Arial"/>
                  <w:sz w:val="17"/>
                  <w:szCs w:val="17"/>
                  <w:color w:val="0000EE"/>
                </w:rPr>
                <w:t>Experts</w:t>
              </w:r>
            </w:hyperlink>
          </w:p>
        </w:tc>
        <w:tc>
          <w:tcPr>
            <w:tcW w:w="460" w:type="dxa"/>
            <w:vAlign w:val="bottom"/>
            <w:tcBorders>
              <w:top w:val="single" w:sz="8" w:color="0000EE"/>
            </w:tcBorders>
            <w:gridSpan w:val="3"/>
          </w:tcPr>
          <w:p>
            <w:pPr>
              <w:spacing w:after="0"/>
              <w:rPr>
                <w:sz w:val="15"/>
                <w:szCs w:val="15"/>
                <w:color w:val="auto"/>
              </w:rPr>
            </w:pPr>
          </w:p>
        </w:tc>
        <w:tc>
          <w:tcPr>
            <w:tcW w:w="9240" w:type="dxa"/>
            <w:vAlign w:val="bottom"/>
            <w:gridSpan w:val="18"/>
          </w:tcPr>
          <w:p>
            <w:pPr>
              <w:spacing w:after="0"/>
              <w:rPr>
                <w:sz w:val="15"/>
                <w:szCs w:val="15"/>
                <w:color w:val="auto"/>
              </w:rPr>
            </w:pPr>
          </w:p>
        </w:tc>
        <w:tc>
          <w:tcPr>
            <w:tcW w:w="360" w:type="dxa"/>
            <w:vAlign w:val="bottom"/>
          </w:tcPr>
          <w:p>
            <w:pPr>
              <w:jc w:val="right"/>
              <w:spacing w:after="0" w:line="176" w:lineRule="exact"/>
              <w:rPr>
                <w:sz w:val="20"/>
                <w:szCs w:val="20"/>
                <w:color w:val="auto"/>
              </w:rPr>
            </w:pPr>
            <w:r>
              <w:rPr>
                <w:rFonts w:ascii="Arial" w:cs="Arial" w:eastAsia="Arial" w:hAnsi="Arial"/>
                <w:sz w:val="17"/>
                <w:szCs w:val="17"/>
                <w:color w:val="auto"/>
              </w:rPr>
              <w:t>199</w:t>
            </w:r>
          </w:p>
        </w:tc>
        <w:tc>
          <w:tcPr>
            <w:tcW w:w="0" w:type="dxa"/>
            <w:vAlign w:val="bottom"/>
          </w:tcPr>
          <w:p>
            <w:pPr>
              <w:spacing w:after="0"/>
              <w:rPr>
                <w:sz w:val="1"/>
                <w:szCs w:val="1"/>
                <w:color w:val="auto"/>
              </w:rPr>
            </w:pPr>
          </w:p>
        </w:tc>
      </w:tr>
      <w:tr>
        <w:trPr>
          <w:trHeight w:val="177"/>
        </w:trPr>
        <w:tc>
          <w:tcPr>
            <w:tcW w:w="3000" w:type="dxa"/>
            <w:vAlign w:val="bottom"/>
            <w:tcBorders>
              <w:bottom w:val="single" w:sz="8" w:color="0000EE"/>
            </w:tcBorders>
            <w:gridSpan w:val="18"/>
          </w:tcPr>
          <w:p>
            <w:pPr>
              <w:spacing w:after="0" w:line="176" w:lineRule="exact"/>
              <w:rPr>
                <w:rFonts w:ascii="Arial" w:cs="Arial" w:eastAsia="Arial" w:hAnsi="Arial"/>
                <w:sz w:val="17"/>
                <w:szCs w:val="17"/>
                <w:color w:val="0000EE"/>
              </w:rPr>
            </w:pPr>
            <w:hyperlink w:anchor="page201">
              <w:r>
                <w:rPr>
                  <w:rFonts w:ascii="Arial" w:cs="Arial" w:eastAsia="Arial" w:hAnsi="Arial"/>
                  <w:sz w:val="17"/>
                  <w:szCs w:val="17"/>
                  <w:color w:val="0000EE"/>
                </w:rPr>
                <w:t>Where You Can Find More Information</w:t>
              </w:r>
            </w:hyperlink>
          </w:p>
        </w:tc>
        <w:tc>
          <w:tcPr>
            <w:tcW w:w="7300" w:type="dxa"/>
            <w:vAlign w:val="bottom"/>
            <w:gridSpan w:val="5"/>
          </w:tcPr>
          <w:p>
            <w:pPr>
              <w:spacing w:after="0"/>
              <w:rPr>
                <w:sz w:val="15"/>
                <w:szCs w:val="15"/>
                <w:color w:val="auto"/>
              </w:rPr>
            </w:pPr>
          </w:p>
        </w:tc>
        <w:tc>
          <w:tcPr>
            <w:tcW w:w="360" w:type="dxa"/>
            <w:vAlign w:val="bottom"/>
          </w:tcPr>
          <w:p>
            <w:pPr>
              <w:jc w:val="right"/>
              <w:spacing w:after="0" w:line="176" w:lineRule="exact"/>
              <w:rPr>
                <w:sz w:val="20"/>
                <w:szCs w:val="20"/>
                <w:color w:val="auto"/>
              </w:rPr>
            </w:pPr>
            <w:r>
              <w:rPr>
                <w:rFonts w:ascii="Arial" w:cs="Arial" w:eastAsia="Arial" w:hAnsi="Arial"/>
                <w:sz w:val="17"/>
                <w:szCs w:val="17"/>
                <w:color w:val="auto"/>
              </w:rPr>
              <w:t>199</w:t>
            </w:r>
          </w:p>
        </w:tc>
        <w:tc>
          <w:tcPr>
            <w:tcW w:w="0" w:type="dxa"/>
            <w:vAlign w:val="bottom"/>
          </w:tcPr>
          <w:p>
            <w:pPr>
              <w:spacing w:after="0"/>
              <w:rPr>
                <w:sz w:val="1"/>
                <w:szCs w:val="1"/>
                <w:color w:val="auto"/>
              </w:rPr>
            </w:pPr>
          </w:p>
        </w:tc>
      </w:tr>
      <w:tr>
        <w:trPr>
          <w:trHeight w:val="177"/>
        </w:trPr>
        <w:tc>
          <w:tcPr>
            <w:tcW w:w="3380" w:type="dxa"/>
            <w:vAlign w:val="bottom"/>
            <w:tcBorders>
              <w:bottom w:val="single" w:sz="8" w:color="0000EE"/>
            </w:tcBorders>
            <w:gridSpan w:val="19"/>
          </w:tcPr>
          <w:p>
            <w:pPr>
              <w:spacing w:after="0" w:line="176" w:lineRule="exact"/>
              <w:rPr>
                <w:rFonts w:ascii="Arial" w:cs="Arial" w:eastAsia="Arial" w:hAnsi="Arial"/>
                <w:sz w:val="17"/>
                <w:szCs w:val="17"/>
                <w:color w:val="0000EE"/>
              </w:rPr>
            </w:pPr>
            <w:hyperlink w:anchor="page202">
              <w:r>
                <w:rPr>
                  <w:rFonts w:ascii="Arial" w:cs="Arial" w:eastAsia="Arial" w:hAnsi="Arial"/>
                  <w:sz w:val="17"/>
                  <w:szCs w:val="17"/>
                  <w:color w:val="0000EE"/>
                </w:rPr>
                <w:t>Index to Consolidated Financial Statements</w:t>
              </w:r>
            </w:hyperlink>
          </w:p>
        </w:tc>
        <w:tc>
          <w:tcPr>
            <w:tcW w:w="6920" w:type="dxa"/>
            <w:vAlign w:val="bottom"/>
            <w:gridSpan w:val="4"/>
          </w:tcPr>
          <w:p>
            <w:pPr>
              <w:spacing w:after="0"/>
              <w:rPr>
                <w:sz w:val="15"/>
                <w:szCs w:val="15"/>
                <w:color w:val="auto"/>
              </w:rPr>
            </w:pPr>
          </w:p>
        </w:tc>
        <w:tc>
          <w:tcPr>
            <w:tcW w:w="360" w:type="dxa"/>
            <w:vAlign w:val="bottom"/>
          </w:tcPr>
          <w:p>
            <w:pPr>
              <w:jc w:val="right"/>
              <w:spacing w:after="0" w:line="176" w:lineRule="exact"/>
              <w:rPr>
                <w:sz w:val="20"/>
                <w:szCs w:val="20"/>
                <w:color w:val="auto"/>
              </w:rPr>
            </w:pPr>
            <w:r>
              <w:rPr>
                <w:rFonts w:ascii="Arial" w:cs="Arial" w:eastAsia="Arial" w:hAnsi="Arial"/>
                <w:sz w:val="17"/>
                <w:szCs w:val="17"/>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2916555</wp:posOffset>
            </wp:positionH>
            <wp:positionV relativeFrom="paragraph">
              <wp:posOffset>233045</wp:posOffset>
            </wp:positionV>
            <wp:extent cx="14236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67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360" w:right="40" w:firstLine="535"/>
        <w:spacing w:after="0" w:line="248" w:lineRule="auto"/>
        <w:rPr>
          <w:sz w:val="20"/>
          <w:szCs w:val="20"/>
          <w:color w:val="auto"/>
        </w:rPr>
      </w:pPr>
      <w:r>
        <w:rPr>
          <w:rFonts w:ascii="Arial" w:cs="Arial" w:eastAsia="Arial" w:hAnsi="Arial"/>
          <w:sz w:val="17"/>
          <w:szCs w:val="17"/>
          <w:b w:val="1"/>
          <w:bCs w:val="1"/>
          <w:color w:val="auto"/>
        </w:rPr>
        <w:t>Neither we nor the underwriters have authorized anyone to provide you with information other than that contained in this prospectus or in any free writing prospectus prepared by or on behalf of us or to which we have referred you. We and the underwriters take no responsibility for, and can provide no assurance as to the reliability of, any other information that others may give to you. We are offering to sell, and seeking offers to buy, shares of our common stock only in jurisdictions where offers and sales are permitted. The information contained in this prospectus is accurate only as of the date of this prospectus, regardless of the time of delivery of this prospectus or any sale of our common stock. Our business, financial condition, results of operations and prospects may have changed since that date.</w:t>
      </w:r>
    </w:p>
    <w:p>
      <w:pPr>
        <w:spacing w:after="0" w:line="172" w:lineRule="exact"/>
        <w:rPr>
          <w:sz w:val="20"/>
          <w:szCs w:val="20"/>
          <w:color w:val="auto"/>
        </w:rPr>
      </w:pPr>
    </w:p>
    <w:p>
      <w:pPr>
        <w:ind w:left="360" w:right="160" w:firstLine="535"/>
        <w:spacing w:after="0" w:line="256" w:lineRule="auto"/>
        <w:rPr>
          <w:sz w:val="20"/>
          <w:szCs w:val="20"/>
          <w:color w:val="auto"/>
        </w:rPr>
      </w:pPr>
      <w:r>
        <w:rPr>
          <w:rFonts w:ascii="Arial" w:cs="Arial" w:eastAsia="Arial" w:hAnsi="Arial"/>
          <w:sz w:val="17"/>
          <w:szCs w:val="17"/>
          <w:b w:val="1"/>
          <w:bCs w:val="1"/>
          <w:color w:val="auto"/>
        </w:rPr>
        <w:t>No action is being taken in any jurisdiction outside the United States to permit a public offering of our common stock or possession or distribution of this prospectus in that jurisdiction. Persons who come into possession of this prospectus in jurisdictions outside the United States are required to inform themselves about and to observe any restrictions as to this offering and the distribution of this prospectus applicable to that jurisdiction.</w:t>
      </w:r>
    </w:p>
    <w:p>
      <w:pPr>
        <w:spacing w:after="0" w:line="119"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1020"/>
          </w:cols>
          <w:pgMar w:left="240" w:top="449" w:right="639" w:bottom="1440" w:gutter="0" w:footer="0" w:header="0"/>
        </w:sectPr>
      </w:pPr>
    </w:p>
    <w:bookmarkStart w:id="2" w:name="page3"/>
    <w:bookmarkEnd w:id="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201295</wp:posOffset>
            </wp:positionV>
            <wp:extent cx="6797040" cy="52571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97040" cy="525716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ind w:right="-539"/>
        <w:spacing w:after="0"/>
        <w:rPr>
          <w:sz w:val="20"/>
          <w:szCs w:val="20"/>
          <w:color w:val="auto"/>
        </w:rPr>
      </w:pPr>
      <w:r>
        <w:rPr>
          <w:rFonts w:ascii="Arial" w:cs="Arial" w:eastAsia="Arial" w:hAnsi="Arial"/>
          <w:sz w:val="17"/>
          <w:szCs w:val="17"/>
          <w:b w:val="1"/>
          <w:bCs w:val="1"/>
          <w:color w:val="auto"/>
        </w:rPr>
        <w:t>PROSPECTUS SUMMARY</w:t>
      </w:r>
    </w:p>
    <w:p>
      <w:pPr>
        <w:spacing w:after="0" w:line="215" w:lineRule="exact"/>
        <w:rPr>
          <w:sz w:val="20"/>
          <w:szCs w:val="20"/>
          <w:color w:val="auto"/>
        </w:rPr>
      </w:pPr>
    </w:p>
    <w:p>
      <w:pPr>
        <w:ind w:left="540" w:right="20" w:firstLine="517"/>
        <w:spacing w:after="0" w:line="251" w:lineRule="auto"/>
        <w:rPr>
          <w:sz w:val="20"/>
          <w:szCs w:val="20"/>
          <w:color w:val="auto"/>
        </w:rPr>
      </w:pPr>
      <w:r>
        <w:rPr>
          <w:rFonts w:ascii="Arial" w:cs="Arial" w:eastAsia="Arial" w:hAnsi="Arial"/>
          <w:sz w:val="17"/>
          <w:szCs w:val="17"/>
          <w:i w:val="1"/>
          <w:iCs w:val="1"/>
          <w:color w:val="auto"/>
        </w:rPr>
        <w:t>This summary highlights information contained elsewhere in this prospectus. This summary does not contain all of the information you should consider before investing in our common stock. You should read this entire prospectus carefully, especially the sections titled “Risk Factors,” “Special Note Regarding Forward-Looking Statements and Industry Data” and “Management’s Discussion and Analysis of Financial Condition and Results of Operations” and our consolidated financial statements and the related notes appearing at the end of this prospectus, before making an investment decision.</w:t>
      </w:r>
    </w:p>
    <w:p>
      <w:pPr>
        <w:spacing w:after="0" w:line="272" w:lineRule="exact"/>
        <w:rPr>
          <w:sz w:val="20"/>
          <w:szCs w:val="20"/>
          <w:color w:val="auto"/>
        </w:rPr>
      </w:pPr>
    </w:p>
    <w:p>
      <w:pPr>
        <w:ind w:left="4720"/>
        <w:spacing w:after="0"/>
        <w:rPr>
          <w:sz w:val="20"/>
          <w:szCs w:val="20"/>
          <w:color w:val="auto"/>
        </w:rPr>
      </w:pPr>
      <w:r>
        <w:rPr>
          <w:rFonts w:ascii="Arial" w:cs="Arial" w:eastAsia="Arial" w:hAnsi="Arial"/>
          <w:sz w:val="17"/>
          <w:szCs w:val="17"/>
          <w:b w:val="1"/>
          <w:bCs w:val="1"/>
          <w:color w:val="auto"/>
        </w:rPr>
        <w:t>Our Company Overview</w:t>
      </w:r>
    </w:p>
    <w:p>
      <w:pPr>
        <w:spacing w:after="0" w:line="233" w:lineRule="exact"/>
        <w:rPr>
          <w:sz w:val="20"/>
          <w:szCs w:val="20"/>
          <w:color w:val="auto"/>
        </w:rPr>
      </w:pPr>
    </w:p>
    <w:p>
      <w:pPr>
        <w:ind w:left="540" w:firstLine="517"/>
        <w:spacing w:after="0" w:line="242" w:lineRule="auto"/>
        <w:rPr>
          <w:sz w:val="20"/>
          <w:szCs w:val="20"/>
          <w:color w:val="auto"/>
        </w:rPr>
      </w:pPr>
      <w:r>
        <w:rPr>
          <w:rFonts w:ascii="Arial" w:cs="Arial" w:eastAsia="Arial" w:hAnsi="Arial"/>
          <w:sz w:val="17"/>
          <w:szCs w:val="17"/>
          <w:color w:val="auto"/>
        </w:rPr>
        <w:t>We are a biopharmaceutical company dedicated to improving the lives of patients suffering from debilitating and life-threatening diseases through the discovery, development and commercialization of therapies to degrade disease-causing proteins. We use our proprietary technology platform to engineer proteolysis targeting chimeras, or PROTACs, that are designed to harness the body’s own natural protein disposal system to selectively and efficiently degrade and remove disease-causing proteins. We believe that our targeted protein degradation approach is a new therapeutic modality that may provide distinct advantages over existing modalities, including traditional small molecule therapies and gene-based medicines. Our small molecule PROTAC technology has the potential to address a broad range of intracellular disease targets, including those representing the up to 80% of proteins that cannot be addressed by existing small molecule therapies, commonly referred to as undruggable targets. We are using our PROTAC platform to build an extensive pipeline of protein degradation product candidates to target diseases in a wide range of organ systems and tissues. We are preparing to advance our lead product candidates, ARV-110 and ARV-471, into Phase 1 clinical trials. We expect to initiate a Phase 1 clinical trial for ARV-110 in men with metastatic castration-resistant prostate cancer, or mCRPC, in the first quarter of 2019 and a Phase 1 clinical trial for ARV-471 in women with metastatic ER positive / HER2 negative breast cancer, or ER+ breast cancer, in mid-2019.</w:t>
      </w:r>
    </w:p>
    <w:p>
      <w:pPr>
        <w:spacing w:after="0" w:line="200" w:lineRule="exact"/>
        <w:rPr>
          <w:sz w:val="20"/>
          <w:szCs w:val="20"/>
          <w:color w:val="auto"/>
        </w:rPr>
      </w:pPr>
    </w:p>
    <w:p>
      <w:pPr>
        <w:spacing w:after="0" w:line="201" w:lineRule="exact"/>
        <w:rPr>
          <w:sz w:val="20"/>
          <w:szCs w:val="20"/>
          <w:color w:val="auto"/>
        </w:rPr>
      </w:pPr>
    </w:p>
    <w:p>
      <w:pPr>
        <w:ind w:left="540" w:firstLine="517"/>
        <w:spacing w:after="0" w:line="244" w:lineRule="auto"/>
        <w:rPr>
          <w:sz w:val="20"/>
          <w:szCs w:val="20"/>
          <w:color w:val="auto"/>
        </w:rPr>
      </w:pPr>
      <w:r>
        <w:rPr>
          <w:rFonts w:ascii="Arial" w:cs="Arial" w:eastAsia="Arial" w:hAnsi="Arial"/>
          <w:sz w:val="17"/>
          <w:szCs w:val="17"/>
          <w:color w:val="auto"/>
        </w:rPr>
        <w:t>Human cells produce tens of thousands of different proteins, the entirety of which is referred to as the proteome. Proteins are responsible for many structural, functional and regulatory processes in cells, but when they are overexpressed or mutated, a wide variety of diseases can result. When proteins become old, mutated, misfolded or simply have served their purpose, they are naturally degraded by the body through the ubiquitin proteasome system in which cells mark or tag a particular protein for disposal by attaching several molecules of the small regulatory protein ubiquitin to the protein to be disposed. A key step of this process is the transfer of ubiquitin to a specific target protein by an E3 ubiquitin ligase, or E3 ligase. Once the target protein is sufficiently ubiquitinated, the proteasome recognizes and degrades the protein.</w:t>
      </w:r>
    </w:p>
    <w:p>
      <w:pPr>
        <w:spacing w:after="0" w:line="195" w:lineRule="exact"/>
        <w:rPr>
          <w:sz w:val="20"/>
          <w:szCs w:val="20"/>
          <w:color w:val="auto"/>
        </w:rPr>
      </w:pPr>
    </w:p>
    <w:p>
      <w:pPr>
        <w:ind w:left="540" w:right="80" w:firstLine="517"/>
        <w:spacing w:after="0" w:line="244" w:lineRule="auto"/>
        <w:rPr>
          <w:sz w:val="20"/>
          <w:szCs w:val="20"/>
          <w:color w:val="auto"/>
        </w:rPr>
      </w:pPr>
      <w:r>
        <w:rPr>
          <w:rFonts w:ascii="Arial" w:cs="Arial" w:eastAsia="Arial" w:hAnsi="Arial"/>
          <w:sz w:val="17"/>
          <w:szCs w:val="17"/>
          <w:color w:val="auto"/>
        </w:rPr>
        <w:t>We have engineered our PROTACs to utilize the cell’s naturally occurring protein disposal system, directing the proteasome to recognize and degrade specific proteins associated with disease. Our PROTACs are small molecules with two operative ends—one, a ligand that binds to the protein targeted for degradation, and the other, a ligand that binds to an E3 ligase. These two ligands are connected by a chemical chain linker. Our PROTACs bring the targeted protein and the E3 ligase together into a three-component grouping known as a trimer complex to facilitate the transfer of ubiquitin to the target protein, triggering its degradation by the proteasome. Our PROTACs function iteratively, potentially completing this cycle hundreds of times before eventually being metabolized or eliminated from the cell.</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880"/>
          </w:cols>
          <w:pgMar w:left="240" w:top="449" w:right="779"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201295</wp:posOffset>
            </wp:positionV>
            <wp:extent cx="6797040" cy="2801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97040" cy="280162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ind w:right="-539"/>
        <w:spacing w:after="0"/>
        <w:rPr>
          <w:sz w:val="20"/>
          <w:szCs w:val="20"/>
          <w:color w:val="auto"/>
        </w:rPr>
      </w:pPr>
      <w:r>
        <w:rPr>
          <w:rFonts w:ascii="Arial" w:cs="Arial" w:eastAsia="Arial" w:hAnsi="Arial"/>
          <w:sz w:val="17"/>
          <w:szCs w:val="17"/>
          <w:b w:val="1"/>
          <w:bCs w:val="1"/>
          <w:color w:val="auto"/>
        </w:rPr>
        <w:t>Our Platform</w:t>
      </w:r>
    </w:p>
    <w:p>
      <w:pPr>
        <w:spacing w:after="0" w:line="233" w:lineRule="exact"/>
        <w:rPr>
          <w:sz w:val="20"/>
          <w:szCs w:val="20"/>
          <w:color w:val="auto"/>
        </w:rPr>
      </w:pPr>
    </w:p>
    <w:p>
      <w:pPr>
        <w:ind w:left="540" w:firstLine="517"/>
        <w:spacing w:after="0" w:line="244" w:lineRule="auto"/>
        <w:rPr>
          <w:sz w:val="20"/>
          <w:szCs w:val="20"/>
          <w:color w:val="auto"/>
        </w:rPr>
      </w:pPr>
      <w:r>
        <w:rPr>
          <w:rFonts w:ascii="Arial" w:cs="Arial" w:eastAsia="Arial" w:hAnsi="Arial"/>
          <w:sz w:val="17"/>
          <w:szCs w:val="17"/>
          <w:color w:val="auto"/>
        </w:rPr>
        <w:t>We have developed a proprietary synthetic PROTAC matrix which, combined with computational, biological and biophysical data, allows us to rapidly identify and optimize efficient protein degraders with features we believe can make for successful drugs. The modular design and holistic optimization of each PROTAC provides us with opportunities to prepare different chemical series, each with tunable properties relating to potency, selectivity and method of delivery, which can produce the efficient trimer complex necessary for degradation of the targeted protein by the proteasome. We have combined the potential of our PROTAC technology with our specialized knowledge to obtain encouraging preclinical results, including successful degradation of over 90% of the more than 30 proteins that we have targeted to date.</w:t>
      </w:r>
    </w:p>
    <w:p>
      <w:pPr>
        <w:spacing w:after="0" w:line="195" w:lineRule="exact"/>
        <w:rPr>
          <w:sz w:val="20"/>
          <w:szCs w:val="20"/>
          <w:color w:val="auto"/>
        </w:rPr>
      </w:pPr>
    </w:p>
    <w:p>
      <w:pPr>
        <w:ind w:left="540" w:right="60" w:firstLine="517"/>
        <w:spacing w:after="0" w:line="247" w:lineRule="auto"/>
        <w:rPr>
          <w:sz w:val="20"/>
          <w:szCs w:val="20"/>
          <w:color w:val="auto"/>
        </w:rPr>
      </w:pPr>
      <w:r>
        <w:rPr>
          <w:rFonts w:ascii="Arial" w:cs="Arial" w:eastAsia="Arial" w:hAnsi="Arial"/>
          <w:sz w:val="17"/>
          <w:szCs w:val="17"/>
          <w:color w:val="auto"/>
        </w:rPr>
        <w:t>We undertake a rigorous evaluation process to prioritize protein targets for which we believe our PROTAC approach can achieve differentiated clinical outcomes for patients over existing modalities. Once we have identified a protein target, we design a modular matrix comprised of directed protein targeting ligands, E3 ligase ligands and chemical linkers to engineer an active PROTAC capable of degrading the selected protein.</w:t>
      </w:r>
    </w:p>
    <w:p>
      <w:pPr>
        <w:spacing w:after="0" w:line="192" w:lineRule="exact"/>
        <w:rPr>
          <w:sz w:val="20"/>
          <w:szCs w:val="20"/>
          <w:color w:val="auto"/>
        </w:rPr>
      </w:pPr>
    </w:p>
    <w:p>
      <w:pPr>
        <w:ind w:left="540" w:right="80" w:firstLine="517"/>
        <w:spacing w:after="0" w:line="245" w:lineRule="auto"/>
        <w:rPr>
          <w:sz w:val="20"/>
          <w:szCs w:val="20"/>
          <w:color w:val="auto"/>
        </w:rPr>
      </w:pPr>
      <w:r>
        <w:rPr>
          <w:rFonts w:ascii="Arial" w:cs="Arial" w:eastAsia="Arial" w:hAnsi="Arial"/>
          <w:sz w:val="17"/>
          <w:szCs w:val="17"/>
          <w:color w:val="auto"/>
        </w:rPr>
        <w:t>In the design, optimization and development of our PROTACs, we focus on the following key features that we believe are critical to successfully engineering PROTAC therapeutics with potentially robust application across multiple indications and therapeutic areas: potency, selectivity, and deliverability and versatility. We have harnessed these features to successfully target and degrade a wide range of protein classes, including nuclear proteins, transcription factors, epigenetic modulators, membrane proteins, cytosolic proteins and high molecular weight neuroprotein aggregates.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880"/>
          </w:cols>
          <w:pgMar w:left="240" w:top="449" w:right="77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201295</wp:posOffset>
            </wp:positionV>
            <wp:extent cx="6797040" cy="63728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97040" cy="637286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ind w:right="-539"/>
        <w:spacing w:after="0"/>
        <w:rPr>
          <w:sz w:val="20"/>
          <w:szCs w:val="20"/>
          <w:color w:val="auto"/>
        </w:rPr>
      </w:pPr>
      <w:r>
        <w:rPr>
          <w:rFonts w:ascii="Arial" w:cs="Arial" w:eastAsia="Arial" w:hAnsi="Arial"/>
          <w:sz w:val="17"/>
          <w:szCs w:val="17"/>
          <w:b w:val="1"/>
          <w:bCs w:val="1"/>
          <w:color w:val="auto"/>
        </w:rPr>
        <w:t>Our Pipeline</w:t>
      </w:r>
    </w:p>
    <w:p>
      <w:pPr>
        <w:spacing w:after="0" w:line="233" w:lineRule="exact"/>
        <w:rPr>
          <w:sz w:val="20"/>
          <w:szCs w:val="20"/>
          <w:color w:val="auto"/>
        </w:rPr>
      </w:pPr>
    </w:p>
    <w:p>
      <w:pPr>
        <w:ind w:left="540" w:right="60" w:firstLine="517"/>
        <w:spacing w:after="0" w:line="247" w:lineRule="auto"/>
        <w:rPr>
          <w:sz w:val="20"/>
          <w:szCs w:val="20"/>
          <w:color w:val="auto"/>
        </w:rPr>
      </w:pPr>
      <w:r>
        <w:rPr>
          <w:rFonts w:ascii="Arial" w:cs="Arial" w:eastAsia="Arial" w:hAnsi="Arial"/>
          <w:sz w:val="17"/>
          <w:szCs w:val="17"/>
          <w:color w:val="auto"/>
        </w:rPr>
        <w:t>Our platform has generated several promising protein degradation product candidates that may be capable of targeting diseases in a wide range of organ systems and tissues. We and our collaborators have initiated programs across multiple therapeutic areas with the goal of developing and delivering life-changing therapies to patients in need. Our lead therapeutic programs, for which we retain full worldwide development and commercialization rights, are summarized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right="140" w:firstLine="517"/>
        <w:spacing w:after="0" w:line="244" w:lineRule="auto"/>
        <w:rPr>
          <w:sz w:val="20"/>
          <w:szCs w:val="20"/>
          <w:color w:val="auto"/>
        </w:rPr>
      </w:pPr>
      <w:r>
        <w:rPr>
          <w:rFonts w:ascii="Arial" w:cs="Arial" w:eastAsia="Arial" w:hAnsi="Arial"/>
          <w:sz w:val="17"/>
          <w:szCs w:val="17"/>
          <w:color w:val="auto"/>
        </w:rPr>
        <w:t xml:space="preserve">We classify our programs as in the discovery stage of development when we are synthesizing and testing PROTACs to evaluate degradation of the selected target, differential biology compared to inhibitors, and proof of concept pharmacodynamics and efficacy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 program advances to the lead optimization stage when we have identified a lead PROTAC that demonstrates promising activity in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biological models relative to defined criteria. In the lead optimization stage, we are working to optimize the PROTACs for a desired profile, including degradation potency, selectivity, drug metabolism and pharmacokinetics, pharmacodynamic activity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efficacy, and we have begun characterizing preclinical tolerability and toxicology. A program enters the IND enabling stage once we are performing studies intended to support the submission of an investigational new drug, or IND, application, including expanded toxicology, drug product optimization and IND documentation preparation.</w:t>
      </w:r>
    </w:p>
    <w:p>
      <w:pPr>
        <w:spacing w:after="0" w:line="193" w:lineRule="exact"/>
        <w:rPr>
          <w:sz w:val="20"/>
          <w:szCs w:val="20"/>
          <w:color w:val="auto"/>
        </w:rPr>
      </w:pPr>
    </w:p>
    <w:p>
      <w:pPr>
        <w:ind w:left="540" w:firstLine="517"/>
        <w:spacing w:after="0" w:line="250" w:lineRule="auto"/>
        <w:rPr>
          <w:sz w:val="20"/>
          <w:szCs w:val="20"/>
          <w:color w:val="auto"/>
        </w:rPr>
      </w:pPr>
      <w:r>
        <w:rPr>
          <w:rFonts w:ascii="Arial" w:cs="Arial" w:eastAsia="Arial" w:hAnsi="Arial"/>
          <w:sz w:val="17"/>
          <w:szCs w:val="17"/>
          <w:color w:val="auto"/>
        </w:rPr>
        <w:t>Our two lead product candidates are ARV-110 and ARV-471. We are developing ARV-110, a PROTAC targeting the androgen receptor protein, or AR, for the treatment of men with mCRPC. We expect to submit an IND to the U.S. Food and Drug Administration, or FDA, for ARV-110 in the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880"/>
          </w:cols>
          <w:pgMar w:left="240" w:top="449" w:right="77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201295</wp:posOffset>
            </wp:positionV>
            <wp:extent cx="6797040" cy="55149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97040" cy="551497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540" w:right="80"/>
        <w:spacing w:after="0" w:line="244" w:lineRule="auto"/>
        <w:rPr>
          <w:sz w:val="20"/>
          <w:szCs w:val="20"/>
          <w:color w:val="auto"/>
        </w:rPr>
      </w:pPr>
      <w:r>
        <w:rPr>
          <w:rFonts w:ascii="Arial" w:cs="Arial" w:eastAsia="Arial" w:hAnsi="Arial"/>
          <w:sz w:val="17"/>
          <w:szCs w:val="17"/>
          <w:color w:val="auto"/>
        </w:rPr>
        <w:t>second half of 2018, initiate a Phase 1 trial in the first quarter of 2019 and receive preliminary clinical data in the second half of 2019. We are developing ARV-471, a PROTAC targeting the estrogen receptor protein, or ER, for the treatment of women with metastatic ER+ breast cancer. We expect to submit an IND to the FDA for ARV-471 in the first half of 2019, initiate a Phase 1 trial in mid-2019 and receive preliminary clinical data in 2020. In our preclinical studies, these lead product candidates have demonstrated potent and selective protein degradation. We believe favorable clinical trial results in these initial oncology programs would provide validation of our platform as a new therapeutic modality for the potential treatment of diseases caused by dysregulated intracellular proteins regardless of therapeutic area.</w:t>
      </w:r>
    </w:p>
    <w:p>
      <w:pPr>
        <w:spacing w:after="0" w:line="195" w:lineRule="exact"/>
        <w:rPr>
          <w:sz w:val="20"/>
          <w:szCs w:val="20"/>
          <w:color w:val="auto"/>
        </w:rPr>
      </w:pPr>
    </w:p>
    <w:p>
      <w:pPr>
        <w:ind w:left="540" w:right="240" w:firstLine="517"/>
        <w:spacing w:after="0" w:line="247" w:lineRule="auto"/>
        <w:rPr>
          <w:sz w:val="20"/>
          <w:szCs w:val="20"/>
          <w:color w:val="auto"/>
        </w:rPr>
      </w:pPr>
      <w:r>
        <w:rPr>
          <w:rFonts w:ascii="Arial" w:cs="Arial" w:eastAsia="Arial" w:hAnsi="Arial"/>
          <w:sz w:val="17"/>
          <w:szCs w:val="17"/>
          <w:color w:val="auto"/>
        </w:rPr>
        <w:t>We are also developing additional PROTACs capable of degrading AR and certain additional clinically relevant AR point mutations, which we refer to as our Next Generation Degrader program. In addition, we are developing a PROTAC that specifically targets the AR splice variant-7, or AR-V7, a truncated form of AR that lacks the ligand-binding domain necessary to bind with ARV-110. AR-V7 has been shown to correlate with a lack of response to current standard-of-care treatments for men with mCRPC.</w:t>
      </w:r>
    </w:p>
    <w:p>
      <w:pPr>
        <w:spacing w:after="0" w:line="192" w:lineRule="exact"/>
        <w:rPr>
          <w:sz w:val="20"/>
          <w:szCs w:val="20"/>
          <w:color w:val="auto"/>
        </w:rPr>
      </w:pPr>
    </w:p>
    <w:p>
      <w:pPr>
        <w:ind w:left="540" w:right="60" w:firstLine="517"/>
        <w:spacing w:after="0" w:line="245" w:lineRule="auto"/>
        <w:rPr>
          <w:sz w:val="20"/>
          <w:szCs w:val="20"/>
          <w:color w:val="auto"/>
        </w:rPr>
      </w:pPr>
      <w:r>
        <w:rPr>
          <w:rFonts w:ascii="Arial" w:cs="Arial" w:eastAsia="Arial" w:hAnsi="Arial"/>
          <w:sz w:val="17"/>
          <w:szCs w:val="17"/>
          <w:color w:val="auto"/>
        </w:rPr>
        <w:t>In addition to our lead product candidates, we are expanding our pipeline by utilizing our platform to potentially address currently undruggable targets. Unlike existing small molecule inhibitor therapies, our PROTACs can degrade proteins using any available binding site, including low-affinity active binding sites or non-functional binding sites, bringing biological utility to ligands that would otherwise be ineffective. While some gene-based medicines are also seeking to address undruggable targets, our PROTACs confer the advantages of traditional small molecule therapies, such as broad tissue distribution, multiple routes of administration, including oral delivery, a well-established development pathway and relative ease of manufacturing.</w:t>
      </w:r>
    </w:p>
    <w:p>
      <w:pPr>
        <w:spacing w:after="0" w:line="192" w:lineRule="exact"/>
        <w:rPr>
          <w:sz w:val="20"/>
          <w:szCs w:val="20"/>
          <w:color w:val="auto"/>
        </w:rPr>
      </w:pPr>
    </w:p>
    <w:p>
      <w:pPr>
        <w:ind w:left="540" w:right="100" w:firstLine="517"/>
        <w:spacing w:after="0" w:line="245" w:lineRule="auto"/>
        <w:rPr>
          <w:sz w:val="20"/>
          <w:szCs w:val="20"/>
          <w:color w:val="auto"/>
        </w:rPr>
      </w:pPr>
      <w:r>
        <w:rPr>
          <w:rFonts w:ascii="Arial" w:cs="Arial" w:eastAsia="Arial" w:hAnsi="Arial"/>
          <w:sz w:val="17"/>
          <w:szCs w:val="17"/>
          <w:color w:val="auto"/>
        </w:rPr>
        <w:t>We are further diversifying our pipeline by developing new PROTACs against targets for which we believe protein degradation offers advantages to existing therapeutic modalities. For example, we are pursuing targets for the treatment of neurodegenerative diseases, including tauopathies, which are diseases associated with an aggregation of tau proteins in the brain, such as Alzheimer’s Disease. We have engineered PROTACs that in preclinical studies have successfully achieved blood brain barrier penetration, a key step in developing drugs with the potential to treat neurodegenerative targets.</w:t>
      </w:r>
    </w:p>
    <w:p>
      <w:pPr>
        <w:spacing w:after="0" w:line="195" w:lineRule="exact"/>
        <w:rPr>
          <w:sz w:val="20"/>
          <w:szCs w:val="20"/>
          <w:color w:val="auto"/>
        </w:rPr>
      </w:pPr>
    </w:p>
    <w:p>
      <w:pPr>
        <w:ind w:left="540" w:right="20" w:firstLine="517"/>
        <w:spacing w:after="0" w:line="245" w:lineRule="auto"/>
        <w:rPr>
          <w:sz w:val="20"/>
          <w:szCs w:val="20"/>
          <w:color w:val="auto"/>
        </w:rPr>
      </w:pPr>
      <w:r>
        <w:rPr>
          <w:rFonts w:ascii="Arial" w:cs="Arial" w:eastAsia="Arial" w:hAnsi="Arial"/>
          <w:sz w:val="17"/>
          <w:szCs w:val="17"/>
          <w:color w:val="auto"/>
        </w:rPr>
        <w:t>We believe there are many other indications for which our PROTAC technology may be advantageous. In an effort to realize the full potential of our PROTAC platform, our ongoing strategic collaborations with Pfizer Inc., or Pfizer, and Genentech, Inc. and F. Hoffman-La Roche Ltd, collectively referred to as Genentech, address targets across multiple therapeutic areas. As of June 30, 2018, we have received $73.5 million from these collaborations and have the potential to receive up to an aggregate of $1.4 billion in additional milestone payments for currently designated targets plus royalties on net sales.</w:t>
      </w:r>
    </w:p>
    <w:p>
      <w:pPr>
        <w:spacing w:after="0" w:line="278" w:lineRule="exact"/>
        <w:rPr>
          <w:sz w:val="20"/>
          <w:szCs w:val="20"/>
          <w:color w:val="auto"/>
        </w:rPr>
      </w:pPr>
    </w:p>
    <w:p>
      <w:pPr>
        <w:jc w:val="center"/>
        <w:ind w:right="-579"/>
        <w:spacing w:after="0"/>
        <w:rPr>
          <w:sz w:val="20"/>
          <w:szCs w:val="20"/>
          <w:color w:val="auto"/>
        </w:rPr>
      </w:pPr>
      <w:r>
        <w:rPr>
          <w:rFonts w:ascii="Arial" w:cs="Arial" w:eastAsia="Arial" w:hAnsi="Arial"/>
          <w:sz w:val="17"/>
          <w:szCs w:val="17"/>
          <w:b w:val="1"/>
          <w:bCs w:val="1"/>
          <w:color w:val="auto"/>
        </w:rPr>
        <w:t>Our Team</w:t>
      </w:r>
    </w:p>
    <w:p>
      <w:pPr>
        <w:spacing w:after="0" w:line="233" w:lineRule="exact"/>
        <w:rPr>
          <w:sz w:val="20"/>
          <w:szCs w:val="20"/>
          <w:color w:val="auto"/>
        </w:rPr>
      </w:pPr>
    </w:p>
    <w:p>
      <w:pPr>
        <w:ind w:left="540" w:firstLine="517"/>
        <w:spacing w:after="0" w:line="244" w:lineRule="auto"/>
        <w:rPr>
          <w:sz w:val="20"/>
          <w:szCs w:val="20"/>
          <w:color w:val="auto"/>
        </w:rPr>
      </w:pPr>
      <w:r>
        <w:rPr>
          <w:rFonts w:ascii="Arial" w:cs="Arial" w:eastAsia="Arial" w:hAnsi="Arial"/>
          <w:sz w:val="17"/>
          <w:szCs w:val="17"/>
          <w:color w:val="auto"/>
        </w:rPr>
        <w:t>We have been a leader in the field of directed protein degradation using chimeric small molecules since our founding in 2013. Our PROTAC technology platform has its origins in work performed at Yale University, or Yale, by our scientific founder and Chief Scientific Advisor, Professor Craig Crews, a leading researcher in the field of protein degradation. We have assembled a scientific team with extensive know-how and translational medicine expertise to develop PROTACs with features not previously disclosed in published third-party studies. Our management team draws on extensive experience in all phases of drug discovery and development gained at large pharmaceutical and biotechnology companies to continue to advance our product pipeline and expand the capabilities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860"/>
          </w:cols>
          <w:pgMar w:left="240" w:top="449" w:right="79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201295</wp:posOffset>
            </wp:positionV>
            <wp:extent cx="6797040" cy="61893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97040" cy="618934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540"/>
        <w:spacing w:after="0" w:line="247" w:lineRule="auto"/>
        <w:rPr>
          <w:sz w:val="20"/>
          <w:szCs w:val="20"/>
          <w:color w:val="auto"/>
        </w:rPr>
      </w:pPr>
      <w:r>
        <w:rPr>
          <w:rFonts w:ascii="Arial" w:cs="Arial" w:eastAsia="Arial" w:hAnsi="Arial"/>
          <w:sz w:val="17"/>
          <w:szCs w:val="17"/>
          <w:color w:val="auto"/>
        </w:rPr>
        <w:t>our platform. Additionally, Professor Crews continues to provide important scientific guidance and insights to us through ongoing research, consulting and advisory arrangements. We are supported by investors that include private equity, venture capital and public healthcare investment funds. Our investors include Canaan Partners, 5AM Ventures, RA Capital, Orbimed, New Leaf Venture Partners, Nextech Invest Ltd., Deerfield Investments and Hillhouse Capital Group.</w:t>
      </w:r>
    </w:p>
    <w:p>
      <w:pPr>
        <w:spacing w:after="0" w:line="274" w:lineRule="exact"/>
        <w:rPr>
          <w:sz w:val="20"/>
          <w:szCs w:val="20"/>
          <w:color w:val="auto"/>
        </w:rPr>
      </w:pPr>
    </w:p>
    <w:p>
      <w:pPr>
        <w:jc w:val="center"/>
        <w:ind w:right="-599"/>
        <w:spacing w:after="0"/>
        <w:rPr>
          <w:sz w:val="20"/>
          <w:szCs w:val="20"/>
          <w:color w:val="auto"/>
        </w:rPr>
      </w:pPr>
      <w:r>
        <w:rPr>
          <w:rFonts w:ascii="Arial" w:cs="Arial" w:eastAsia="Arial" w:hAnsi="Arial"/>
          <w:sz w:val="17"/>
          <w:szCs w:val="17"/>
          <w:b w:val="1"/>
          <w:bCs w:val="1"/>
          <w:color w:val="auto"/>
        </w:rPr>
        <w:t>Our Strategy</w:t>
      </w:r>
    </w:p>
    <w:p>
      <w:pPr>
        <w:spacing w:after="0" w:line="233" w:lineRule="exact"/>
        <w:rPr>
          <w:sz w:val="20"/>
          <w:szCs w:val="20"/>
          <w:color w:val="auto"/>
        </w:rPr>
      </w:pPr>
    </w:p>
    <w:p>
      <w:pPr>
        <w:ind w:left="540" w:right="60" w:firstLine="517"/>
        <w:spacing w:after="0" w:line="246" w:lineRule="auto"/>
        <w:rPr>
          <w:sz w:val="20"/>
          <w:szCs w:val="20"/>
          <w:color w:val="auto"/>
        </w:rPr>
      </w:pPr>
      <w:r>
        <w:rPr>
          <w:rFonts w:ascii="Arial" w:cs="Arial" w:eastAsia="Arial" w:hAnsi="Arial"/>
          <w:sz w:val="17"/>
          <w:szCs w:val="17"/>
          <w:color w:val="auto"/>
        </w:rPr>
        <w:t>Our goal is to improve the lives of patients suffering from debilitating and life-threatening diseases through the discovery, development and commercialization of therapies to degrade disease-causing proteins. We believe that our targeted protein degradation approach using our proprietary PROTAC technology is a new therapeutic modality with the potential to provide distinct advantages over existing modalities and to address a broad range of targets, including undruggable targets. The key elements of our strategy are to:</w:t>
      </w:r>
    </w:p>
    <w:p>
      <w:pPr>
        <w:spacing w:after="0" w:line="300" w:lineRule="exact"/>
        <w:rPr>
          <w:sz w:val="20"/>
          <w:szCs w:val="20"/>
          <w:color w:val="auto"/>
        </w:rPr>
      </w:pPr>
    </w:p>
    <w:p>
      <w:pPr>
        <w:ind w:left="1240" w:right="360" w:hanging="186"/>
        <w:spacing w:after="0" w:line="259" w:lineRule="auto"/>
        <w:tabs>
          <w:tab w:leader="none" w:pos="1240" w:val="left"/>
        </w:tabs>
        <w:numPr>
          <w:ilvl w:val="0"/>
          <w:numId w:val="2"/>
        </w:numPr>
        <w:rPr>
          <w:rFonts w:ascii="Arial" w:cs="Arial" w:eastAsia="Arial" w:hAnsi="Arial"/>
          <w:sz w:val="17"/>
          <w:szCs w:val="17"/>
          <w:color w:val="auto"/>
        </w:rPr>
      </w:pPr>
      <w:r>
        <w:rPr>
          <w:rFonts w:ascii="Arial" w:cs="Arial" w:eastAsia="Arial" w:hAnsi="Arial"/>
          <w:sz w:val="17"/>
          <w:szCs w:val="17"/>
          <w:color w:val="auto"/>
        </w:rPr>
        <w:t>Advance clinical development of our lead programs, which address the well-understood oncology targets AR and ER, to validate our PROTAC platform.</w:t>
      </w:r>
    </w:p>
    <w:p>
      <w:pPr>
        <w:spacing w:after="0" w:line="89" w:lineRule="exact"/>
        <w:rPr>
          <w:rFonts w:ascii="Arial" w:cs="Arial" w:eastAsia="Arial" w:hAnsi="Arial"/>
          <w:sz w:val="17"/>
          <w:szCs w:val="17"/>
          <w:color w:val="auto"/>
        </w:rPr>
      </w:pPr>
    </w:p>
    <w:p>
      <w:pPr>
        <w:ind w:left="1240" w:hanging="186"/>
        <w:spacing w:after="0"/>
        <w:tabs>
          <w:tab w:leader="none" w:pos="1240" w:val="left"/>
        </w:tabs>
        <w:numPr>
          <w:ilvl w:val="0"/>
          <w:numId w:val="2"/>
        </w:numPr>
        <w:rPr>
          <w:rFonts w:ascii="Arial" w:cs="Arial" w:eastAsia="Arial" w:hAnsi="Arial"/>
          <w:sz w:val="17"/>
          <w:szCs w:val="17"/>
          <w:color w:val="auto"/>
        </w:rPr>
      </w:pPr>
      <w:r>
        <w:rPr>
          <w:rFonts w:ascii="Arial" w:cs="Arial" w:eastAsia="Arial" w:hAnsi="Arial"/>
          <w:sz w:val="17"/>
          <w:szCs w:val="17"/>
          <w:color w:val="auto"/>
        </w:rPr>
        <w:t>Utilize our PROTAC platform to address undruggable targets.</w:t>
      </w:r>
    </w:p>
    <w:p>
      <w:pPr>
        <w:spacing w:after="0" w:line="119" w:lineRule="exact"/>
        <w:rPr>
          <w:rFonts w:ascii="Arial" w:cs="Arial" w:eastAsia="Arial" w:hAnsi="Arial"/>
          <w:sz w:val="17"/>
          <w:szCs w:val="17"/>
          <w:color w:val="auto"/>
        </w:rPr>
      </w:pPr>
    </w:p>
    <w:p>
      <w:pPr>
        <w:ind w:left="1240" w:right="140" w:hanging="186"/>
        <w:spacing w:after="0" w:line="259" w:lineRule="auto"/>
        <w:tabs>
          <w:tab w:leader="none" w:pos="1240" w:val="left"/>
        </w:tabs>
        <w:numPr>
          <w:ilvl w:val="0"/>
          <w:numId w:val="2"/>
        </w:numPr>
        <w:rPr>
          <w:rFonts w:ascii="Arial" w:cs="Arial" w:eastAsia="Arial" w:hAnsi="Arial"/>
          <w:sz w:val="17"/>
          <w:szCs w:val="17"/>
          <w:color w:val="auto"/>
        </w:rPr>
      </w:pPr>
      <w:r>
        <w:rPr>
          <w:rFonts w:ascii="Arial" w:cs="Arial" w:eastAsia="Arial" w:hAnsi="Arial"/>
          <w:sz w:val="17"/>
          <w:szCs w:val="17"/>
          <w:color w:val="auto"/>
        </w:rPr>
        <w:t>Apply our PROTAC platform to develop new therapeutics with distinct advantages over existing modalities, including gene-based medicines.</w:t>
      </w:r>
    </w:p>
    <w:p>
      <w:pPr>
        <w:spacing w:after="0" w:line="89" w:lineRule="exact"/>
        <w:rPr>
          <w:rFonts w:ascii="Arial" w:cs="Arial" w:eastAsia="Arial" w:hAnsi="Arial"/>
          <w:sz w:val="17"/>
          <w:szCs w:val="17"/>
          <w:color w:val="auto"/>
        </w:rPr>
      </w:pPr>
    </w:p>
    <w:p>
      <w:pPr>
        <w:ind w:left="1240" w:hanging="186"/>
        <w:spacing w:after="0"/>
        <w:tabs>
          <w:tab w:leader="none" w:pos="124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Continue to expand the capabilities of our PROTAC platform and the breadth of our intellectual property portfolio.</w:t>
      </w:r>
    </w:p>
    <w:p>
      <w:pPr>
        <w:spacing w:after="0" w:line="119" w:lineRule="exact"/>
        <w:rPr>
          <w:rFonts w:ascii="Arial" w:cs="Arial" w:eastAsia="Arial" w:hAnsi="Arial"/>
          <w:sz w:val="17"/>
          <w:szCs w:val="17"/>
          <w:color w:val="auto"/>
        </w:rPr>
      </w:pPr>
    </w:p>
    <w:p>
      <w:pPr>
        <w:ind w:left="1240" w:hanging="186"/>
        <w:spacing w:after="0"/>
        <w:tabs>
          <w:tab w:leader="none" w:pos="1240" w:val="left"/>
        </w:tabs>
        <w:numPr>
          <w:ilvl w:val="0"/>
          <w:numId w:val="2"/>
        </w:numPr>
        <w:rPr>
          <w:rFonts w:ascii="Arial" w:cs="Arial" w:eastAsia="Arial" w:hAnsi="Arial"/>
          <w:sz w:val="17"/>
          <w:szCs w:val="17"/>
          <w:color w:val="auto"/>
        </w:rPr>
      </w:pPr>
      <w:r>
        <w:rPr>
          <w:rFonts w:ascii="Arial" w:cs="Arial" w:eastAsia="Arial" w:hAnsi="Arial"/>
          <w:sz w:val="17"/>
          <w:szCs w:val="17"/>
          <w:color w:val="auto"/>
        </w:rPr>
        <w:t>Selectively collaborate to realize the full potential of our platform.</w:t>
      </w:r>
    </w:p>
    <w:p>
      <w:pPr>
        <w:spacing w:after="0" w:line="294" w:lineRule="exact"/>
        <w:rPr>
          <w:sz w:val="20"/>
          <w:szCs w:val="20"/>
          <w:color w:val="auto"/>
        </w:rPr>
      </w:pPr>
    </w:p>
    <w:p>
      <w:pPr>
        <w:ind w:left="4200"/>
        <w:spacing w:after="0"/>
        <w:rPr>
          <w:sz w:val="20"/>
          <w:szCs w:val="20"/>
          <w:color w:val="auto"/>
        </w:rPr>
      </w:pPr>
      <w:r>
        <w:rPr>
          <w:rFonts w:ascii="Arial" w:cs="Arial" w:eastAsia="Arial" w:hAnsi="Arial"/>
          <w:sz w:val="17"/>
          <w:szCs w:val="17"/>
          <w:b w:val="1"/>
          <w:bCs w:val="1"/>
          <w:color w:val="auto"/>
        </w:rPr>
        <w:t>Risks Associated with Our Business</w:t>
      </w:r>
    </w:p>
    <w:p>
      <w:pPr>
        <w:spacing w:after="0" w:line="233" w:lineRule="exact"/>
        <w:rPr>
          <w:sz w:val="20"/>
          <w:szCs w:val="20"/>
          <w:color w:val="auto"/>
        </w:rPr>
      </w:pPr>
    </w:p>
    <w:p>
      <w:pPr>
        <w:jc w:val="both"/>
        <w:ind w:left="540" w:right="60" w:firstLine="517"/>
        <w:spacing w:after="0" w:line="250" w:lineRule="auto"/>
        <w:rPr>
          <w:sz w:val="20"/>
          <w:szCs w:val="20"/>
          <w:color w:val="auto"/>
        </w:rPr>
      </w:pPr>
      <w:r>
        <w:rPr>
          <w:rFonts w:ascii="Arial" w:cs="Arial" w:eastAsia="Arial" w:hAnsi="Arial"/>
          <w:sz w:val="17"/>
          <w:szCs w:val="17"/>
          <w:color w:val="auto"/>
        </w:rPr>
        <w:t>Our business is subject to a number of risks of which you should be aware before making an investment decision. These risks are discussed more fully in the “Risk Factors” section of this prospectus immediately following this prospectus summary. These risks include the following:</w:t>
      </w:r>
    </w:p>
    <w:p>
      <w:pPr>
        <w:spacing w:after="0" w:line="97" w:lineRule="exact"/>
        <w:rPr>
          <w:sz w:val="20"/>
          <w:szCs w:val="20"/>
          <w:color w:val="auto"/>
        </w:rPr>
      </w:pPr>
    </w:p>
    <w:p>
      <w:pPr>
        <w:ind w:left="1240" w:right="160" w:hanging="186"/>
        <w:spacing w:after="0" w:line="247" w:lineRule="auto"/>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incurred significant losses since our inception. To date, we have not generated any revenue from product sales. We expect to continue to incur significant expenses and increasing operating losses for at least the next several years and may never achieve or maintain profitability. Our net loss was $12.0 million for the six months ended June 30, 2018, $24.0 million for the year ended December 31, 2017 and $14.4 million for the year ended December 31, 2016.</w:t>
      </w:r>
    </w:p>
    <w:p>
      <w:pPr>
        <w:spacing w:after="0" w:line="99" w:lineRule="exact"/>
        <w:rPr>
          <w:rFonts w:ascii="Arial" w:cs="Arial" w:eastAsia="Arial" w:hAnsi="Arial"/>
          <w:sz w:val="17"/>
          <w:szCs w:val="17"/>
          <w:color w:val="auto"/>
        </w:rPr>
      </w:pPr>
    </w:p>
    <w:p>
      <w:pPr>
        <w:ind w:left="1240" w:right="60" w:hanging="186"/>
        <w:spacing w:after="0" w:line="247" w:lineRule="auto"/>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will need substantial additional funding. If we are unable to raise capital when needed or on attractive terms, we may be required to delay, limit, reduce or terminate our research, product development programs or any future commercialization efforts or grant rights to develop and market product candidates that we would otherwise prefer to develop and market ourselves.</w:t>
      </w:r>
    </w:p>
    <w:p>
      <w:pPr>
        <w:spacing w:after="0" w:line="99" w:lineRule="exact"/>
        <w:rPr>
          <w:rFonts w:ascii="Arial" w:cs="Arial" w:eastAsia="Arial" w:hAnsi="Arial"/>
          <w:sz w:val="17"/>
          <w:szCs w:val="17"/>
          <w:color w:val="auto"/>
        </w:rPr>
      </w:pPr>
    </w:p>
    <w:p>
      <w:pPr>
        <w:ind w:left="1240" w:right="420" w:hanging="186"/>
        <w:spacing w:after="0" w:line="250" w:lineRule="auto"/>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approach to the discovery and development of product candidates based on our PROTAC technology platform is unproven, which makes it difficult to predict the time, cost of development and likelihood of successfully developing any products.</w:t>
      </w:r>
    </w:p>
    <w:p>
      <w:pPr>
        <w:spacing w:after="0" w:line="97" w:lineRule="exact"/>
        <w:rPr>
          <w:rFonts w:ascii="Arial" w:cs="Arial" w:eastAsia="Arial" w:hAnsi="Arial"/>
          <w:sz w:val="17"/>
          <w:szCs w:val="17"/>
          <w:color w:val="auto"/>
        </w:rPr>
      </w:pPr>
    </w:p>
    <w:p>
      <w:pPr>
        <w:ind w:left="1240" w:right="260" w:hanging="186"/>
        <w:spacing w:after="0" w:line="259" w:lineRule="auto"/>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a limited operating history and are very early in our development efforts. All of our product candidates are still in preclinical development.</w:t>
      </w:r>
    </w:p>
    <w:p>
      <w:pPr>
        <w:spacing w:after="0" w:line="89" w:lineRule="exact"/>
        <w:rPr>
          <w:rFonts w:ascii="Arial" w:cs="Arial" w:eastAsia="Arial" w:hAnsi="Arial"/>
          <w:sz w:val="17"/>
          <w:szCs w:val="17"/>
          <w:color w:val="auto"/>
        </w:rPr>
      </w:pPr>
    </w:p>
    <w:p>
      <w:pPr>
        <w:ind w:left="1240" w:right="780" w:hanging="186"/>
        <w:spacing w:after="0" w:line="259" w:lineRule="auto"/>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cannot be certain of the timely completion or outcome of our preclinical testing and clinical trials. The results of preclinical studies may not be predictive of the results of clinical trials, and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840"/>
          </w:cols>
          <w:pgMar w:left="240" w:top="449" w:right="81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201295</wp:posOffset>
            </wp:positionV>
            <wp:extent cx="6797040" cy="59982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97040" cy="599821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1260" w:right="180"/>
        <w:spacing w:after="0" w:line="247" w:lineRule="auto"/>
        <w:rPr>
          <w:sz w:val="20"/>
          <w:szCs w:val="20"/>
          <w:color w:val="auto"/>
        </w:rPr>
      </w:pPr>
      <w:r>
        <w:rPr>
          <w:rFonts w:ascii="Arial" w:cs="Arial" w:eastAsia="Arial" w:hAnsi="Arial"/>
          <w:sz w:val="17"/>
          <w:szCs w:val="17"/>
          <w:color w:val="auto"/>
        </w:rPr>
        <w:t>the results of any early-stage clinical trials we commence may not be predictive of the results of later-stage clinical trials. If we are unable to obtain required marketing approvals for, commercialize, manufacture, obtain and maintain patent protection for or gain market acceptance of our product candidates, or experience significant delays in doing so, our business will be materially harmed and our ability to generate revenue from product sales will be materially impaired.</w:t>
      </w:r>
    </w:p>
    <w:p>
      <w:pPr>
        <w:spacing w:after="0" w:line="100" w:lineRule="exact"/>
        <w:rPr>
          <w:sz w:val="20"/>
          <w:szCs w:val="20"/>
          <w:color w:val="auto"/>
        </w:rPr>
      </w:pPr>
    </w:p>
    <w:p>
      <w:pPr>
        <w:ind w:left="1240" w:right="200" w:hanging="186"/>
        <w:spacing w:after="0" w:line="259" w:lineRule="auto"/>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face substantial competition, which may result in others discovering, developing or commercializing products before or more successfully than we do.</w:t>
      </w:r>
    </w:p>
    <w:p>
      <w:pPr>
        <w:spacing w:after="0" w:line="89" w:lineRule="exact"/>
        <w:rPr>
          <w:rFonts w:ascii="Arial" w:cs="Arial" w:eastAsia="Arial" w:hAnsi="Arial"/>
          <w:sz w:val="17"/>
          <w:szCs w:val="17"/>
          <w:color w:val="auto"/>
        </w:rPr>
      </w:pPr>
    </w:p>
    <w:p>
      <w:pPr>
        <w:ind w:left="1240" w:right="500" w:hanging="186"/>
        <w:spacing w:after="0" w:line="250" w:lineRule="auto"/>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rely and expect to continue to rely on agreements with Yale University to supplement our internal research and development program. If Yale, or Professor Crews’ laboratory, decides to discontinue or devote less resources to such research, our research efforts could be diminished.</w:t>
      </w:r>
    </w:p>
    <w:p>
      <w:pPr>
        <w:spacing w:after="0" w:line="97" w:lineRule="exact"/>
        <w:rPr>
          <w:rFonts w:ascii="Arial" w:cs="Arial" w:eastAsia="Arial" w:hAnsi="Arial"/>
          <w:sz w:val="17"/>
          <w:szCs w:val="17"/>
          <w:color w:val="auto"/>
        </w:rPr>
      </w:pPr>
    </w:p>
    <w:p>
      <w:pPr>
        <w:ind w:left="1240" w:right="20" w:hanging="186"/>
        <w:spacing w:after="0" w:line="247" w:lineRule="auto"/>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rely, and expect to continue to rely, on third parties for the manufacture of our product candidates for preclinical and clinical testing, as well as for commercial manufacture if any of our product candidates receive marketing approval. This reliance on third parties may increase the risk that we will not have sufficient quantities of our product candidates or products or such quantities at an acceptable cost or quality.</w:t>
      </w:r>
    </w:p>
    <w:p>
      <w:pPr>
        <w:spacing w:after="0" w:line="99" w:lineRule="exact"/>
        <w:rPr>
          <w:rFonts w:ascii="Arial" w:cs="Arial" w:eastAsia="Arial" w:hAnsi="Arial"/>
          <w:sz w:val="17"/>
          <w:szCs w:val="17"/>
          <w:color w:val="auto"/>
        </w:rPr>
      </w:pPr>
    </w:p>
    <w:p>
      <w:pPr>
        <w:ind w:left="1240" w:right="420" w:hanging="186"/>
        <w:spacing w:after="0" w:line="250" w:lineRule="auto"/>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we are unable to obtain and maintain patent protection for our technology and products or if the scope of the patent protection obtained is not sufficiently broad, our competitors could develop and commercialize technology and products similar or identical to ours, and our ability to successfully commercialize our technology and products may be impaired.</w:t>
      </w:r>
    </w:p>
    <w:p>
      <w:pPr>
        <w:spacing w:after="0" w:line="272" w:lineRule="exact"/>
        <w:rPr>
          <w:sz w:val="20"/>
          <w:szCs w:val="20"/>
          <w:color w:val="auto"/>
        </w:rPr>
      </w:pPr>
    </w:p>
    <w:p>
      <w:pPr>
        <w:jc w:val="center"/>
        <w:ind w:right="-559"/>
        <w:spacing w:after="0"/>
        <w:rPr>
          <w:sz w:val="20"/>
          <w:szCs w:val="20"/>
          <w:color w:val="auto"/>
        </w:rPr>
      </w:pPr>
      <w:r>
        <w:rPr>
          <w:rFonts w:ascii="Arial" w:cs="Arial" w:eastAsia="Arial" w:hAnsi="Arial"/>
          <w:sz w:val="17"/>
          <w:szCs w:val="17"/>
          <w:b w:val="1"/>
          <w:bCs w:val="1"/>
          <w:color w:val="auto"/>
        </w:rPr>
        <w:t>Corporate Conversion</w:t>
      </w:r>
    </w:p>
    <w:p>
      <w:pPr>
        <w:spacing w:after="0" w:line="233" w:lineRule="exact"/>
        <w:rPr>
          <w:sz w:val="20"/>
          <w:szCs w:val="20"/>
          <w:color w:val="auto"/>
        </w:rPr>
      </w:pPr>
    </w:p>
    <w:p>
      <w:pPr>
        <w:ind w:left="540" w:right="40" w:firstLine="517"/>
        <w:spacing w:after="0" w:line="245" w:lineRule="auto"/>
        <w:rPr>
          <w:sz w:val="20"/>
          <w:szCs w:val="20"/>
          <w:color w:val="auto"/>
        </w:rPr>
      </w:pPr>
      <w:r>
        <w:rPr>
          <w:rFonts w:ascii="Arial" w:cs="Arial" w:eastAsia="Arial" w:hAnsi="Arial"/>
          <w:sz w:val="17"/>
          <w:szCs w:val="17"/>
          <w:color w:val="auto"/>
        </w:rPr>
        <w:t>We were formed under the laws of the State of Delaware in February 2013 as a limited liability company under the name Arvinas, LLC. In July 2013, Arvinas, LLC converted into a Delaware corporation and changed its name to Arvinas, Inc. In December 2014, we completed a series of transactions pursuant to which Arvinas, Inc. became a direct, wholly owned subsidiary of Arvinas Holding Company, LLC, or Arvinas LLC, a Delaware limited liability company, and all outstanding equity securities of Arvinas, Inc. were exchanged for equity securities of Arvinas LLC.</w:t>
      </w:r>
    </w:p>
    <w:p>
      <w:pPr>
        <w:spacing w:after="0" w:line="195" w:lineRule="exact"/>
        <w:rPr>
          <w:sz w:val="20"/>
          <w:szCs w:val="20"/>
          <w:color w:val="auto"/>
        </w:rPr>
      </w:pPr>
    </w:p>
    <w:p>
      <w:pPr>
        <w:ind w:left="540" w:right="280" w:firstLine="517"/>
        <w:spacing w:after="0" w:line="259" w:lineRule="auto"/>
        <w:rPr>
          <w:sz w:val="20"/>
          <w:szCs w:val="20"/>
          <w:color w:val="auto"/>
        </w:rPr>
      </w:pPr>
      <w:r>
        <w:rPr>
          <w:rFonts w:ascii="Arial" w:cs="Arial" w:eastAsia="Arial" w:hAnsi="Arial"/>
          <w:sz w:val="17"/>
          <w:szCs w:val="17"/>
          <w:color w:val="auto"/>
        </w:rPr>
        <w:t>Immediately prior to the effectiveness of the registration statement of which this prospectus forms a part, we engaged in the following transactions, which we refer to collectively as the Conversion:</w:t>
      </w:r>
    </w:p>
    <w:p>
      <w:pPr>
        <w:spacing w:after="0" w:line="89" w:lineRule="exact"/>
        <w:rPr>
          <w:sz w:val="20"/>
          <w:szCs w:val="20"/>
          <w:color w:val="auto"/>
        </w:rPr>
      </w:pPr>
    </w:p>
    <w:p>
      <w:pPr>
        <w:ind w:left="1240" w:hanging="186"/>
        <w:spacing w:after="0" w:line="259" w:lineRule="auto"/>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converted from a Delaware limited liability company to a Delaware corporation by filing a certificate of conversion with the Secretary of State of the State of Delaware;</w:t>
      </w:r>
    </w:p>
    <w:p>
      <w:pPr>
        <w:spacing w:after="0" w:line="89" w:lineRule="exact"/>
        <w:rPr>
          <w:rFonts w:ascii="Arial" w:cs="Arial" w:eastAsia="Arial" w:hAnsi="Arial"/>
          <w:sz w:val="17"/>
          <w:szCs w:val="17"/>
          <w:color w:val="auto"/>
        </w:rPr>
      </w:pPr>
    </w:p>
    <w:p>
      <w:pPr>
        <w:ind w:left="1240" w:hanging="186"/>
        <w:spacing w:after="0"/>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subsidiary, Arvinas, Inc., changed its name to Arvinas Operations, Inc.; and</w:t>
      </w:r>
    </w:p>
    <w:p>
      <w:pPr>
        <w:spacing w:after="0" w:line="119" w:lineRule="exact"/>
        <w:rPr>
          <w:rFonts w:ascii="Arial" w:cs="Arial" w:eastAsia="Arial" w:hAnsi="Arial"/>
          <w:sz w:val="17"/>
          <w:szCs w:val="17"/>
          <w:color w:val="auto"/>
        </w:rPr>
      </w:pPr>
    </w:p>
    <w:p>
      <w:pPr>
        <w:ind w:left="1240" w:hanging="186"/>
        <w:spacing w:after="0"/>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changed our name to Arvinas, Inc.</w:t>
      </w:r>
    </w:p>
    <w:p>
      <w:pPr>
        <w:spacing w:after="0" w:line="211"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As part of the Conversion:</w:t>
      </w:r>
    </w:p>
    <w:p>
      <w:pPr>
        <w:spacing w:after="0" w:line="119" w:lineRule="exact"/>
        <w:rPr>
          <w:sz w:val="20"/>
          <w:szCs w:val="20"/>
          <w:color w:val="auto"/>
        </w:rPr>
      </w:pPr>
    </w:p>
    <w:p>
      <w:pPr>
        <w:ind w:left="1240" w:right="300" w:hanging="186"/>
        <w:spacing w:after="0" w:line="259" w:lineRule="auto"/>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holders of series A preferred units of Arvinas LLC received one share of series A preferred stock of Arvinas, Inc. for each series A preferred unit held immediately prior to the Conversion;</w:t>
      </w:r>
    </w:p>
    <w:p>
      <w:pPr>
        <w:spacing w:after="0" w:line="89" w:lineRule="exact"/>
        <w:rPr>
          <w:rFonts w:ascii="Arial" w:cs="Arial" w:eastAsia="Arial" w:hAnsi="Arial"/>
          <w:sz w:val="17"/>
          <w:szCs w:val="17"/>
          <w:color w:val="auto"/>
        </w:rPr>
      </w:pPr>
    </w:p>
    <w:p>
      <w:pPr>
        <w:ind w:left="1240" w:right="300" w:hanging="186"/>
        <w:spacing w:after="0" w:line="259" w:lineRule="auto"/>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holders of series B preferred units of Arvinas LLC received one share of series B preferred stock of Arvinas, Inc. for each series B preferred unit held immediately prior to the Conversion;</w:t>
      </w:r>
    </w:p>
    <w:p>
      <w:pPr>
        <w:spacing w:after="0" w:line="89" w:lineRule="exact"/>
        <w:rPr>
          <w:rFonts w:ascii="Arial" w:cs="Arial" w:eastAsia="Arial" w:hAnsi="Arial"/>
          <w:sz w:val="17"/>
          <w:szCs w:val="17"/>
          <w:color w:val="auto"/>
        </w:rPr>
      </w:pPr>
    </w:p>
    <w:p>
      <w:pPr>
        <w:ind w:left="1240" w:right="280" w:hanging="186"/>
        <w:spacing w:after="0" w:line="259" w:lineRule="auto"/>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holders of series C preferred units of Arvinas LLC received one share of series C preferred stock of Arvinas, Inc. for each series C preferred unit held immediately prior to the Conversion;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5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860"/>
          </w:cols>
          <w:pgMar w:left="240" w:top="449" w:right="79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201295</wp:posOffset>
            </wp:positionV>
            <wp:extent cx="6797040" cy="57981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97040" cy="579818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1240" w:right="300" w:hanging="186"/>
        <w:spacing w:after="0" w:line="259" w:lineRule="auto"/>
        <w:tabs>
          <w:tab w:leader="none" w:pos="1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holders of common units of Arvinas LLC received one share of common stock of Arvinas, Inc. for each common unit held immediately prior to the Conversion; and</w:t>
      </w:r>
    </w:p>
    <w:p>
      <w:pPr>
        <w:spacing w:after="0" w:line="89" w:lineRule="exact"/>
        <w:rPr>
          <w:rFonts w:ascii="Arial" w:cs="Arial" w:eastAsia="Arial" w:hAnsi="Arial"/>
          <w:sz w:val="17"/>
          <w:szCs w:val="17"/>
          <w:color w:val="auto"/>
        </w:rPr>
      </w:pPr>
    </w:p>
    <w:p>
      <w:pPr>
        <w:ind w:left="1240" w:hanging="186"/>
        <w:spacing w:after="0" w:line="244" w:lineRule="auto"/>
        <w:tabs>
          <w:tab w:leader="none" w:pos="1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each outstanding incentive unit in Arvinas LLC converted into a number of shares of common stock of Arvinas, Inc. based upon a conversion price determined by our board of directors immediately prior to the Conversion. Certain of the shares of common stock issued in respect of incentive units continue to be subject to vesting in accordance with the vesting schedule that was applicable to such incentive units. Additionally, we granted holders of incentive units who were our employees, directors or consultants at the time of the Conversion a number of options to purchase shares of our common stock at a ratio based upon the conversion price determined by our board of directors. Based on the determined fair value of $16.00 per common unit, the incentive units converted into an aggregate of 3,063,276 shares of our common stock, and we granted options to purchase an aggregate of 2,018,180 shares of our common stock.</w:t>
      </w:r>
    </w:p>
    <w:p>
      <w:pPr>
        <w:spacing w:after="0" w:line="193" w:lineRule="exact"/>
        <w:rPr>
          <w:sz w:val="20"/>
          <w:szCs w:val="20"/>
          <w:color w:val="auto"/>
        </w:rPr>
      </w:pPr>
    </w:p>
    <w:p>
      <w:pPr>
        <w:ind w:left="540" w:right="120" w:firstLine="517"/>
        <w:spacing w:after="0" w:line="247" w:lineRule="auto"/>
        <w:rPr>
          <w:sz w:val="20"/>
          <w:szCs w:val="20"/>
          <w:color w:val="auto"/>
        </w:rPr>
      </w:pPr>
      <w:r>
        <w:rPr>
          <w:rFonts w:ascii="Arial" w:cs="Arial" w:eastAsia="Arial" w:hAnsi="Arial"/>
          <w:sz w:val="17"/>
          <w:szCs w:val="17"/>
          <w:color w:val="auto"/>
        </w:rPr>
        <w:t>Since converting to a corporation and changing our name to Arvinas, Inc., we have been governed by a certificate of incorporation that was filed with the Delaware Secretary of State and our bylaws. On the effective date of the Conversion, the members of the board of managers of Arvinas LLC became the members of the board of directors of Arvinas, Inc. and the officers of Arvinas LLC became the officers of Arvinas, Inc.</w:t>
      </w:r>
    </w:p>
    <w:p>
      <w:pPr>
        <w:spacing w:after="0" w:line="192" w:lineRule="exact"/>
        <w:rPr>
          <w:sz w:val="20"/>
          <w:szCs w:val="20"/>
          <w:color w:val="auto"/>
        </w:rPr>
      </w:pPr>
    </w:p>
    <w:p>
      <w:pPr>
        <w:ind w:left="540" w:right="60" w:firstLine="517"/>
        <w:spacing w:after="0" w:line="259" w:lineRule="auto"/>
        <w:rPr>
          <w:sz w:val="20"/>
          <w:szCs w:val="20"/>
          <w:color w:val="auto"/>
        </w:rPr>
      </w:pPr>
      <w:r>
        <w:rPr>
          <w:rFonts w:ascii="Arial" w:cs="Arial" w:eastAsia="Arial" w:hAnsi="Arial"/>
          <w:sz w:val="17"/>
          <w:szCs w:val="17"/>
          <w:color w:val="auto"/>
        </w:rPr>
        <w:t>Upon the closing of our initial public offering, each 3.25 shares of preferred stock issued to our members in the Conversion will convert into one share of our common stock.</w:t>
      </w:r>
    </w:p>
    <w:p>
      <w:pPr>
        <w:spacing w:after="0" w:line="264" w:lineRule="exact"/>
        <w:rPr>
          <w:sz w:val="20"/>
          <w:szCs w:val="20"/>
          <w:color w:val="auto"/>
        </w:rPr>
      </w:pPr>
    </w:p>
    <w:p>
      <w:pPr>
        <w:ind w:left="4620"/>
        <w:spacing w:after="0"/>
        <w:rPr>
          <w:sz w:val="20"/>
          <w:szCs w:val="20"/>
          <w:color w:val="auto"/>
        </w:rPr>
      </w:pPr>
      <w:r>
        <w:rPr>
          <w:rFonts w:ascii="Arial" w:cs="Arial" w:eastAsia="Arial" w:hAnsi="Arial"/>
          <w:sz w:val="17"/>
          <w:szCs w:val="17"/>
          <w:b w:val="1"/>
          <w:bCs w:val="1"/>
          <w:color w:val="auto"/>
        </w:rPr>
        <w:t>Our Corporate Information</w:t>
      </w:r>
    </w:p>
    <w:p>
      <w:pPr>
        <w:spacing w:after="0" w:line="233"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Our executive offices are located at 5 Science Park, 395 Winchester Ave., New Haven, CT 06511 and our telephone number is</w:t>
      </w:r>
    </w:p>
    <w:p>
      <w:pPr>
        <w:spacing w:after="0" w:line="1" w:lineRule="exact"/>
        <w:rPr>
          <w:sz w:val="20"/>
          <w:szCs w:val="20"/>
          <w:color w:val="auto"/>
        </w:rPr>
      </w:pPr>
    </w:p>
    <w:p>
      <w:pPr>
        <w:ind w:left="540" w:right="540" w:firstLine="3"/>
        <w:spacing w:after="0" w:line="250" w:lineRule="auto"/>
        <w:tabs>
          <w:tab w:leader="none" w:pos="996" w:val="left"/>
        </w:tabs>
        <w:numPr>
          <w:ilvl w:val="0"/>
          <w:numId w:val="8"/>
        </w:numPr>
        <w:rPr>
          <w:rFonts w:ascii="Arial" w:cs="Arial" w:eastAsia="Arial" w:hAnsi="Arial"/>
          <w:sz w:val="17"/>
          <w:szCs w:val="17"/>
          <w:color w:val="auto"/>
        </w:rPr>
      </w:pPr>
      <w:r>
        <w:rPr>
          <w:rFonts w:ascii="Arial" w:cs="Arial" w:eastAsia="Arial" w:hAnsi="Arial"/>
          <w:sz w:val="17"/>
          <w:szCs w:val="17"/>
          <w:color w:val="auto"/>
        </w:rPr>
        <w:t>535-1456. Our website address is www.arvinas.com. The information contained on, or that can be accessed through, our website is not a part of this prospectus. We have included our website address in this prospectus solely as an inactive textual reference.</w:t>
      </w:r>
    </w:p>
    <w:p>
      <w:pPr>
        <w:spacing w:after="0" w:line="189" w:lineRule="exact"/>
        <w:rPr>
          <w:sz w:val="20"/>
          <w:szCs w:val="20"/>
          <w:color w:val="auto"/>
        </w:rPr>
      </w:pPr>
    </w:p>
    <w:p>
      <w:pPr>
        <w:ind w:left="540" w:right="40" w:firstLine="517"/>
        <w:spacing w:after="0" w:line="245" w:lineRule="auto"/>
        <w:rPr>
          <w:sz w:val="20"/>
          <w:szCs w:val="20"/>
          <w:color w:val="auto"/>
        </w:rPr>
      </w:pPr>
      <w:r>
        <w:rPr>
          <w:rFonts w:ascii="Arial" w:cs="Arial" w:eastAsia="Arial" w:hAnsi="Arial"/>
          <w:sz w:val="17"/>
          <w:szCs w:val="17"/>
          <w:color w:val="auto"/>
        </w:rPr>
        <w:t>In this prospectus, unless otherwise indicated or the context otherwise requires, references to “Arvinas,” “we,” “us,” “our” and similar references refer to (1) following the date of the Conversion discussed under the heading “Corporate Conversion,” Arvinas, Inc. and its consolidated subsidiaries, or any one or more of them as the context may require, and (2) prior to the date of the Conversion, Arvinas Holding Company, LLC and its subsidiaries, or any one or more of them as the context may require. Additionally, references to our “board of directors” refer to (1) following the date of the Conversion, the board of directors of Arvinas, Inc. and (2) prior to the date of the Conversion, the board of managers of Arvinas Holding Company, LLC.</w:t>
      </w:r>
    </w:p>
    <w:p>
      <w:pPr>
        <w:spacing w:after="0" w:line="192" w:lineRule="exact"/>
        <w:rPr>
          <w:sz w:val="20"/>
          <w:szCs w:val="20"/>
          <w:color w:val="auto"/>
        </w:rPr>
      </w:pPr>
    </w:p>
    <w:p>
      <w:pPr>
        <w:ind w:left="540" w:right="120" w:firstLine="517"/>
        <w:spacing w:after="0" w:line="250" w:lineRule="auto"/>
        <w:rPr>
          <w:sz w:val="20"/>
          <w:szCs w:val="20"/>
          <w:color w:val="auto"/>
        </w:rPr>
      </w:pPr>
      <w:r>
        <w:rPr>
          <w:rFonts w:ascii="Arial" w:cs="Arial" w:eastAsia="Arial" w:hAnsi="Arial"/>
          <w:sz w:val="17"/>
          <w:szCs w:val="17"/>
          <w:color w:val="auto"/>
        </w:rPr>
        <w:t>The Arvinas name and logo are our trademarks. We also own the service mark for, and have a pending registered U.S. trademark application for, PROTAC</w:t>
      </w:r>
      <w:r>
        <w:rPr>
          <w:rFonts w:ascii="Arial" w:cs="Arial" w:eastAsia="Arial" w:hAnsi="Arial"/>
          <w:sz w:val="14"/>
          <w:szCs w:val="14"/>
          <w:color w:val="auto"/>
        </w:rPr>
        <w:t>®</w:t>
      </w:r>
      <w:r>
        <w:rPr>
          <w:rFonts w:ascii="Arial" w:cs="Arial" w:eastAsia="Arial" w:hAnsi="Arial"/>
          <w:sz w:val="17"/>
          <w:szCs w:val="17"/>
          <w:color w:val="auto"/>
        </w:rPr>
        <w:t xml:space="preserve">. The trademarks, trade names and service marks appearing in this prospectus are the property of their respective owners. We have omitted the </w:t>
      </w:r>
      <w:r>
        <w:rPr>
          <w:rFonts w:ascii="Arial" w:cs="Arial" w:eastAsia="Arial" w:hAnsi="Arial"/>
          <w:sz w:val="14"/>
          <w:szCs w:val="14"/>
          <w:color w:val="auto"/>
        </w:rPr>
        <w:t>®</w:t>
      </w:r>
      <w:r>
        <w:rPr>
          <w:rFonts w:ascii="Arial" w:cs="Arial" w:eastAsia="Arial" w:hAnsi="Arial"/>
          <w:sz w:val="17"/>
          <w:szCs w:val="17"/>
          <w:color w:val="auto"/>
        </w:rPr>
        <w:t xml:space="preserve"> and ™ designations, as applicable, for the trademarks named in this prospectus.</w:t>
      </w:r>
    </w:p>
    <w:p>
      <w:pPr>
        <w:spacing w:after="0" w:line="272" w:lineRule="exact"/>
        <w:rPr>
          <w:sz w:val="20"/>
          <w:szCs w:val="20"/>
          <w:color w:val="auto"/>
        </w:rPr>
      </w:pPr>
    </w:p>
    <w:p>
      <w:pPr>
        <w:jc w:val="center"/>
        <w:ind w:right="-559"/>
        <w:spacing w:after="0"/>
        <w:rPr>
          <w:sz w:val="20"/>
          <w:szCs w:val="20"/>
          <w:color w:val="auto"/>
        </w:rPr>
      </w:pPr>
      <w:r>
        <w:rPr>
          <w:rFonts w:ascii="Arial" w:cs="Arial" w:eastAsia="Arial" w:hAnsi="Arial"/>
          <w:sz w:val="17"/>
          <w:szCs w:val="17"/>
          <w:b w:val="1"/>
          <w:bCs w:val="1"/>
          <w:color w:val="auto"/>
        </w:rPr>
        <w:t>Implications of Being an Emerging Growth Company</w:t>
      </w:r>
    </w:p>
    <w:p>
      <w:pPr>
        <w:spacing w:after="0" w:line="233" w:lineRule="exact"/>
        <w:rPr>
          <w:sz w:val="20"/>
          <w:szCs w:val="20"/>
          <w:color w:val="auto"/>
        </w:rPr>
      </w:pPr>
    </w:p>
    <w:p>
      <w:pPr>
        <w:ind w:left="540" w:right="80" w:firstLine="517"/>
        <w:spacing w:after="0" w:line="250" w:lineRule="auto"/>
        <w:rPr>
          <w:sz w:val="20"/>
          <w:szCs w:val="20"/>
          <w:color w:val="auto"/>
        </w:rPr>
      </w:pPr>
      <w:r>
        <w:rPr>
          <w:rFonts w:ascii="Arial" w:cs="Arial" w:eastAsia="Arial" w:hAnsi="Arial"/>
          <w:sz w:val="17"/>
          <w:szCs w:val="17"/>
          <w:color w:val="auto"/>
        </w:rPr>
        <w:t>We are an “emerging growth company” as defined in the Jumpstart Our Business Startups Act, or the JOBS Act, enacted in April 2012. As a result, we may take advantage of reduced reporting requirements that are otherwise applicable to public companies, including delaying auditor attestation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5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860"/>
          </w:cols>
          <w:pgMar w:left="240" w:top="449" w:right="79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201295</wp:posOffset>
            </wp:positionV>
            <wp:extent cx="6797040" cy="2418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97040" cy="241871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540" w:right="220"/>
        <w:spacing w:after="0" w:line="250" w:lineRule="auto"/>
        <w:rPr>
          <w:sz w:val="20"/>
          <w:szCs w:val="20"/>
          <w:color w:val="auto"/>
        </w:rPr>
      </w:pPr>
      <w:r>
        <w:rPr>
          <w:rFonts w:ascii="Arial" w:cs="Arial" w:eastAsia="Arial" w:hAnsi="Arial"/>
          <w:sz w:val="17"/>
          <w:szCs w:val="17"/>
          <w:color w:val="auto"/>
        </w:rPr>
        <w:t>of internal control over financial reporting, providing only two years of audited financial statements and related Management’s Discussion and Analysis of Financial Condition and Results of Operations in this prospectus and reducing executive compensation disclosures.</w:t>
      </w:r>
    </w:p>
    <w:p>
      <w:pPr>
        <w:spacing w:after="0" w:line="189" w:lineRule="exact"/>
        <w:rPr>
          <w:sz w:val="20"/>
          <w:szCs w:val="20"/>
          <w:color w:val="auto"/>
        </w:rPr>
      </w:pPr>
    </w:p>
    <w:p>
      <w:pPr>
        <w:ind w:left="540" w:firstLine="517"/>
        <w:spacing w:after="0" w:line="247" w:lineRule="auto"/>
        <w:rPr>
          <w:sz w:val="20"/>
          <w:szCs w:val="20"/>
          <w:color w:val="auto"/>
        </w:rPr>
      </w:pPr>
      <w:r>
        <w:rPr>
          <w:rFonts w:ascii="Arial" w:cs="Arial" w:eastAsia="Arial" w:hAnsi="Arial"/>
          <w:sz w:val="17"/>
          <w:szCs w:val="17"/>
          <w:color w:val="auto"/>
        </w:rPr>
        <w:t>We may remain an emerging growth company until the last day of the fiscal year following the fifth anniversary from the date of the first sale in this offering. However, if certain events occur prior to the end of such five-year period, including if we become a “large accelerated filer,” our annual gross revenue exceeds $1.07 billion, or we issue more than $1.0 billion of non-convertible debt in any three-year period, we will cease to be an emerging growth company prior to the end of such five-year period.</w:t>
      </w:r>
    </w:p>
    <w:p>
      <w:pPr>
        <w:spacing w:after="0" w:line="192" w:lineRule="exact"/>
        <w:rPr>
          <w:sz w:val="20"/>
          <w:szCs w:val="20"/>
          <w:color w:val="auto"/>
        </w:rPr>
      </w:pPr>
    </w:p>
    <w:p>
      <w:pPr>
        <w:ind w:left="540" w:firstLine="517"/>
        <w:spacing w:after="0" w:line="244" w:lineRule="auto"/>
        <w:rPr>
          <w:sz w:val="20"/>
          <w:szCs w:val="20"/>
          <w:color w:val="auto"/>
        </w:rPr>
      </w:pPr>
      <w:r>
        <w:rPr>
          <w:rFonts w:ascii="Arial" w:cs="Arial" w:eastAsia="Arial" w:hAnsi="Arial"/>
          <w:sz w:val="17"/>
          <w:szCs w:val="17"/>
          <w:color w:val="auto"/>
        </w:rPr>
        <w:t>We have elected to take advantage of certain of the reduced disclosure obligations in the registration statement of which this prospectus is a part and may elect to take advantage of other reduced reporting requirements in future filings. In particular, in this prospectus, we have provided only two years of audited financial statements and have not included all of the executive compensation related information that would be required if we were not an emerging growth company. As a result, the information that we provide to our stockholders may be different than what you might receive from other public reporting companies in which you hold equity interests. However, we have irrevocably elected not to avail ourselves of the extended transition period for complying with new or revised accounting standards and, therefore, we will be subject to the same new or revised accounting standards as other public companies that are not emerging growth companies.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840"/>
          </w:cols>
          <w:pgMar w:left="240" w:top="449" w:right="81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201295</wp:posOffset>
            </wp:positionV>
            <wp:extent cx="6797040" cy="55816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97040" cy="558165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tbl>
      <w:tblPr>
        <w:tblLayout w:type="fixed"/>
        <w:tblInd w:w="540" w:type="dxa"/>
        <w:tblCellMar>
          <w:top w:w="0" w:type="dxa"/>
          <w:left w:w="0" w:type="dxa"/>
          <w:bottom w:w="0" w:type="dxa"/>
          <w:right w:w="0" w:type="dxa"/>
        </w:tblCellMar>
      </w:tblPr>
      <w:tr>
        <w:trPr>
          <w:trHeight w:val="232"/>
        </w:trPr>
        <w:tc>
          <w:tcPr>
            <w:tcW w:w="4220" w:type="dxa"/>
            <w:vAlign w:val="bottom"/>
          </w:tcPr>
          <w:p>
            <w:pPr>
              <w:spacing w:after="0"/>
              <w:rPr>
                <w:sz w:val="20"/>
                <w:szCs w:val="20"/>
                <w:color w:val="auto"/>
              </w:rPr>
            </w:pPr>
          </w:p>
        </w:tc>
        <w:tc>
          <w:tcPr>
            <w:tcW w:w="6100" w:type="dxa"/>
            <w:vAlign w:val="bottom"/>
          </w:tcPr>
          <w:p>
            <w:pPr>
              <w:ind w:left="300"/>
              <w:spacing w:after="0"/>
              <w:rPr>
                <w:sz w:val="20"/>
                <w:szCs w:val="20"/>
                <w:color w:val="auto"/>
              </w:rPr>
            </w:pPr>
            <w:r>
              <w:rPr>
                <w:rFonts w:ascii="Arial" w:cs="Arial" w:eastAsia="Arial" w:hAnsi="Arial"/>
                <w:sz w:val="17"/>
                <w:szCs w:val="17"/>
                <w:b w:val="1"/>
                <w:bCs w:val="1"/>
                <w:color w:val="auto"/>
              </w:rPr>
              <w:t>THE OFFERING</w:t>
            </w:r>
          </w:p>
        </w:tc>
        <w:tc>
          <w:tcPr>
            <w:tcW w:w="0" w:type="dxa"/>
            <w:vAlign w:val="bottom"/>
          </w:tcPr>
          <w:p>
            <w:pPr>
              <w:spacing w:after="0"/>
              <w:rPr>
                <w:sz w:val="1"/>
                <w:szCs w:val="1"/>
                <w:color w:val="auto"/>
              </w:rPr>
            </w:pPr>
          </w:p>
        </w:tc>
      </w:tr>
      <w:tr>
        <w:trPr>
          <w:trHeight w:val="498"/>
        </w:trPr>
        <w:tc>
          <w:tcPr>
            <w:tcW w:w="4220" w:type="dxa"/>
            <w:vAlign w:val="bottom"/>
          </w:tcPr>
          <w:p>
            <w:pPr>
              <w:spacing w:after="0"/>
              <w:rPr>
                <w:sz w:val="20"/>
                <w:szCs w:val="20"/>
                <w:color w:val="auto"/>
              </w:rPr>
            </w:pPr>
            <w:r>
              <w:rPr>
                <w:rFonts w:ascii="Arial" w:cs="Arial" w:eastAsia="Arial" w:hAnsi="Arial"/>
                <w:sz w:val="17"/>
                <w:szCs w:val="17"/>
                <w:color w:val="auto"/>
              </w:rPr>
              <w:t>Common stock to be offered by us</w:t>
            </w:r>
          </w:p>
        </w:tc>
        <w:tc>
          <w:tcPr>
            <w:tcW w:w="6100" w:type="dxa"/>
            <w:vAlign w:val="bottom"/>
          </w:tcPr>
          <w:p>
            <w:pPr>
              <w:ind w:left="1260"/>
              <w:spacing w:after="0"/>
              <w:rPr>
                <w:sz w:val="20"/>
                <w:szCs w:val="20"/>
                <w:color w:val="auto"/>
              </w:rPr>
            </w:pPr>
            <w:r>
              <w:rPr>
                <w:rFonts w:ascii="Arial" w:cs="Arial" w:eastAsia="Arial" w:hAnsi="Arial"/>
                <w:sz w:val="17"/>
                <w:szCs w:val="17"/>
                <w:color w:val="auto"/>
              </w:rPr>
              <w:t>7,500,000 shares</w:t>
            </w:r>
          </w:p>
        </w:tc>
        <w:tc>
          <w:tcPr>
            <w:tcW w:w="0" w:type="dxa"/>
            <w:vAlign w:val="bottom"/>
          </w:tcPr>
          <w:p>
            <w:pPr>
              <w:spacing w:after="0"/>
              <w:rPr>
                <w:sz w:val="1"/>
                <w:szCs w:val="1"/>
                <w:color w:val="auto"/>
              </w:rPr>
            </w:pPr>
          </w:p>
        </w:tc>
      </w:tr>
      <w:tr>
        <w:trPr>
          <w:trHeight w:val="262"/>
        </w:trPr>
        <w:tc>
          <w:tcPr>
            <w:tcW w:w="4220" w:type="dxa"/>
            <w:vAlign w:val="bottom"/>
          </w:tcPr>
          <w:p>
            <w:pPr>
              <w:spacing w:after="0"/>
              <w:rPr>
                <w:sz w:val="20"/>
                <w:szCs w:val="20"/>
                <w:color w:val="auto"/>
              </w:rPr>
            </w:pPr>
            <w:r>
              <w:rPr>
                <w:rFonts w:ascii="Arial" w:cs="Arial" w:eastAsia="Arial" w:hAnsi="Arial"/>
                <w:sz w:val="17"/>
                <w:szCs w:val="17"/>
                <w:color w:val="auto"/>
              </w:rPr>
              <w:t>Common stock to be outstanding after this offering</w:t>
            </w:r>
          </w:p>
        </w:tc>
        <w:tc>
          <w:tcPr>
            <w:tcW w:w="6100" w:type="dxa"/>
            <w:vAlign w:val="bottom"/>
            <w:vMerge w:val="restart"/>
          </w:tcPr>
          <w:p>
            <w:pPr>
              <w:ind w:left="1260"/>
              <w:spacing w:after="0"/>
              <w:rPr>
                <w:sz w:val="20"/>
                <w:szCs w:val="20"/>
                <w:color w:val="auto"/>
              </w:rPr>
            </w:pPr>
            <w:r>
              <w:rPr>
                <w:rFonts w:ascii="Arial" w:cs="Arial" w:eastAsia="Arial" w:hAnsi="Arial"/>
                <w:sz w:val="17"/>
                <w:szCs w:val="17"/>
                <w:color w:val="auto"/>
              </w:rPr>
              <w:t>32,158,748 shares</w:t>
            </w:r>
          </w:p>
        </w:tc>
        <w:tc>
          <w:tcPr>
            <w:tcW w:w="0" w:type="dxa"/>
            <w:vAlign w:val="bottom"/>
          </w:tcPr>
          <w:p>
            <w:pPr>
              <w:spacing w:after="0"/>
              <w:rPr>
                <w:sz w:val="1"/>
                <w:szCs w:val="1"/>
                <w:color w:val="auto"/>
              </w:rPr>
            </w:pPr>
          </w:p>
        </w:tc>
      </w:tr>
      <w:tr>
        <w:trPr>
          <w:trHeight w:val="197"/>
        </w:trPr>
        <w:tc>
          <w:tcPr>
            <w:tcW w:w="4220" w:type="dxa"/>
            <w:vAlign w:val="bottom"/>
          </w:tcPr>
          <w:p>
            <w:pPr>
              <w:spacing w:after="0"/>
              <w:rPr>
                <w:sz w:val="17"/>
                <w:szCs w:val="17"/>
                <w:color w:val="auto"/>
              </w:rPr>
            </w:pPr>
          </w:p>
        </w:tc>
        <w:tc>
          <w:tcPr>
            <w:tcW w:w="6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220" w:type="dxa"/>
            <w:vAlign w:val="bottom"/>
          </w:tcPr>
          <w:p>
            <w:pPr>
              <w:spacing w:after="0"/>
              <w:rPr>
                <w:sz w:val="20"/>
                <w:szCs w:val="20"/>
                <w:color w:val="auto"/>
              </w:rPr>
            </w:pPr>
            <w:r>
              <w:rPr>
                <w:rFonts w:ascii="Arial" w:cs="Arial" w:eastAsia="Arial" w:hAnsi="Arial"/>
                <w:sz w:val="17"/>
                <w:szCs w:val="17"/>
                <w:color w:val="auto"/>
              </w:rPr>
              <w:t>Option to purchase additional shares</w:t>
            </w:r>
          </w:p>
        </w:tc>
        <w:tc>
          <w:tcPr>
            <w:tcW w:w="6100" w:type="dxa"/>
            <w:vAlign w:val="bottom"/>
          </w:tcPr>
          <w:p>
            <w:pPr>
              <w:ind w:left="1260"/>
              <w:spacing w:after="0"/>
              <w:rPr>
                <w:sz w:val="20"/>
                <w:szCs w:val="20"/>
                <w:color w:val="auto"/>
              </w:rPr>
            </w:pPr>
            <w:r>
              <w:rPr>
                <w:rFonts w:ascii="Arial" w:cs="Arial" w:eastAsia="Arial" w:hAnsi="Arial"/>
                <w:sz w:val="17"/>
                <w:szCs w:val="17"/>
                <w:color w:val="auto"/>
              </w:rPr>
              <w:t>We have granted the underwriters an option for a period of 30</w:t>
            </w:r>
          </w:p>
        </w:tc>
        <w:tc>
          <w:tcPr>
            <w:tcW w:w="0" w:type="dxa"/>
            <w:vAlign w:val="bottom"/>
          </w:tcPr>
          <w:p>
            <w:pPr>
              <w:spacing w:after="0"/>
              <w:rPr>
                <w:sz w:val="1"/>
                <w:szCs w:val="1"/>
                <w:color w:val="auto"/>
              </w:rPr>
            </w:pPr>
          </w:p>
        </w:tc>
      </w:tr>
      <w:tr>
        <w:trPr>
          <w:trHeight w:val="197"/>
        </w:trPr>
        <w:tc>
          <w:tcPr>
            <w:tcW w:w="4220" w:type="dxa"/>
            <w:vAlign w:val="bottom"/>
          </w:tcPr>
          <w:p>
            <w:pPr>
              <w:spacing w:after="0"/>
              <w:rPr>
                <w:sz w:val="17"/>
                <w:szCs w:val="17"/>
                <w:color w:val="auto"/>
              </w:rPr>
            </w:pPr>
          </w:p>
        </w:tc>
        <w:tc>
          <w:tcPr>
            <w:tcW w:w="6100" w:type="dxa"/>
            <w:vAlign w:val="bottom"/>
          </w:tcPr>
          <w:p>
            <w:pPr>
              <w:ind w:left="1260"/>
              <w:spacing w:after="0"/>
              <w:rPr>
                <w:sz w:val="20"/>
                <w:szCs w:val="20"/>
                <w:color w:val="auto"/>
              </w:rPr>
            </w:pPr>
            <w:r>
              <w:rPr>
                <w:rFonts w:ascii="Arial" w:cs="Arial" w:eastAsia="Arial" w:hAnsi="Arial"/>
                <w:sz w:val="17"/>
                <w:szCs w:val="17"/>
                <w:color w:val="auto"/>
              </w:rPr>
              <w:t>days to purchase up to 1,125,000 additional shares of our</w:t>
            </w:r>
          </w:p>
        </w:tc>
        <w:tc>
          <w:tcPr>
            <w:tcW w:w="0" w:type="dxa"/>
            <w:vAlign w:val="bottom"/>
          </w:tcPr>
          <w:p>
            <w:pPr>
              <w:spacing w:after="0"/>
              <w:rPr>
                <w:sz w:val="1"/>
                <w:szCs w:val="1"/>
                <w:color w:val="auto"/>
              </w:rPr>
            </w:pPr>
          </w:p>
        </w:tc>
      </w:tr>
      <w:tr>
        <w:trPr>
          <w:trHeight w:val="210"/>
        </w:trPr>
        <w:tc>
          <w:tcPr>
            <w:tcW w:w="4220" w:type="dxa"/>
            <w:vAlign w:val="bottom"/>
          </w:tcPr>
          <w:p>
            <w:pPr>
              <w:spacing w:after="0"/>
              <w:rPr>
                <w:sz w:val="18"/>
                <w:szCs w:val="18"/>
                <w:color w:val="auto"/>
              </w:rPr>
            </w:pPr>
          </w:p>
        </w:tc>
        <w:tc>
          <w:tcPr>
            <w:tcW w:w="6100" w:type="dxa"/>
            <w:vAlign w:val="bottom"/>
          </w:tcPr>
          <w:p>
            <w:pPr>
              <w:ind w:left="1260"/>
              <w:spacing w:after="0"/>
              <w:rPr>
                <w:sz w:val="20"/>
                <w:szCs w:val="20"/>
                <w:color w:val="auto"/>
              </w:rPr>
            </w:pPr>
            <w:r>
              <w:rPr>
                <w:rFonts w:ascii="Arial" w:cs="Arial" w:eastAsia="Arial" w:hAnsi="Arial"/>
                <w:sz w:val="17"/>
                <w:szCs w:val="17"/>
                <w:color w:val="auto"/>
              </w:rPr>
              <w:t>common stock.</w:t>
            </w:r>
          </w:p>
        </w:tc>
        <w:tc>
          <w:tcPr>
            <w:tcW w:w="0" w:type="dxa"/>
            <w:vAlign w:val="bottom"/>
          </w:tcPr>
          <w:p>
            <w:pPr>
              <w:spacing w:after="0"/>
              <w:rPr>
                <w:sz w:val="1"/>
                <w:szCs w:val="1"/>
                <w:color w:val="auto"/>
              </w:rPr>
            </w:pPr>
          </w:p>
        </w:tc>
      </w:tr>
      <w:tr>
        <w:trPr>
          <w:trHeight w:val="249"/>
        </w:trPr>
        <w:tc>
          <w:tcPr>
            <w:tcW w:w="4220" w:type="dxa"/>
            <w:vAlign w:val="bottom"/>
          </w:tcPr>
          <w:p>
            <w:pPr>
              <w:spacing w:after="0"/>
              <w:rPr>
                <w:sz w:val="20"/>
                <w:szCs w:val="20"/>
                <w:color w:val="auto"/>
              </w:rPr>
            </w:pPr>
            <w:r>
              <w:rPr>
                <w:rFonts w:ascii="Arial" w:cs="Arial" w:eastAsia="Arial" w:hAnsi="Arial"/>
                <w:sz w:val="17"/>
                <w:szCs w:val="17"/>
                <w:color w:val="auto"/>
              </w:rPr>
              <w:t>Use of proceeds</w:t>
            </w:r>
          </w:p>
        </w:tc>
        <w:tc>
          <w:tcPr>
            <w:tcW w:w="6100" w:type="dxa"/>
            <w:vAlign w:val="bottom"/>
          </w:tcPr>
          <w:p>
            <w:pPr>
              <w:ind w:left="1260"/>
              <w:spacing w:after="0"/>
              <w:rPr>
                <w:sz w:val="20"/>
                <w:szCs w:val="20"/>
                <w:color w:val="auto"/>
              </w:rPr>
            </w:pPr>
            <w:r>
              <w:rPr>
                <w:rFonts w:ascii="Arial" w:cs="Arial" w:eastAsia="Arial" w:hAnsi="Arial"/>
                <w:sz w:val="17"/>
                <w:szCs w:val="17"/>
                <w:color w:val="auto"/>
              </w:rPr>
              <w:t>We intend to use the net proceeds from this offering, together</w:t>
            </w:r>
          </w:p>
        </w:tc>
        <w:tc>
          <w:tcPr>
            <w:tcW w:w="0" w:type="dxa"/>
            <w:vAlign w:val="bottom"/>
          </w:tcPr>
          <w:p>
            <w:pPr>
              <w:spacing w:after="0"/>
              <w:rPr>
                <w:sz w:val="1"/>
                <w:szCs w:val="1"/>
                <w:color w:val="auto"/>
              </w:rPr>
            </w:pPr>
          </w:p>
        </w:tc>
      </w:tr>
      <w:tr>
        <w:trPr>
          <w:trHeight w:val="197"/>
        </w:trPr>
        <w:tc>
          <w:tcPr>
            <w:tcW w:w="4220" w:type="dxa"/>
            <w:vAlign w:val="bottom"/>
          </w:tcPr>
          <w:p>
            <w:pPr>
              <w:spacing w:after="0"/>
              <w:rPr>
                <w:sz w:val="17"/>
                <w:szCs w:val="17"/>
                <w:color w:val="auto"/>
              </w:rPr>
            </w:pPr>
          </w:p>
        </w:tc>
        <w:tc>
          <w:tcPr>
            <w:tcW w:w="6100" w:type="dxa"/>
            <w:vAlign w:val="bottom"/>
          </w:tcPr>
          <w:p>
            <w:pPr>
              <w:ind w:left="1260"/>
              <w:spacing w:after="0"/>
              <w:rPr>
                <w:sz w:val="20"/>
                <w:szCs w:val="20"/>
                <w:color w:val="auto"/>
              </w:rPr>
            </w:pPr>
            <w:r>
              <w:rPr>
                <w:rFonts w:ascii="Arial" w:cs="Arial" w:eastAsia="Arial" w:hAnsi="Arial"/>
                <w:sz w:val="17"/>
                <w:szCs w:val="17"/>
                <w:color w:val="auto"/>
              </w:rPr>
              <w:t>with our existing cash, cash equivalents and marketable</w:t>
            </w:r>
          </w:p>
        </w:tc>
        <w:tc>
          <w:tcPr>
            <w:tcW w:w="0" w:type="dxa"/>
            <w:vAlign w:val="bottom"/>
          </w:tcPr>
          <w:p>
            <w:pPr>
              <w:spacing w:after="0"/>
              <w:rPr>
                <w:sz w:val="1"/>
                <w:szCs w:val="1"/>
                <w:color w:val="auto"/>
              </w:rPr>
            </w:pPr>
          </w:p>
        </w:tc>
      </w:tr>
      <w:tr>
        <w:trPr>
          <w:trHeight w:val="197"/>
        </w:trPr>
        <w:tc>
          <w:tcPr>
            <w:tcW w:w="4220" w:type="dxa"/>
            <w:vAlign w:val="bottom"/>
          </w:tcPr>
          <w:p>
            <w:pPr>
              <w:spacing w:after="0"/>
              <w:rPr>
                <w:sz w:val="17"/>
                <w:szCs w:val="17"/>
                <w:color w:val="auto"/>
              </w:rPr>
            </w:pPr>
          </w:p>
        </w:tc>
        <w:tc>
          <w:tcPr>
            <w:tcW w:w="6100" w:type="dxa"/>
            <w:vAlign w:val="bottom"/>
          </w:tcPr>
          <w:p>
            <w:pPr>
              <w:ind w:left="1260"/>
              <w:spacing w:after="0"/>
              <w:rPr>
                <w:sz w:val="20"/>
                <w:szCs w:val="20"/>
                <w:color w:val="auto"/>
              </w:rPr>
            </w:pPr>
            <w:r>
              <w:rPr>
                <w:rFonts w:ascii="Arial" w:cs="Arial" w:eastAsia="Arial" w:hAnsi="Arial"/>
                <w:sz w:val="17"/>
                <w:szCs w:val="17"/>
                <w:color w:val="auto"/>
              </w:rPr>
              <w:t>securities, for the advancement of our AR and ER programs,</w:t>
            </w:r>
          </w:p>
        </w:tc>
        <w:tc>
          <w:tcPr>
            <w:tcW w:w="0" w:type="dxa"/>
            <w:vAlign w:val="bottom"/>
          </w:tcPr>
          <w:p>
            <w:pPr>
              <w:spacing w:after="0"/>
              <w:rPr>
                <w:sz w:val="1"/>
                <w:szCs w:val="1"/>
                <w:color w:val="auto"/>
              </w:rPr>
            </w:pPr>
          </w:p>
        </w:tc>
      </w:tr>
      <w:tr>
        <w:trPr>
          <w:trHeight w:val="197"/>
        </w:trPr>
        <w:tc>
          <w:tcPr>
            <w:tcW w:w="4220" w:type="dxa"/>
            <w:vAlign w:val="bottom"/>
          </w:tcPr>
          <w:p>
            <w:pPr>
              <w:spacing w:after="0"/>
              <w:rPr>
                <w:sz w:val="17"/>
                <w:szCs w:val="17"/>
                <w:color w:val="auto"/>
              </w:rPr>
            </w:pPr>
          </w:p>
        </w:tc>
        <w:tc>
          <w:tcPr>
            <w:tcW w:w="6100" w:type="dxa"/>
            <w:vAlign w:val="bottom"/>
          </w:tcPr>
          <w:p>
            <w:pPr>
              <w:ind w:left="1260"/>
              <w:spacing w:after="0"/>
              <w:rPr>
                <w:sz w:val="20"/>
                <w:szCs w:val="20"/>
                <w:color w:val="auto"/>
              </w:rPr>
            </w:pPr>
            <w:r>
              <w:rPr>
                <w:rFonts w:ascii="Arial" w:cs="Arial" w:eastAsia="Arial" w:hAnsi="Arial"/>
                <w:sz w:val="17"/>
                <w:szCs w:val="17"/>
                <w:color w:val="auto"/>
              </w:rPr>
              <w:t>for continued expansion of our platform technology, for</w:t>
            </w:r>
          </w:p>
        </w:tc>
        <w:tc>
          <w:tcPr>
            <w:tcW w:w="0" w:type="dxa"/>
            <w:vAlign w:val="bottom"/>
          </w:tcPr>
          <w:p>
            <w:pPr>
              <w:spacing w:after="0"/>
              <w:rPr>
                <w:sz w:val="1"/>
                <w:szCs w:val="1"/>
                <w:color w:val="auto"/>
              </w:rPr>
            </w:pPr>
          </w:p>
        </w:tc>
      </w:tr>
      <w:tr>
        <w:trPr>
          <w:trHeight w:val="197"/>
        </w:trPr>
        <w:tc>
          <w:tcPr>
            <w:tcW w:w="4220" w:type="dxa"/>
            <w:vAlign w:val="bottom"/>
          </w:tcPr>
          <w:p>
            <w:pPr>
              <w:spacing w:after="0"/>
              <w:rPr>
                <w:sz w:val="17"/>
                <w:szCs w:val="17"/>
                <w:color w:val="auto"/>
              </w:rPr>
            </w:pPr>
          </w:p>
        </w:tc>
        <w:tc>
          <w:tcPr>
            <w:tcW w:w="6100" w:type="dxa"/>
            <w:vAlign w:val="bottom"/>
          </w:tcPr>
          <w:p>
            <w:pPr>
              <w:ind w:left="1260"/>
              <w:spacing w:after="0"/>
              <w:rPr>
                <w:sz w:val="20"/>
                <w:szCs w:val="20"/>
                <w:color w:val="auto"/>
              </w:rPr>
            </w:pPr>
            <w:r>
              <w:rPr>
                <w:rFonts w:ascii="Arial" w:cs="Arial" w:eastAsia="Arial" w:hAnsi="Arial"/>
                <w:sz w:val="17"/>
                <w:szCs w:val="17"/>
                <w:color w:val="auto"/>
              </w:rPr>
              <w:t>preclinical studies for research stage programs and for</w:t>
            </w:r>
          </w:p>
        </w:tc>
        <w:tc>
          <w:tcPr>
            <w:tcW w:w="0" w:type="dxa"/>
            <w:vAlign w:val="bottom"/>
          </w:tcPr>
          <w:p>
            <w:pPr>
              <w:spacing w:after="0"/>
              <w:rPr>
                <w:sz w:val="1"/>
                <w:szCs w:val="1"/>
                <w:color w:val="auto"/>
              </w:rPr>
            </w:pPr>
          </w:p>
        </w:tc>
      </w:tr>
      <w:tr>
        <w:trPr>
          <w:trHeight w:val="197"/>
        </w:trPr>
        <w:tc>
          <w:tcPr>
            <w:tcW w:w="4220" w:type="dxa"/>
            <w:vAlign w:val="bottom"/>
          </w:tcPr>
          <w:p>
            <w:pPr>
              <w:spacing w:after="0"/>
              <w:rPr>
                <w:sz w:val="17"/>
                <w:szCs w:val="17"/>
                <w:color w:val="auto"/>
              </w:rPr>
            </w:pPr>
          </w:p>
        </w:tc>
        <w:tc>
          <w:tcPr>
            <w:tcW w:w="6100" w:type="dxa"/>
            <w:vAlign w:val="bottom"/>
          </w:tcPr>
          <w:p>
            <w:pPr>
              <w:ind w:left="1260"/>
              <w:spacing w:after="0"/>
              <w:rPr>
                <w:sz w:val="20"/>
                <w:szCs w:val="20"/>
                <w:color w:val="auto"/>
              </w:rPr>
            </w:pPr>
            <w:r>
              <w:rPr>
                <w:rFonts w:ascii="Arial" w:cs="Arial" w:eastAsia="Arial" w:hAnsi="Arial"/>
                <w:sz w:val="17"/>
                <w:szCs w:val="17"/>
                <w:color w:val="auto"/>
              </w:rPr>
              <w:t>working capital and other general corporate purposes. See the</w:t>
            </w:r>
          </w:p>
        </w:tc>
        <w:tc>
          <w:tcPr>
            <w:tcW w:w="0" w:type="dxa"/>
            <w:vAlign w:val="bottom"/>
          </w:tcPr>
          <w:p>
            <w:pPr>
              <w:spacing w:after="0"/>
              <w:rPr>
                <w:sz w:val="1"/>
                <w:szCs w:val="1"/>
                <w:color w:val="auto"/>
              </w:rPr>
            </w:pPr>
          </w:p>
        </w:tc>
      </w:tr>
      <w:tr>
        <w:trPr>
          <w:trHeight w:val="197"/>
        </w:trPr>
        <w:tc>
          <w:tcPr>
            <w:tcW w:w="4220" w:type="dxa"/>
            <w:vAlign w:val="bottom"/>
          </w:tcPr>
          <w:p>
            <w:pPr>
              <w:spacing w:after="0"/>
              <w:rPr>
                <w:sz w:val="17"/>
                <w:szCs w:val="17"/>
                <w:color w:val="auto"/>
              </w:rPr>
            </w:pPr>
          </w:p>
        </w:tc>
        <w:tc>
          <w:tcPr>
            <w:tcW w:w="6100" w:type="dxa"/>
            <w:vAlign w:val="bottom"/>
          </w:tcPr>
          <w:p>
            <w:pPr>
              <w:ind w:left="1260"/>
              <w:spacing w:after="0"/>
              <w:rPr>
                <w:sz w:val="20"/>
                <w:szCs w:val="20"/>
                <w:color w:val="auto"/>
              </w:rPr>
            </w:pPr>
            <w:r>
              <w:rPr>
                <w:rFonts w:ascii="Arial" w:cs="Arial" w:eastAsia="Arial" w:hAnsi="Arial"/>
                <w:sz w:val="17"/>
                <w:szCs w:val="17"/>
                <w:color w:val="auto"/>
              </w:rPr>
              <w:t>“Use of Proceeds” section of this prospectus for a more</w:t>
            </w:r>
          </w:p>
        </w:tc>
        <w:tc>
          <w:tcPr>
            <w:tcW w:w="0" w:type="dxa"/>
            <w:vAlign w:val="bottom"/>
          </w:tcPr>
          <w:p>
            <w:pPr>
              <w:spacing w:after="0"/>
              <w:rPr>
                <w:sz w:val="1"/>
                <w:szCs w:val="1"/>
                <w:color w:val="auto"/>
              </w:rPr>
            </w:pPr>
          </w:p>
        </w:tc>
      </w:tr>
      <w:tr>
        <w:trPr>
          <w:trHeight w:val="197"/>
        </w:trPr>
        <w:tc>
          <w:tcPr>
            <w:tcW w:w="4220" w:type="dxa"/>
            <w:vAlign w:val="bottom"/>
          </w:tcPr>
          <w:p>
            <w:pPr>
              <w:spacing w:after="0"/>
              <w:rPr>
                <w:sz w:val="17"/>
                <w:szCs w:val="17"/>
                <w:color w:val="auto"/>
              </w:rPr>
            </w:pPr>
          </w:p>
        </w:tc>
        <w:tc>
          <w:tcPr>
            <w:tcW w:w="6100" w:type="dxa"/>
            <w:vAlign w:val="bottom"/>
          </w:tcPr>
          <w:p>
            <w:pPr>
              <w:ind w:left="1260"/>
              <w:spacing w:after="0"/>
              <w:rPr>
                <w:sz w:val="20"/>
                <w:szCs w:val="20"/>
                <w:color w:val="auto"/>
              </w:rPr>
            </w:pPr>
            <w:r>
              <w:rPr>
                <w:rFonts w:ascii="Arial" w:cs="Arial" w:eastAsia="Arial" w:hAnsi="Arial"/>
                <w:sz w:val="17"/>
                <w:szCs w:val="17"/>
                <w:color w:val="auto"/>
              </w:rPr>
              <w:t>complete description of the intended use of proceeds from this</w:t>
            </w:r>
          </w:p>
        </w:tc>
        <w:tc>
          <w:tcPr>
            <w:tcW w:w="0" w:type="dxa"/>
            <w:vAlign w:val="bottom"/>
          </w:tcPr>
          <w:p>
            <w:pPr>
              <w:spacing w:after="0"/>
              <w:rPr>
                <w:sz w:val="1"/>
                <w:szCs w:val="1"/>
                <w:color w:val="auto"/>
              </w:rPr>
            </w:pPr>
          </w:p>
        </w:tc>
      </w:tr>
      <w:tr>
        <w:trPr>
          <w:trHeight w:val="210"/>
        </w:trPr>
        <w:tc>
          <w:tcPr>
            <w:tcW w:w="4220" w:type="dxa"/>
            <w:vAlign w:val="bottom"/>
          </w:tcPr>
          <w:p>
            <w:pPr>
              <w:spacing w:after="0"/>
              <w:rPr>
                <w:sz w:val="18"/>
                <w:szCs w:val="18"/>
                <w:color w:val="auto"/>
              </w:rPr>
            </w:pPr>
          </w:p>
        </w:tc>
        <w:tc>
          <w:tcPr>
            <w:tcW w:w="6100" w:type="dxa"/>
            <w:vAlign w:val="bottom"/>
          </w:tcPr>
          <w:p>
            <w:pPr>
              <w:ind w:left="1260"/>
              <w:spacing w:after="0"/>
              <w:rPr>
                <w:sz w:val="20"/>
                <w:szCs w:val="20"/>
                <w:color w:val="auto"/>
              </w:rPr>
            </w:pPr>
            <w:r>
              <w:rPr>
                <w:rFonts w:ascii="Arial" w:cs="Arial" w:eastAsia="Arial" w:hAnsi="Arial"/>
                <w:sz w:val="17"/>
                <w:szCs w:val="17"/>
                <w:color w:val="auto"/>
              </w:rPr>
              <w:t>offering.</w:t>
            </w:r>
          </w:p>
        </w:tc>
        <w:tc>
          <w:tcPr>
            <w:tcW w:w="0" w:type="dxa"/>
            <w:vAlign w:val="bottom"/>
          </w:tcPr>
          <w:p>
            <w:pPr>
              <w:spacing w:after="0"/>
              <w:rPr>
                <w:sz w:val="1"/>
                <w:szCs w:val="1"/>
                <w:color w:val="auto"/>
              </w:rPr>
            </w:pPr>
          </w:p>
        </w:tc>
      </w:tr>
      <w:tr>
        <w:trPr>
          <w:trHeight w:val="249"/>
        </w:trPr>
        <w:tc>
          <w:tcPr>
            <w:tcW w:w="4220" w:type="dxa"/>
            <w:vAlign w:val="bottom"/>
          </w:tcPr>
          <w:p>
            <w:pPr>
              <w:spacing w:after="0"/>
              <w:rPr>
                <w:sz w:val="20"/>
                <w:szCs w:val="20"/>
                <w:color w:val="auto"/>
              </w:rPr>
            </w:pPr>
            <w:r>
              <w:rPr>
                <w:rFonts w:ascii="Arial" w:cs="Arial" w:eastAsia="Arial" w:hAnsi="Arial"/>
                <w:sz w:val="17"/>
                <w:szCs w:val="17"/>
                <w:color w:val="auto"/>
              </w:rPr>
              <w:t>Directed share program</w:t>
            </w:r>
          </w:p>
        </w:tc>
        <w:tc>
          <w:tcPr>
            <w:tcW w:w="6100" w:type="dxa"/>
            <w:vAlign w:val="bottom"/>
          </w:tcPr>
          <w:p>
            <w:pPr>
              <w:ind w:left="1260"/>
              <w:spacing w:after="0"/>
              <w:rPr>
                <w:sz w:val="20"/>
                <w:szCs w:val="20"/>
                <w:color w:val="auto"/>
              </w:rPr>
            </w:pPr>
            <w:r>
              <w:rPr>
                <w:rFonts w:ascii="Arial" w:cs="Arial" w:eastAsia="Arial" w:hAnsi="Arial"/>
                <w:sz w:val="17"/>
                <w:szCs w:val="17"/>
                <w:color w:val="auto"/>
              </w:rPr>
              <w:t>At our request, the underwriters have reserved up to 3% of the</w:t>
            </w:r>
          </w:p>
        </w:tc>
        <w:tc>
          <w:tcPr>
            <w:tcW w:w="0" w:type="dxa"/>
            <w:vAlign w:val="bottom"/>
          </w:tcPr>
          <w:p>
            <w:pPr>
              <w:spacing w:after="0"/>
              <w:rPr>
                <w:sz w:val="1"/>
                <w:szCs w:val="1"/>
                <w:color w:val="auto"/>
              </w:rPr>
            </w:pPr>
          </w:p>
        </w:tc>
      </w:tr>
      <w:tr>
        <w:trPr>
          <w:trHeight w:val="197"/>
        </w:trPr>
        <w:tc>
          <w:tcPr>
            <w:tcW w:w="4220" w:type="dxa"/>
            <w:vAlign w:val="bottom"/>
          </w:tcPr>
          <w:p>
            <w:pPr>
              <w:spacing w:after="0"/>
              <w:rPr>
                <w:sz w:val="17"/>
                <w:szCs w:val="17"/>
                <w:color w:val="auto"/>
              </w:rPr>
            </w:pPr>
          </w:p>
        </w:tc>
        <w:tc>
          <w:tcPr>
            <w:tcW w:w="6100" w:type="dxa"/>
            <w:vAlign w:val="bottom"/>
          </w:tcPr>
          <w:p>
            <w:pPr>
              <w:ind w:left="1260"/>
              <w:spacing w:after="0"/>
              <w:rPr>
                <w:sz w:val="20"/>
                <w:szCs w:val="20"/>
                <w:color w:val="auto"/>
              </w:rPr>
            </w:pPr>
            <w:r>
              <w:rPr>
                <w:rFonts w:ascii="Arial" w:cs="Arial" w:eastAsia="Arial" w:hAnsi="Arial"/>
                <w:sz w:val="17"/>
                <w:szCs w:val="17"/>
                <w:color w:val="auto"/>
              </w:rPr>
              <w:t>shares of common stock for sale at the initial public offering</w:t>
            </w:r>
          </w:p>
        </w:tc>
        <w:tc>
          <w:tcPr>
            <w:tcW w:w="0" w:type="dxa"/>
            <w:vAlign w:val="bottom"/>
          </w:tcPr>
          <w:p>
            <w:pPr>
              <w:spacing w:after="0"/>
              <w:rPr>
                <w:sz w:val="1"/>
                <w:szCs w:val="1"/>
                <w:color w:val="auto"/>
              </w:rPr>
            </w:pPr>
          </w:p>
        </w:tc>
      </w:tr>
      <w:tr>
        <w:trPr>
          <w:trHeight w:val="197"/>
        </w:trPr>
        <w:tc>
          <w:tcPr>
            <w:tcW w:w="4220" w:type="dxa"/>
            <w:vAlign w:val="bottom"/>
          </w:tcPr>
          <w:p>
            <w:pPr>
              <w:spacing w:after="0"/>
              <w:rPr>
                <w:sz w:val="17"/>
                <w:szCs w:val="17"/>
                <w:color w:val="auto"/>
              </w:rPr>
            </w:pPr>
          </w:p>
        </w:tc>
        <w:tc>
          <w:tcPr>
            <w:tcW w:w="6100" w:type="dxa"/>
            <w:vAlign w:val="bottom"/>
          </w:tcPr>
          <w:p>
            <w:pPr>
              <w:ind w:left="1260"/>
              <w:spacing w:after="0"/>
              <w:rPr>
                <w:sz w:val="20"/>
                <w:szCs w:val="20"/>
                <w:color w:val="auto"/>
              </w:rPr>
            </w:pPr>
            <w:r>
              <w:rPr>
                <w:rFonts w:ascii="Arial" w:cs="Arial" w:eastAsia="Arial" w:hAnsi="Arial"/>
                <w:sz w:val="17"/>
                <w:szCs w:val="17"/>
                <w:color w:val="auto"/>
              </w:rPr>
              <w:t>price to persons who are directors, officers or employees, or</w:t>
            </w:r>
          </w:p>
        </w:tc>
        <w:tc>
          <w:tcPr>
            <w:tcW w:w="0" w:type="dxa"/>
            <w:vAlign w:val="bottom"/>
          </w:tcPr>
          <w:p>
            <w:pPr>
              <w:spacing w:after="0"/>
              <w:rPr>
                <w:sz w:val="1"/>
                <w:szCs w:val="1"/>
                <w:color w:val="auto"/>
              </w:rPr>
            </w:pPr>
          </w:p>
        </w:tc>
      </w:tr>
      <w:tr>
        <w:trPr>
          <w:trHeight w:val="197"/>
        </w:trPr>
        <w:tc>
          <w:tcPr>
            <w:tcW w:w="4220" w:type="dxa"/>
            <w:vAlign w:val="bottom"/>
          </w:tcPr>
          <w:p>
            <w:pPr>
              <w:spacing w:after="0"/>
              <w:rPr>
                <w:sz w:val="17"/>
                <w:szCs w:val="17"/>
                <w:color w:val="auto"/>
              </w:rPr>
            </w:pPr>
          </w:p>
        </w:tc>
        <w:tc>
          <w:tcPr>
            <w:tcW w:w="6100" w:type="dxa"/>
            <w:vAlign w:val="bottom"/>
          </w:tcPr>
          <w:p>
            <w:pPr>
              <w:ind w:left="1260"/>
              <w:spacing w:after="0"/>
              <w:rPr>
                <w:sz w:val="20"/>
                <w:szCs w:val="20"/>
                <w:color w:val="auto"/>
              </w:rPr>
            </w:pPr>
            <w:r>
              <w:rPr>
                <w:rFonts w:ascii="Arial" w:cs="Arial" w:eastAsia="Arial" w:hAnsi="Arial"/>
                <w:sz w:val="17"/>
                <w:szCs w:val="17"/>
                <w:color w:val="auto"/>
              </w:rPr>
              <w:t>who are otherwise associated with us, through a directed</w:t>
            </w:r>
          </w:p>
        </w:tc>
        <w:tc>
          <w:tcPr>
            <w:tcW w:w="0" w:type="dxa"/>
            <w:vAlign w:val="bottom"/>
          </w:tcPr>
          <w:p>
            <w:pPr>
              <w:spacing w:after="0"/>
              <w:rPr>
                <w:sz w:val="1"/>
                <w:szCs w:val="1"/>
                <w:color w:val="auto"/>
              </w:rPr>
            </w:pPr>
          </w:p>
        </w:tc>
      </w:tr>
      <w:tr>
        <w:trPr>
          <w:trHeight w:val="197"/>
        </w:trPr>
        <w:tc>
          <w:tcPr>
            <w:tcW w:w="4220" w:type="dxa"/>
            <w:vAlign w:val="bottom"/>
          </w:tcPr>
          <w:p>
            <w:pPr>
              <w:spacing w:after="0"/>
              <w:rPr>
                <w:sz w:val="17"/>
                <w:szCs w:val="17"/>
                <w:color w:val="auto"/>
              </w:rPr>
            </w:pPr>
          </w:p>
        </w:tc>
        <w:tc>
          <w:tcPr>
            <w:tcW w:w="6100" w:type="dxa"/>
            <w:vAlign w:val="bottom"/>
          </w:tcPr>
          <w:p>
            <w:pPr>
              <w:ind w:left="1260"/>
              <w:spacing w:after="0"/>
              <w:rPr>
                <w:sz w:val="20"/>
                <w:szCs w:val="20"/>
                <w:color w:val="auto"/>
              </w:rPr>
            </w:pPr>
            <w:r>
              <w:rPr>
                <w:rFonts w:ascii="Arial" w:cs="Arial" w:eastAsia="Arial" w:hAnsi="Arial"/>
                <w:sz w:val="17"/>
                <w:szCs w:val="17"/>
                <w:color w:val="auto"/>
              </w:rPr>
              <w:t>share program. Other than our officers and directors who are</w:t>
            </w:r>
          </w:p>
        </w:tc>
        <w:tc>
          <w:tcPr>
            <w:tcW w:w="0" w:type="dxa"/>
            <w:vAlign w:val="bottom"/>
          </w:tcPr>
          <w:p>
            <w:pPr>
              <w:spacing w:after="0"/>
              <w:rPr>
                <w:sz w:val="1"/>
                <w:szCs w:val="1"/>
                <w:color w:val="auto"/>
              </w:rPr>
            </w:pPr>
          </w:p>
        </w:tc>
      </w:tr>
      <w:tr>
        <w:trPr>
          <w:trHeight w:val="197"/>
        </w:trPr>
        <w:tc>
          <w:tcPr>
            <w:tcW w:w="4220" w:type="dxa"/>
            <w:vAlign w:val="bottom"/>
          </w:tcPr>
          <w:p>
            <w:pPr>
              <w:spacing w:after="0"/>
              <w:rPr>
                <w:sz w:val="17"/>
                <w:szCs w:val="17"/>
                <w:color w:val="auto"/>
              </w:rPr>
            </w:pPr>
          </w:p>
        </w:tc>
        <w:tc>
          <w:tcPr>
            <w:tcW w:w="6100" w:type="dxa"/>
            <w:vAlign w:val="bottom"/>
          </w:tcPr>
          <w:p>
            <w:pPr>
              <w:ind w:left="1260"/>
              <w:spacing w:after="0"/>
              <w:rPr>
                <w:sz w:val="20"/>
                <w:szCs w:val="20"/>
                <w:color w:val="auto"/>
              </w:rPr>
            </w:pPr>
            <w:r>
              <w:rPr>
                <w:rFonts w:ascii="Arial" w:cs="Arial" w:eastAsia="Arial" w:hAnsi="Arial"/>
                <w:sz w:val="17"/>
                <w:szCs w:val="17"/>
                <w:color w:val="auto"/>
              </w:rPr>
              <w:t>subject to a 180 day lock-up, individuals who purchase shares</w:t>
            </w:r>
          </w:p>
        </w:tc>
        <w:tc>
          <w:tcPr>
            <w:tcW w:w="0" w:type="dxa"/>
            <w:vAlign w:val="bottom"/>
          </w:tcPr>
          <w:p>
            <w:pPr>
              <w:spacing w:after="0"/>
              <w:rPr>
                <w:sz w:val="1"/>
                <w:szCs w:val="1"/>
                <w:color w:val="auto"/>
              </w:rPr>
            </w:pPr>
          </w:p>
        </w:tc>
      </w:tr>
      <w:tr>
        <w:trPr>
          <w:trHeight w:val="197"/>
        </w:trPr>
        <w:tc>
          <w:tcPr>
            <w:tcW w:w="4220" w:type="dxa"/>
            <w:vAlign w:val="bottom"/>
          </w:tcPr>
          <w:p>
            <w:pPr>
              <w:spacing w:after="0"/>
              <w:rPr>
                <w:sz w:val="17"/>
                <w:szCs w:val="17"/>
                <w:color w:val="auto"/>
              </w:rPr>
            </w:pPr>
          </w:p>
        </w:tc>
        <w:tc>
          <w:tcPr>
            <w:tcW w:w="6100" w:type="dxa"/>
            <w:vAlign w:val="bottom"/>
          </w:tcPr>
          <w:p>
            <w:pPr>
              <w:ind w:left="1260"/>
              <w:spacing w:after="0"/>
              <w:rPr>
                <w:sz w:val="20"/>
                <w:szCs w:val="20"/>
                <w:color w:val="auto"/>
              </w:rPr>
            </w:pPr>
            <w:r>
              <w:rPr>
                <w:rFonts w:ascii="Arial" w:cs="Arial" w:eastAsia="Arial" w:hAnsi="Arial"/>
                <w:sz w:val="17"/>
                <w:szCs w:val="17"/>
                <w:color w:val="auto"/>
              </w:rPr>
              <w:t>in the directed share program will be subject to a 90 day lock-</w:t>
            </w:r>
          </w:p>
        </w:tc>
        <w:tc>
          <w:tcPr>
            <w:tcW w:w="0" w:type="dxa"/>
            <w:vAlign w:val="bottom"/>
          </w:tcPr>
          <w:p>
            <w:pPr>
              <w:spacing w:after="0"/>
              <w:rPr>
                <w:sz w:val="1"/>
                <w:szCs w:val="1"/>
                <w:color w:val="auto"/>
              </w:rPr>
            </w:pPr>
          </w:p>
        </w:tc>
      </w:tr>
      <w:tr>
        <w:trPr>
          <w:trHeight w:val="197"/>
        </w:trPr>
        <w:tc>
          <w:tcPr>
            <w:tcW w:w="4220" w:type="dxa"/>
            <w:vAlign w:val="bottom"/>
          </w:tcPr>
          <w:p>
            <w:pPr>
              <w:spacing w:after="0"/>
              <w:rPr>
                <w:sz w:val="17"/>
                <w:szCs w:val="17"/>
                <w:color w:val="auto"/>
              </w:rPr>
            </w:pPr>
          </w:p>
        </w:tc>
        <w:tc>
          <w:tcPr>
            <w:tcW w:w="6100" w:type="dxa"/>
            <w:vAlign w:val="bottom"/>
          </w:tcPr>
          <w:p>
            <w:pPr>
              <w:ind w:left="1260"/>
              <w:spacing w:after="0"/>
              <w:rPr>
                <w:sz w:val="20"/>
                <w:szCs w:val="20"/>
                <w:color w:val="auto"/>
              </w:rPr>
            </w:pPr>
            <w:r>
              <w:rPr>
                <w:rFonts w:ascii="Arial" w:cs="Arial" w:eastAsia="Arial" w:hAnsi="Arial"/>
                <w:sz w:val="17"/>
                <w:szCs w:val="17"/>
                <w:color w:val="auto"/>
              </w:rPr>
              <w:t>up. Any directed shares not purchased will be offered by the</w:t>
            </w:r>
          </w:p>
        </w:tc>
        <w:tc>
          <w:tcPr>
            <w:tcW w:w="0" w:type="dxa"/>
            <w:vAlign w:val="bottom"/>
          </w:tcPr>
          <w:p>
            <w:pPr>
              <w:spacing w:after="0"/>
              <w:rPr>
                <w:sz w:val="1"/>
                <w:szCs w:val="1"/>
                <w:color w:val="auto"/>
              </w:rPr>
            </w:pPr>
          </w:p>
        </w:tc>
      </w:tr>
      <w:tr>
        <w:trPr>
          <w:trHeight w:val="197"/>
        </w:trPr>
        <w:tc>
          <w:tcPr>
            <w:tcW w:w="4220" w:type="dxa"/>
            <w:vAlign w:val="bottom"/>
          </w:tcPr>
          <w:p>
            <w:pPr>
              <w:spacing w:after="0"/>
              <w:rPr>
                <w:sz w:val="17"/>
                <w:szCs w:val="17"/>
                <w:color w:val="auto"/>
              </w:rPr>
            </w:pPr>
          </w:p>
        </w:tc>
        <w:tc>
          <w:tcPr>
            <w:tcW w:w="6100" w:type="dxa"/>
            <w:vAlign w:val="bottom"/>
          </w:tcPr>
          <w:p>
            <w:pPr>
              <w:ind w:left="1260"/>
              <w:spacing w:after="0"/>
              <w:rPr>
                <w:sz w:val="20"/>
                <w:szCs w:val="20"/>
                <w:color w:val="auto"/>
              </w:rPr>
            </w:pPr>
            <w:r>
              <w:rPr>
                <w:rFonts w:ascii="Arial" w:cs="Arial" w:eastAsia="Arial" w:hAnsi="Arial"/>
                <w:sz w:val="17"/>
                <w:szCs w:val="17"/>
                <w:color w:val="auto"/>
              </w:rPr>
              <w:t>underwriters to the general public on the same basis as all</w:t>
            </w:r>
          </w:p>
        </w:tc>
        <w:tc>
          <w:tcPr>
            <w:tcW w:w="0" w:type="dxa"/>
            <w:vAlign w:val="bottom"/>
          </w:tcPr>
          <w:p>
            <w:pPr>
              <w:spacing w:after="0"/>
              <w:rPr>
                <w:sz w:val="1"/>
                <w:szCs w:val="1"/>
                <w:color w:val="auto"/>
              </w:rPr>
            </w:pPr>
          </w:p>
        </w:tc>
      </w:tr>
      <w:tr>
        <w:trPr>
          <w:trHeight w:val="197"/>
        </w:trPr>
        <w:tc>
          <w:tcPr>
            <w:tcW w:w="4220" w:type="dxa"/>
            <w:vAlign w:val="bottom"/>
          </w:tcPr>
          <w:p>
            <w:pPr>
              <w:spacing w:after="0"/>
              <w:rPr>
                <w:sz w:val="17"/>
                <w:szCs w:val="17"/>
                <w:color w:val="auto"/>
              </w:rPr>
            </w:pPr>
          </w:p>
        </w:tc>
        <w:tc>
          <w:tcPr>
            <w:tcW w:w="6100" w:type="dxa"/>
            <w:vAlign w:val="bottom"/>
          </w:tcPr>
          <w:p>
            <w:pPr>
              <w:ind w:left="1260"/>
              <w:spacing w:after="0"/>
              <w:rPr>
                <w:sz w:val="20"/>
                <w:szCs w:val="20"/>
                <w:color w:val="auto"/>
              </w:rPr>
            </w:pPr>
            <w:r>
              <w:rPr>
                <w:rFonts w:ascii="Arial" w:cs="Arial" w:eastAsia="Arial" w:hAnsi="Arial"/>
                <w:sz w:val="17"/>
                <w:szCs w:val="17"/>
                <w:color w:val="auto"/>
              </w:rPr>
              <w:t>other shares offered. See the “Underwriting” section of this</w:t>
            </w:r>
          </w:p>
        </w:tc>
        <w:tc>
          <w:tcPr>
            <w:tcW w:w="0" w:type="dxa"/>
            <w:vAlign w:val="bottom"/>
          </w:tcPr>
          <w:p>
            <w:pPr>
              <w:spacing w:after="0"/>
              <w:rPr>
                <w:sz w:val="1"/>
                <w:szCs w:val="1"/>
                <w:color w:val="auto"/>
              </w:rPr>
            </w:pPr>
          </w:p>
        </w:tc>
      </w:tr>
      <w:tr>
        <w:trPr>
          <w:trHeight w:val="197"/>
        </w:trPr>
        <w:tc>
          <w:tcPr>
            <w:tcW w:w="4220" w:type="dxa"/>
            <w:vAlign w:val="bottom"/>
          </w:tcPr>
          <w:p>
            <w:pPr>
              <w:spacing w:after="0"/>
              <w:rPr>
                <w:sz w:val="17"/>
                <w:szCs w:val="17"/>
                <w:color w:val="auto"/>
              </w:rPr>
            </w:pPr>
          </w:p>
        </w:tc>
        <w:tc>
          <w:tcPr>
            <w:tcW w:w="6100" w:type="dxa"/>
            <w:vAlign w:val="bottom"/>
          </w:tcPr>
          <w:p>
            <w:pPr>
              <w:ind w:left="1260"/>
              <w:spacing w:after="0"/>
              <w:rPr>
                <w:sz w:val="20"/>
                <w:szCs w:val="20"/>
                <w:color w:val="auto"/>
              </w:rPr>
            </w:pPr>
            <w:r>
              <w:rPr>
                <w:rFonts w:ascii="Arial" w:cs="Arial" w:eastAsia="Arial" w:hAnsi="Arial"/>
                <w:sz w:val="17"/>
                <w:szCs w:val="17"/>
                <w:color w:val="auto"/>
              </w:rPr>
              <w:t>prospectus for a complete description of the directed share</w:t>
            </w:r>
          </w:p>
        </w:tc>
        <w:tc>
          <w:tcPr>
            <w:tcW w:w="0" w:type="dxa"/>
            <w:vAlign w:val="bottom"/>
          </w:tcPr>
          <w:p>
            <w:pPr>
              <w:spacing w:after="0"/>
              <w:rPr>
                <w:sz w:val="1"/>
                <w:szCs w:val="1"/>
                <w:color w:val="auto"/>
              </w:rPr>
            </w:pPr>
          </w:p>
        </w:tc>
      </w:tr>
      <w:tr>
        <w:trPr>
          <w:trHeight w:val="210"/>
        </w:trPr>
        <w:tc>
          <w:tcPr>
            <w:tcW w:w="4220" w:type="dxa"/>
            <w:vAlign w:val="bottom"/>
          </w:tcPr>
          <w:p>
            <w:pPr>
              <w:spacing w:after="0"/>
              <w:rPr>
                <w:sz w:val="18"/>
                <w:szCs w:val="18"/>
                <w:color w:val="auto"/>
              </w:rPr>
            </w:pPr>
          </w:p>
        </w:tc>
        <w:tc>
          <w:tcPr>
            <w:tcW w:w="6100" w:type="dxa"/>
            <w:vAlign w:val="bottom"/>
          </w:tcPr>
          <w:p>
            <w:pPr>
              <w:ind w:left="1260"/>
              <w:spacing w:after="0"/>
              <w:rPr>
                <w:sz w:val="20"/>
                <w:szCs w:val="20"/>
                <w:color w:val="auto"/>
              </w:rPr>
            </w:pPr>
            <w:r>
              <w:rPr>
                <w:rFonts w:ascii="Arial" w:cs="Arial" w:eastAsia="Arial" w:hAnsi="Arial"/>
                <w:sz w:val="17"/>
                <w:szCs w:val="17"/>
                <w:color w:val="auto"/>
              </w:rPr>
              <w:t>program.</w:t>
            </w:r>
          </w:p>
        </w:tc>
        <w:tc>
          <w:tcPr>
            <w:tcW w:w="0" w:type="dxa"/>
            <w:vAlign w:val="bottom"/>
          </w:tcPr>
          <w:p>
            <w:pPr>
              <w:spacing w:after="0"/>
              <w:rPr>
                <w:sz w:val="1"/>
                <w:szCs w:val="1"/>
                <w:color w:val="auto"/>
              </w:rPr>
            </w:pPr>
          </w:p>
        </w:tc>
      </w:tr>
      <w:tr>
        <w:trPr>
          <w:trHeight w:val="249"/>
        </w:trPr>
        <w:tc>
          <w:tcPr>
            <w:tcW w:w="4220" w:type="dxa"/>
            <w:vAlign w:val="bottom"/>
          </w:tcPr>
          <w:p>
            <w:pPr>
              <w:spacing w:after="0"/>
              <w:rPr>
                <w:sz w:val="20"/>
                <w:szCs w:val="20"/>
                <w:color w:val="auto"/>
              </w:rPr>
            </w:pPr>
            <w:r>
              <w:rPr>
                <w:rFonts w:ascii="Arial" w:cs="Arial" w:eastAsia="Arial" w:hAnsi="Arial"/>
                <w:sz w:val="17"/>
                <w:szCs w:val="17"/>
                <w:color w:val="auto"/>
              </w:rPr>
              <w:t>Risk factors</w:t>
            </w:r>
          </w:p>
        </w:tc>
        <w:tc>
          <w:tcPr>
            <w:tcW w:w="6100" w:type="dxa"/>
            <w:vAlign w:val="bottom"/>
          </w:tcPr>
          <w:p>
            <w:pPr>
              <w:ind w:left="1260"/>
              <w:spacing w:after="0"/>
              <w:rPr>
                <w:sz w:val="20"/>
                <w:szCs w:val="20"/>
                <w:color w:val="auto"/>
              </w:rPr>
            </w:pPr>
            <w:r>
              <w:rPr>
                <w:rFonts w:ascii="Arial" w:cs="Arial" w:eastAsia="Arial" w:hAnsi="Arial"/>
                <w:sz w:val="17"/>
                <w:szCs w:val="17"/>
                <w:color w:val="auto"/>
              </w:rPr>
              <w:t>You should read the “Risk Factors” section of this prospectus</w:t>
            </w:r>
          </w:p>
        </w:tc>
        <w:tc>
          <w:tcPr>
            <w:tcW w:w="0" w:type="dxa"/>
            <w:vAlign w:val="bottom"/>
          </w:tcPr>
          <w:p>
            <w:pPr>
              <w:spacing w:after="0"/>
              <w:rPr>
                <w:sz w:val="1"/>
                <w:szCs w:val="1"/>
                <w:color w:val="auto"/>
              </w:rPr>
            </w:pPr>
          </w:p>
        </w:tc>
      </w:tr>
      <w:tr>
        <w:trPr>
          <w:trHeight w:val="197"/>
        </w:trPr>
        <w:tc>
          <w:tcPr>
            <w:tcW w:w="4220" w:type="dxa"/>
            <w:vAlign w:val="bottom"/>
          </w:tcPr>
          <w:p>
            <w:pPr>
              <w:spacing w:after="0"/>
              <w:rPr>
                <w:sz w:val="17"/>
                <w:szCs w:val="17"/>
                <w:color w:val="auto"/>
              </w:rPr>
            </w:pPr>
          </w:p>
        </w:tc>
        <w:tc>
          <w:tcPr>
            <w:tcW w:w="6100" w:type="dxa"/>
            <w:vAlign w:val="bottom"/>
          </w:tcPr>
          <w:p>
            <w:pPr>
              <w:ind w:left="1260"/>
              <w:spacing w:after="0"/>
              <w:rPr>
                <w:sz w:val="20"/>
                <w:szCs w:val="20"/>
                <w:color w:val="auto"/>
              </w:rPr>
            </w:pPr>
            <w:r>
              <w:rPr>
                <w:rFonts w:ascii="Arial" w:cs="Arial" w:eastAsia="Arial" w:hAnsi="Arial"/>
                <w:sz w:val="17"/>
                <w:szCs w:val="17"/>
                <w:color w:val="auto"/>
              </w:rPr>
              <w:t>for a discussion of factors to consider carefully before deciding</w:t>
            </w:r>
          </w:p>
        </w:tc>
        <w:tc>
          <w:tcPr>
            <w:tcW w:w="0" w:type="dxa"/>
            <w:vAlign w:val="bottom"/>
          </w:tcPr>
          <w:p>
            <w:pPr>
              <w:spacing w:after="0"/>
              <w:rPr>
                <w:sz w:val="1"/>
                <w:szCs w:val="1"/>
                <w:color w:val="auto"/>
              </w:rPr>
            </w:pPr>
          </w:p>
        </w:tc>
      </w:tr>
      <w:tr>
        <w:trPr>
          <w:trHeight w:val="210"/>
        </w:trPr>
        <w:tc>
          <w:tcPr>
            <w:tcW w:w="4220" w:type="dxa"/>
            <w:vAlign w:val="bottom"/>
          </w:tcPr>
          <w:p>
            <w:pPr>
              <w:spacing w:after="0"/>
              <w:rPr>
                <w:sz w:val="18"/>
                <w:szCs w:val="18"/>
                <w:color w:val="auto"/>
              </w:rPr>
            </w:pPr>
          </w:p>
        </w:tc>
        <w:tc>
          <w:tcPr>
            <w:tcW w:w="6100" w:type="dxa"/>
            <w:vAlign w:val="bottom"/>
          </w:tcPr>
          <w:p>
            <w:pPr>
              <w:ind w:left="1260"/>
              <w:spacing w:after="0"/>
              <w:rPr>
                <w:sz w:val="20"/>
                <w:szCs w:val="20"/>
                <w:color w:val="auto"/>
              </w:rPr>
            </w:pPr>
            <w:r>
              <w:rPr>
                <w:rFonts w:ascii="Arial" w:cs="Arial" w:eastAsia="Arial" w:hAnsi="Arial"/>
                <w:sz w:val="17"/>
                <w:szCs w:val="17"/>
                <w:color w:val="auto"/>
              </w:rPr>
              <w:t>to invest in shares of our common stock.</w:t>
            </w:r>
          </w:p>
        </w:tc>
        <w:tc>
          <w:tcPr>
            <w:tcW w:w="0" w:type="dxa"/>
            <w:vAlign w:val="bottom"/>
          </w:tcPr>
          <w:p>
            <w:pPr>
              <w:spacing w:after="0"/>
              <w:rPr>
                <w:sz w:val="1"/>
                <w:szCs w:val="1"/>
                <w:color w:val="auto"/>
              </w:rPr>
            </w:pPr>
          </w:p>
        </w:tc>
      </w:tr>
      <w:tr>
        <w:trPr>
          <w:trHeight w:val="262"/>
        </w:trPr>
        <w:tc>
          <w:tcPr>
            <w:tcW w:w="4220" w:type="dxa"/>
            <w:vAlign w:val="bottom"/>
          </w:tcPr>
          <w:p>
            <w:pPr>
              <w:spacing w:after="0"/>
              <w:rPr>
                <w:sz w:val="20"/>
                <w:szCs w:val="20"/>
                <w:color w:val="auto"/>
              </w:rPr>
            </w:pPr>
            <w:r>
              <w:rPr>
                <w:rFonts w:ascii="Arial" w:cs="Arial" w:eastAsia="Arial" w:hAnsi="Arial"/>
                <w:sz w:val="17"/>
                <w:szCs w:val="17"/>
                <w:color w:val="auto"/>
              </w:rPr>
              <w:t>Nasdaq Global Select Market symbol</w:t>
            </w:r>
          </w:p>
        </w:tc>
        <w:tc>
          <w:tcPr>
            <w:tcW w:w="6100" w:type="dxa"/>
            <w:vAlign w:val="bottom"/>
          </w:tcPr>
          <w:p>
            <w:pPr>
              <w:ind w:left="1260"/>
              <w:spacing w:after="0"/>
              <w:rPr>
                <w:sz w:val="20"/>
                <w:szCs w:val="20"/>
                <w:color w:val="auto"/>
              </w:rPr>
            </w:pPr>
            <w:r>
              <w:rPr>
                <w:rFonts w:ascii="Arial" w:cs="Arial" w:eastAsia="Arial" w:hAnsi="Arial"/>
                <w:sz w:val="17"/>
                <w:szCs w:val="17"/>
                <w:color w:val="auto"/>
              </w:rPr>
              <w:t>“ARVN”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ind w:left="540" w:right="140" w:firstLine="517"/>
        <w:spacing w:after="0" w:line="247" w:lineRule="auto"/>
        <w:rPr>
          <w:sz w:val="20"/>
          <w:szCs w:val="20"/>
          <w:color w:val="auto"/>
        </w:rPr>
      </w:pPr>
      <w:r>
        <w:rPr>
          <w:rFonts w:ascii="Arial" w:cs="Arial" w:eastAsia="Arial" w:hAnsi="Arial"/>
          <w:sz w:val="17"/>
          <w:szCs w:val="17"/>
          <w:color w:val="auto"/>
        </w:rPr>
        <w:t>The number of shares of our common stock to be outstanding after this offering is based on 1,897,544 shares of our common stock outstanding as of August 31, 2018, 3,063,276 additional shares of our common stock issuable upon conversion of our outstanding incentive units in connection with the Conversion and 19,697,928 additional shares of our common stock issuable upon the automatic conversion of all outstanding shares of our preferred stock upon the closing of this offering.</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860"/>
          </w:cols>
          <w:pgMar w:left="240" w:top="449" w:right="79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201295</wp:posOffset>
            </wp:positionV>
            <wp:extent cx="6797040" cy="46412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97040" cy="464121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The number of shares of our common stock to be outstanding after this offering excludes:</w:t>
      </w:r>
    </w:p>
    <w:p>
      <w:pPr>
        <w:spacing w:after="0" w:line="119" w:lineRule="exact"/>
        <w:rPr>
          <w:sz w:val="20"/>
          <w:szCs w:val="20"/>
          <w:color w:val="auto"/>
        </w:rPr>
      </w:pPr>
    </w:p>
    <w:p>
      <w:pPr>
        <w:ind w:left="1240" w:right="40" w:hanging="186"/>
        <w:spacing w:after="0" w:line="259" w:lineRule="auto"/>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2,018,180 shares of our common stock that are issuable upon the exercise of options that we granted in connection with the Conversion under our 2018 stock incentive plan, at an exercise price per share equal to the initial public offering price;</w:t>
      </w:r>
    </w:p>
    <w:p>
      <w:pPr>
        <w:spacing w:after="0" w:line="89" w:lineRule="exact"/>
        <w:rPr>
          <w:rFonts w:ascii="Arial" w:cs="Arial" w:eastAsia="Arial" w:hAnsi="Arial"/>
          <w:sz w:val="17"/>
          <w:szCs w:val="17"/>
          <w:color w:val="auto"/>
        </w:rPr>
      </w:pPr>
    </w:p>
    <w:p>
      <w:pPr>
        <w:ind w:left="1240" w:right="60" w:hanging="186"/>
        <w:spacing w:after="0" w:line="247" w:lineRule="auto"/>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2,048,827 additional shares of our common stock that are available for future issuance under our 2018 stock incentive plan, of which we granted options to purchase an aggregate of 186,150 shares of our common stock at an exercise price per share equal to the initial public offering price to certain recently hired employees following effectiveness of the registration statement of which this prospectus forms a part; and</w:t>
      </w:r>
    </w:p>
    <w:p>
      <w:pPr>
        <w:spacing w:after="0" w:line="99" w:lineRule="exact"/>
        <w:rPr>
          <w:rFonts w:ascii="Arial" w:cs="Arial" w:eastAsia="Arial" w:hAnsi="Arial"/>
          <w:sz w:val="17"/>
          <w:szCs w:val="17"/>
          <w:color w:val="auto"/>
        </w:rPr>
      </w:pPr>
    </w:p>
    <w:p>
      <w:pPr>
        <w:ind w:left="1240" w:right="560" w:hanging="186"/>
        <w:spacing w:after="0" w:line="259" w:lineRule="auto"/>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311,850 additional shares of our common stock that are available for future issuance under our 2018 employee stock purchase plan.</w:t>
      </w:r>
    </w:p>
    <w:p>
      <w:pPr>
        <w:spacing w:after="0" w:line="181"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Unless otherwise indicated or the context otherwise requires, all information in this prospectus:</w:t>
      </w:r>
    </w:p>
    <w:p>
      <w:pPr>
        <w:spacing w:after="0" w:line="119" w:lineRule="exact"/>
        <w:rPr>
          <w:sz w:val="20"/>
          <w:szCs w:val="20"/>
          <w:color w:val="auto"/>
        </w:rPr>
      </w:pPr>
    </w:p>
    <w:p>
      <w:pPr>
        <w:ind w:left="1240" w:hanging="186"/>
        <w:spacing w:after="0"/>
        <w:tabs>
          <w:tab w:leader="none" w:pos="1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assumes a one-for-3.25 reverse split of our common units and incentive units that became effective on September 14, 2018;</w:t>
      </w:r>
    </w:p>
    <w:p>
      <w:pPr>
        <w:spacing w:after="0" w:line="119" w:lineRule="exact"/>
        <w:rPr>
          <w:rFonts w:ascii="Arial" w:cs="Arial" w:eastAsia="Arial" w:hAnsi="Arial"/>
          <w:sz w:val="17"/>
          <w:szCs w:val="17"/>
          <w:color w:val="auto"/>
        </w:rPr>
      </w:pPr>
    </w:p>
    <w:p>
      <w:pPr>
        <w:ind w:left="1240" w:right="40" w:hanging="186"/>
        <w:spacing w:after="0" w:line="241" w:lineRule="auto"/>
        <w:tabs>
          <w:tab w:leader="none" w:pos="1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assumes that the Conversion has occurred, including giving effect to the conversion of all outstanding incentive units into an aggregate of 3,063,276 shares of our common stock and the granting of options to purchase an aggregate of</w:t>
      </w:r>
    </w:p>
    <w:p>
      <w:pPr>
        <w:ind w:left="1240" w:right="60"/>
        <w:spacing w:after="0" w:line="259" w:lineRule="auto"/>
        <w:rPr>
          <w:rFonts w:ascii="Arial" w:cs="Arial" w:eastAsia="Arial" w:hAnsi="Arial"/>
          <w:sz w:val="17"/>
          <w:szCs w:val="17"/>
          <w:color w:val="auto"/>
        </w:rPr>
      </w:pPr>
      <w:r>
        <w:rPr>
          <w:rFonts w:ascii="Arial" w:cs="Arial" w:eastAsia="Arial" w:hAnsi="Arial"/>
          <w:sz w:val="17"/>
          <w:szCs w:val="17"/>
          <w:color w:val="auto"/>
        </w:rPr>
        <w:t>2,018,180 shares of our common stock in connection with the Conversion, based on the determined fair value of $16.00 per common unit;</w:t>
      </w:r>
    </w:p>
    <w:p>
      <w:pPr>
        <w:spacing w:after="0" w:line="89" w:lineRule="exact"/>
        <w:rPr>
          <w:rFonts w:ascii="Arial" w:cs="Arial" w:eastAsia="Arial" w:hAnsi="Arial"/>
          <w:sz w:val="17"/>
          <w:szCs w:val="17"/>
          <w:color w:val="auto"/>
        </w:rPr>
      </w:pPr>
    </w:p>
    <w:p>
      <w:pPr>
        <w:ind w:left="1240" w:right="360" w:hanging="186"/>
        <w:spacing w:after="0" w:line="259" w:lineRule="auto"/>
        <w:tabs>
          <w:tab w:leader="none" w:pos="1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gives effect to the automatic conversion of all outstanding shares of our preferred stock into an aggregate of 19,697,928 shares of our common stock upon the closing of this offering;</w:t>
      </w:r>
    </w:p>
    <w:p>
      <w:pPr>
        <w:spacing w:after="0" w:line="89" w:lineRule="exact"/>
        <w:rPr>
          <w:rFonts w:ascii="Arial" w:cs="Arial" w:eastAsia="Arial" w:hAnsi="Arial"/>
          <w:sz w:val="17"/>
          <w:szCs w:val="17"/>
          <w:color w:val="auto"/>
        </w:rPr>
      </w:pPr>
    </w:p>
    <w:p>
      <w:pPr>
        <w:ind w:left="1240" w:right="360" w:hanging="186"/>
        <w:spacing w:after="0" w:line="259" w:lineRule="auto"/>
        <w:tabs>
          <w:tab w:leader="none" w:pos="1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assumes no exercise by the underwriters of their option to purchase up to 1,125,000 additional shares of common stock from us; and</w:t>
      </w:r>
    </w:p>
    <w:p>
      <w:pPr>
        <w:spacing w:after="0" w:line="89" w:lineRule="exact"/>
        <w:rPr>
          <w:rFonts w:ascii="Arial" w:cs="Arial" w:eastAsia="Arial" w:hAnsi="Arial"/>
          <w:sz w:val="17"/>
          <w:szCs w:val="17"/>
          <w:color w:val="auto"/>
        </w:rPr>
      </w:pPr>
    </w:p>
    <w:p>
      <w:pPr>
        <w:ind w:left="1240" w:hanging="186"/>
        <w:spacing w:after="0" w:line="259" w:lineRule="auto"/>
        <w:tabs>
          <w:tab w:leader="none" w:pos="1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gives effect to the restatement of our certificate of incorporation and the amendment and restatement of our bylaws upon the closing of this offering.</w:t>
      </w:r>
    </w:p>
    <w:p>
      <w:pPr>
        <w:spacing w:after="0" w:line="181" w:lineRule="exact"/>
        <w:rPr>
          <w:sz w:val="20"/>
          <w:szCs w:val="20"/>
          <w:color w:val="auto"/>
        </w:rPr>
      </w:pPr>
    </w:p>
    <w:p>
      <w:pPr>
        <w:ind w:left="540" w:right="60" w:firstLine="517"/>
        <w:spacing w:after="0" w:line="244" w:lineRule="auto"/>
        <w:rPr>
          <w:sz w:val="20"/>
          <w:szCs w:val="20"/>
          <w:color w:val="auto"/>
        </w:rPr>
      </w:pPr>
      <w:r>
        <w:rPr>
          <w:rFonts w:ascii="Arial" w:cs="Arial" w:eastAsia="Arial" w:hAnsi="Arial"/>
          <w:sz w:val="17"/>
          <w:szCs w:val="17"/>
          <w:color w:val="auto"/>
        </w:rPr>
        <w:t>Certain of our existing principal stockholders and their affiliated entities have indicated an interest in purchasing an aggregate of approximately $53 million in shares of our common stock in this offering at the initial public offering price and on the same terms and conditions as the other purchasers in this offering. Based on these indications of interest, these potential purchasers would purchase an aggregate of approximately 3,312,500 of the 7,500,000 shares in this offering. However, because indications of interest are not binding agreements or commitments to purchase, the underwriters could determine to sell more, fewer or no shares to any of these potential purchasers, and any of these potential purchasers could determine to purchase more, fewer or no shares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840"/>
          </w:cols>
          <w:pgMar w:left="240" w:top="449" w:right="81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201295</wp:posOffset>
            </wp:positionV>
            <wp:extent cx="6797040" cy="54235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97040" cy="542353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3800"/>
        <w:spacing w:after="0"/>
        <w:rPr>
          <w:sz w:val="20"/>
          <w:szCs w:val="20"/>
          <w:color w:val="auto"/>
        </w:rPr>
      </w:pPr>
      <w:r>
        <w:rPr>
          <w:rFonts w:ascii="Arial" w:cs="Arial" w:eastAsia="Arial" w:hAnsi="Arial"/>
          <w:sz w:val="17"/>
          <w:szCs w:val="17"/>
          <w:b w:val="1"/>
          <w:bCs w:val="1"/>
          <w:color w:val="auto"/>
        </w:rPr>
        <w:t>SUMMARY CONSOLIDATED FINANCIAL DATA</w:t>
      </w:r>
    </w:p>
    <w:p>
      <w:pPr>
        <w:spacing w:after="0" w:line="215" w:lineRule="exact"/>
        <w:rPr>
          <w:sz w:val="20"/>
          <w:szCs w:val="20"/>
          <w:color w:val="auto"/>
        </w:rPr>
      </w:pPr>
    </w:p>
    <w:p>
      <w:pPr>
        <w:ind w:left="540" w:right="60" w:firstLine="517"/>
        <w:spacing w:after="0" w:line="246" w:lineRule="auto"/>
        <w:rPr>
          <w:sz w:val="20"/>
          <w:szCs w:val="20"/>
          <w:color w:val="auto"/>
        </w:rPr>
      </w:pPr>
      <w:r>
        <w:rPr>
          <w:rFonts w:ascii="Arial" w:cs="Arial" w:eastAsia="Arial" w:hAnsi="Arial"/>
          <w:sz w:val="17"/>
          <w:szCs w:val="17"/>
          <w:i w:val="1"/>
          <w:iCs w:val="1"/>
          <w:color w:val="auto"/>
        </w:rPr>
        <w:t>You should read the following summary consolidated financial data together with our consolidated financial statements and the related notes appearing at the end of this prospectus and the “Selected Consolidated Financial Data” and “Management’s Discussion and Analysis of Financial Condition and Results of Operations” sections of this prospectus. We have derived the statements of operations data for the years ended December 31, 2017 and 2016 from our audited consolidated financial statements appearing at the end of this prospectus. The consolidated interim statements of operations data for the six months ended June 30, 2018 and 2017 and the consolidated balance sheet data as of June 30, 2018 have been derived from our unaudited condensed consolidated financial statements appearing at the end of this prospectus and have been prepared on the same basis as the audited consolidated financial statements. Our historical results are not necessarily indicative of results that should be expected in any future period, and our results for any interim period are not necessarily indicative of results that should be expected for any full year.</w:t>
      </w:r>
    </w:p>
    <w:p>
      <w:pPr>
        <w:spacing w:after="0" w:line="210" w:lineRule="exact"/>
        <w:rPr>
          <w:sz w:val="20"/>
          <w:szCs w:val="20"/>
          <w:color w:val="auto"/>
        </w:rPr>
      </w:pPr>
    </w:p>
    <w:tbl>
      <w:tblPr>
        <w:tblLayout w:type="fixed"/>
        <w:tblInd w:w="540" w:type="dxa"/>
        <w:tblCellMar>
          <w:top w:w="0" w:type="dxa"/>
          <w:left w:w="0" w:type="dxa"/>
          <w:bottom w:w="0" w:type="dxa"/>
          <w:right w:w="0" w:type="dxa"/>
        </w:tblCellMar>
      </w:tblPr>
      <w:tr>
        <w:trPr>
          <w:trHeight w:val="169"/>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4"/>
                <w:szCs w:val="14"/>
                <w:color w:val="auto"/>
              </w:rPr>
            </w:pPr>
          </w:p>
        </w:tc>
        <w:tc>
          <w:tcPr>
            <w:tcW w:w="234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0"/>
        </w:trPr>
        <w:tc>
          <w:tcPr>
            <w:tcW w:w="51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56"/>
              <w:spacing w:after="0" w:line="151"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94"/>
              <w:spacing w:after="0" w:line="151"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55"/>
              <w:spacing w:after="0" w:line="151" w:lineRule="exact"/>
              <w:rPr>
                <w:sz w:val="20"/>
                <w:szCs w:val="20"/>
                <w:color w:val="auto"/>
              </w:rPr>
            </w:pPr>
            <w:r>
              <w:rPr>
                <w:rFonts w:ascii="Arial" w:cs="Arial" w:eastAsia="Arial" w:hAnsi="Arial"/>
                <w:sz w:val="14"/>
                <w:szCs w:val="14"/>
                <w:b w:val="1"/>
                <w:bCs w:val="1"/>
                <w:color w:val="auto"/>
              </w:rPr>
              <w:t>2018</w:t>
            </w:r>
          </w:p>
        </w:tc>
        <w:tc>
          <w:tcPr>
            <w:tcW w:w="4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94"/>
              <w:spacing w:after="0" w:line="151"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980" w:type="dxa"/>
            <w:vAlign w:val="bottom"/>
            <w:gridSpan w:val="10"/>
          </w:tcPr>
          <w:p>
            <w:pPr>
              <w:jc w:val="right"/>
              <w:ind w:right="574"/>
              <w:spacing w:after="0" w:line="151" w:lineRule="exact"/>
              <w:rPr>
                <w:sz w:val="20"/>
                <w:szCs w:val="20"/>
                <w:color w:val="auto"/>
              </w:rPr>
            </w:pPr>
            <w:r>
              <w:rPr>
                <w:rFonts w:ascii="Arial" w:cs="Arial" w:eastAsia="Arial" w:hAnsi="Arial"/>
                <w:sz w:val="14"/>
                <w:szCs w:val="14"/>
                <w:b w:val="1"/>
                <w:bCs w:val="1"/>
                <w:color w:val="auto"/>
              </w:rPr>
              <w:t>(in thousands, except unit/share and per unit/share data)</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5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Statements of Operations Data:</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120" w:type="dxa"/>
            <w:vAlign w:val="bottom"/>
          </w:tcPr>
          <w:p>
            <w:pPr>
              <w:spacing w:after="0"/>
              <w:rPr>
                <w:sz w:val="20"/>
                <w:szCs w:val="20"/>
                <w:color w:val="auto"/>
              </w:rPr>
            </w:pPr>
            <w:r>
              <w:rPr>
                <w:rFonts w:ascii="Arial" w:cs="Arial" w:eastAsia="Arial" w:hAnsi="Arial"/>
                <w:sz w:val="17"/>
                <w:szCs w:val="17"/>
                <w:color w:val="auto"/>
              </w:rPr>
              <w:t>Revenue</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440"/>
              <w:spacing w:after="0"/>
              <w:rPr>
                <w:sz w:val="20"/>
                <w:szCs w:val="20"/>
                <w:color w:val="auto"/>
              </w:rPr>
            </w:pPr>
            <w:r>
              <w:rPr>
                <w:rFonts w:ascii="Arial" w:cs="Arial" w:eastAsia="Arial" w:hAnsi="Arial"/>
                <w:sz w:val="17"/>
                <w:szCs w:val="17"/>
                <w:color w:val="auto"/>
              </w:rPr>
              <w:t>7,579</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2"/>
          </w:tcPr>
          <w:p>
            <w:pPr>
              <w:jc w:val="right"/>
              <w:ind w:right="440"/>
              <w:spacing w:after="0"/>
              <w:rPr>
                <w:sz w:val="20"/>
                <w:szCs w:val="20"/>
                <w:color w:val="auto"/>
              </w:rPr>
            </w:pPr>
            <w:r>
              <w:rPr>
                <w:rFonts w:ascii="Arial" w:cs="Arial" w:eastAsia="Arial" w:hAnsi="Arial"/>
                <w:sz w:val="17"/>
                <w:szCs w:val="17"/>
                <w:color w:val="auto"/>
              </w:rPr>
              <w:t>6,669</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440"/>
              <w:spacing w:after="0"/>
              <w:rPr>
                <w:sz w:val="20"/>
                <w:szCs w:val="20"/>
                <w:color w:val="auto"/>
              </w:rPr>
            </w:pPr>
            <w:r>
              <w:rPr>
                <w:rFonts w:ascii="Arial" w:cs="Arial" w:eastAsia="Arial" w:hAnsi="Arial"/>
                <w:sz w:val="17"/>
                <w:szCs w:val="17"/>
                <w:color w:val="auto"/>
              </w:rPr>
              <w:t>7,508</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3,338</w:t>
            </w:r>
          </w:p>
        </w:tc>
        <w:tc>
          <w:tcPr>
            <w:tcW w:w="0" w:type="dxa"/>
            <w:vAlign w:val="bottom"/>
          </w:tcPr>
          <w:p>
            <w:pPr>
              <w:spacing w:after="0"/>
              <w:rPr>
                <w:sz w:val="1"/>
                <w:szCs w:val="1"/>
                <w:color w:val="auto"/>
              </w:rPr>
            </w:pPr>
          </w:p>
        </w:tc>
      </w:tr>
      <w:tr>
        <w:trPr>
          <w:trHeight w:val="197"/>
        </w:trPr>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120" w:type="dxa"/>
            <w:vAlign w:val="bottom"/>
          </w:tcPr>
          <w:p>
            <w:pPr>
              <w:ind w:left="360"/>
              <w:spacing w:after="0"/>
              <w:rPr>
                <w:sz w:val="20"/>
                <w:szCs w:val="20"/>
                <w:color w:val="auto"/>
              </w:rPr>
            </w:pPr>
            <w:r>
              <w:rPr>
                <w:rFonts w:ascii="Arial" w:cs="Arial" w:eastAsia="Arial" w:hAnsi="Arial"/>
                <w:sz w:val="17"/>
                <w:szCs w:val="17"/>
                <w:color w:val="auto"/>
              </w:rPr>
              <w:t>Research and development</w:t>
            </w:r>
          </w:p>
        </w:tc>
        <w:tc>
          <w:tcPr>
            <w:tcW w:w="120" w:type="dxa"/>
            <w:vAlign w:val="bottom"/>
          </w:tcPr>
          <w:p>
            <w:pPr>
              <w:spacing w:after="0"/>
              <w:rPr>
                <w:sz w:val="17"/>
                <w:szCs w:val="17"/>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7"/>
                <w:szCs w:val="17"/>
                <w:color w:val="auto"/>
              </w:rPr>
              <w:t>28,793</w:t>
            </w:r>
          </w:p>
        </w:tc>
        <w:tc>
          <w:tcPr>
            <w:tcW w:w="100" w:type="dxa"/>
            <w:vAlign w:val="bottom"/>
          </w:tcPr>
          <w:p>
            <w:pPr>
              <w:spacing w:after="0"/>
              <w:rPr>
                <w:sz w:val="17"/>
                <w:szCs w:val="17"/>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7"/>
                <w:szCs w:val="17"/>
                <w:color w:val="auto"/>
              </w:rPr>
              <w:t>19,942</w:t>
            </w:r>
          </w:p>
        </w:tc>
        <w:tc>
          <w:tcPr>
            <w:tcW w:w="100" w:type="dxa"/>
            <w:vAlign w:val="bottom"/>
          </w:tcPr>
          <w:p>
            <w:pPr>
              <w:spacing w:after="0"/>
              <w:rPr>
                <w:sz w:val="17"/>
                <w:szCs w:val="17"/>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7"/>
                <w:szCs w:val="17"/>
                <w:color w:val="auto"/>
              </w:rPr>
              <w:t>17,482</w:t>
            </w:r>
          </w:p>
        </w:tc>
        <w:tc>
          <w:tcPr>
            <w:tcW w:w="12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14,880</w:t>
            </w:r>
          </w:p>
        </w:tc>
        <w:tc>
          <w:tcPr>
            <w:tcW w:w="0" w:type="dxa"/>
            <w:vAlign w:val="bottom"/>
          </w:tcPr>
          <w:p>
            <w:pPr>
              <w:spacing w:after="0"/>
              <w:rPr>
                <w:sz w:val="1"/>
                <w:szCs w:val="1"/>
                <w:color w:val="auto"/>
              </w:rPr>
            </w:pPr>
          </w:p>
        </w:tc>
      </w:tr>
      <w:tr>
        <w:trPr>
          <w:trHeight w:val="197"/>
        </w:trPr>
        <w:tc>
          <w:tcPr>
            <w:tcW w:w="51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General and administrative</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3,546</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3,196</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2,826</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1,500</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7"/>
                <w:szCs w:val="17"/>
                <w:color w:val="auto"/>
              </w:rPr>
              <w:t>Total operating expenses</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32,339</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7"/>
                <w:szCs w:val="17"/>
                <w:color w:val="auto"/>
              </w:rPr>
              <w:t>23,138</w:t>
            </w:r>
          </w:p>
        </w:tc>
        <w:tc>
          <w:tcPr>
            <w:tcW w:w="100" w:type="dxa"/>
            <w:vAlign w:val="bottom"/>
          </w:tcPr>
          <w:p>
            <w:pPr>
              <w:spacing w:after="0"/>
              <w:rPr>
                <w:sz w:val="17"/>
                <w:szCs w:val="17"/>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7"/>
                <w:szCs w:val="17"/>
                <w:color w:val="auto"/>
              </w:rPr>
              <w:t>20,308</w:t>
            </w:r>
          </w:p>
        </w:tc>
        <w:tc>
          <w:tcPr>
            <w:tcW w:w="12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16,380</w:t>
            </w:r>
          </w:p>
        </w:tc>
        <w:tc>
          <w:tcPr>
            <w:tcW w:w="0" w:type="dxa"/>
            <w:vAlign w:val="bottom"/>
          </w:tcPr>
          <w:p>
            <w:pPr>
              <w:spacing w:after="0"/>
              <w:rPr>
                <w:sz w:val="1"/>
                <w:szCs w:val="1"/>
                <w:color w:val="auto"/>
              </w:rPr>
            </w:pPr>
          </w:p>
        </w:tc>
      </w:tr>
      <w:tr>
        <w:trPr>
          <w:trHeight w:val="26"/>
        </w:trPr>
        <w:tc>
          <w:tcPr>
            <w:tcW w:w="5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(24,760)</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(16,469)</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(12,800)</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(13,042)</w:t>
            </w:r>
          </w:p>
        </w:tc>
        <w:tc>
          <w:tcPr>
            <w:tcW w:w="0" w:type="dxa"/>
            <w:vAlign w:val="bottom"/>
          </w:tcPr>
          <w:p>
            <w:pPr>
              <w:spacing w:after="0"/>
              <w:rPr>
                <w:sz w:val="1"/>
                <w:szCs w:val="1"/>
                <w:color w:val="auto"/>
              </w:rPr>
            </w:pPr>
          </w:p>
        </w:tc>
      </w:tr>
      <w:tr>
        <w:trPr>
          <w:trHeight w:val="197"/>
        </w:trPr>
        <w:tc>
          <w:tcPr>
            <w:tcW w:w="5120" w:type="dxa"/>
            <w:vAlign w:val="bottom"/>
          </w:tcPr>
          <w:p>
            <w:pPr>
              <w:spacing w:after="0"/>
              <w:rPr>
                <w:sz w:val="20"/>
                <w:szCs w:val="20"/>
                <w:color w:val="auto"/>
              </w:rPr>
            </w:pPr>
            <w:r>
              <w:rPr>
                <w:rFonts w:ascii="Arial" w:cs="Arial" w:eastAsia="Arial" w:hAnsi="Arial"/>
                <w:sz w:val="17"/>
                <w:szCs w:val="17"/>
                <w:color w:val="auto"/>
              </w:rPr>
              <w:t>Other income (expenses)</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711</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7"/>
                <w:szCs w:val="17"/>
                <w:color w:val="auto"/>
              </w:rPr>
              <w:t>2,031</w:t>
            </w:r>
          </w:p>
        </w:tc>
        <w:tc>
          <w:tcPr>
            <w:tcW w:w="100" w:type="dxa"/>
            <w:vAlign w:val="bottom"/>
          </w:tcPr>
          <w:p>
            <w:pPr>
              <w:spacing w:after="0"/>
              <w:rPr>
                <w:sz w:val="17"/>
                <w:szCs w:val="17"/>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7"/>
                <w:szCs w:val="17"/>
                <w:color w:val="auto"/>
              </w:rPr>
              <w:t>795</w:t>
            </w:r>
          </w:p>
        </w:tc>
        <w:tc>
          <w:tcPr>
            <w:tcW w:w="12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26"/>
        </w:trPr>
        <w:tc>
          <w:tcPr>
            <w:tcW w:w="5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Loss before income taxes</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(24,049)</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(14,438)</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(12,005)</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(12,924)</w:t>
            </w:r>
          </w:p>
        </w:tc>
        <w:tc>
          <w:tcPr>
            <w:tcW w:w="0" w:type="dxa"/>
            <w:vAlign w:val="bottom"/>
          </w:tcPr>
          <w:p>
            <w:pPr>
              <w:spacing w:after="0"/>
              <w:rPr>
                <w:sz w:val="1"/>
                <w:szCs w:val="1"/>
                <w:color w:val="auto"/>
              </w:rPr>
            </w:pPr>
          </w:p>
        </w:tc>
      </w:tr>
      <w:tr>
        <w:trPr>
          <w:trHeight w:val="197"/>
        </w:trPr>
        <w:tc>
          <w:tcPr>
            <w:tcW w:w="5120" w:type="dxa"/>
            <w:vAlign w:val="bottom"/>
          </w:tcPr>
          <w:p>
            <w:pPr>
              <w:spacing w:after="0"/>
              <w:rPr>
                <w:sz w:val="20"/>
                <w:szCs w:val="20"/>
                <w:color w:val="auto"/>
              </w:rPr>
            </w:pPr>
            <w:r>
              <w:rPr>
                <w:rFonts w:ascii="Arial" w:cs="Arial" w:eastAsia="Arial" w:hAnsi="Arial"/>
                <w:sz w:val="17"/>
                <w:szCs w:val="17"/>
                <w:color w:val="auto"/>
              </w:rPr>
              <w:t>Benefit from income taxes</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7"/>
                <w:szCs w:val="17"/>
                <w:color w:val="auto"/>
              </w:rPr>
              <w:t>87</w:t>
            </w:r>
          </w:p>
        </w:tc>
        <w:tc>
          <w:tcPr>
            <w:tcW w:w="100" w:type="dxa"/>
            <w:vAlign w:val="bottom"/>
          </w:tcPr>
          <w:p>
            <w:pPr>
              <w:spacing w:after="0"/>
              <w:rPr>
                <w:sz w:val="17"/>
                <w:szCs w:val="17"/>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5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(24,049)</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(14,351)</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(12,005)</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(12,924)</w:t>
            </w:r>
          </w:p>
        </w:tc>
        <w:tc>
          <w:tcPr>
            <w:tcW w:w="0" w:type="dxa"/>
            <w:vAlign w:val="bottom"/>
          </w:tcPr>
          <w:p>
            <w:pPr>
              <w:spacing w:after="0"/>
              <w:rPr>
                <w:sz w:val="1"/>
                <w:szCs w:val="1"/>
                <w:color w:val="auto"/>
              </w:rPr>
            </w:pPr>
          </w:p>
        </w:tc>
      </w:tr>
      <w:tr>
        <w:trPr>
          <w:trHeight w:val="197"/>
        </w:trPr>
        <w:tc>
          <w:tcPr>
            <w:tcW w:w="5120" w:type="dxa"/>
            <w:vAlign w:val="bottom"/>
          </w:tcPr>
          <w:p>
            <w:pPr>
              <w:ind w:left="360"/>
              <w:spacing w:after="0"/>
              <w:rPr>
                <w:sz w:val="20"/>
                <w:szCs w:val="20"/>
                <w:color w:val="auto"/>
              </w:rPr>
            </w:pPr>
            <w:r>
              <w:rPr>
                <w:rFonts w:ascii="Arial" w:cs="Arial" w:eastAsia="Arial" w:hAnsi="Arial"/>
                <w:sz w:val="17"/>
                <w:szCs w:val="17"/>
                <w:color w:val="auto"/>
              </w:rPr>
              <w:t>Change in redemption value of preferred units</w:t>
            </w:r>
          </w:p>
        </w:tc>
        <w:tc>
          <w:tcPr>
            <w:tcW w:w="120" w:type="dxa"/>
            <w:vAlign w:val="bottom"/>
          </w:tcPr>
          <w:p>
            <w:pPr>
              <w:spacing w:after="0"/>
              <w:rPr>
                <w:sz w:val="17"/>
                <w:szCs w:val="17"/>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7"/>
                <w:szCs w:val="17"/>
                <w:color w:val="auto"/>
              </w:rPr>
              <w:t>(4,571)</w:t>
            </w:r>
          </w:p>
        </w:tc>
        <w:tc>
          <w:tcPr>
            <w:tcW w:w="100" w:type="dxa"/>
            <w:vAlign w:val="bottom"/>
          </w:tcPr>
          <w:p>
            <w:pPr>
              <w:spacing w:after="0"/>
              <w:rPr>
                <w:sz w:val="17"/>
                <w:szCs w:val="17"/>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7"/>
                <w:szCs w:val="17"/>
                <w:color w:val="auto"/>
              </w:rPr>
              <w:t>1,997</w:t>
            </w:r>
          </w:p>
        </w:tc>
        <w:tc>
          <w:tcPr>
            <w:tcW w:w="100" w:type="dxa"/>
            <w:vAlign w:val="bottom"/>
          </w:tcPr>
          <w:p>
            <w:pPr>
              <w:spacing w:after="0"/>
              <w:rPr>
                <w:sz w:val="17"/>
                <w:szCs w:val="17"/>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7"/>
                <w:szCs w:val="17"/>
                <w:color w:val="auto"/>
              </w:rPr>
              <w:t>(86,316)</w:t>
            </w:r>
          </w:p>
        </w:tc>
        <w:tc>
          <w:tcPr>
            <w:tcW w:w="12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5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Net loss attributable to common units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(28,620)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(12,354)</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(98,321)</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(12,924)</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120" w:type="dxa"/>
            <w:vAlign w:val="bottom"/>
          </w:tcPr>
          <w:p>
            <w:pPr>
              <w:spacing w:after="0" w:line="189" w:lineRule="exact"/>
              <w:rPr>
                <w:sz w:val="20"/>
                <w:szCs w:val="20"/>
                <w:color w:val="auto"/>
              </w:rPr>
            </w:pPr>
            <w:r>
              <w:rPr>
                <w:rFonts w:ascii="Arial" w:cs="Arial" w:eastAsia="Arial" w:hAnsi="Arial"/>
                <w:sz w:val="17"/>
                <w:szCs w:val="17"/>
                <w:color w:val="auto"/>
              </w:rPr>
              <w:t>Net loss per common unit, basic and diluted(1)</w:t>
            </w:r>
          </w:p>
        </w:tc>
        <w:tc>
          <w:tcPr>
            <w:tcW w:w="1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(15.08)</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24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(6.51)</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(51.81)</w:t>
            </w:r>
          </w:p>
        </w:tc>
        <w:tc>
          <w:tcPr>
            <w:tcW w:w="12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(6.81)</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Weighted average common units outstanding, basic and</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1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diluted</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1,897,544</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1,897,544</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1,897,544</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1,897,544</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7"/>
                <w:szCs w:val="17"/>
                <w:color w:val="auto"/>
              </w:rPr>
              <w:t>Pro forma net loss per common share, basic and 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120" w:type="dxa"/>
            <w:vAlign w:val="bottom"/>
          </w:tcPr>
          <w:p>
            <w:pPr>
              <w:ind w:left="180"/>
              <w:spacing w:after="0"/>
              <w:rPr>
                <w:sz w:val="20"/>
                <w:szCs w:val="20"/>
                <w:color w:val="auto"/>
              </w:rPr>
            </w:pPr>
            <w:r>
              <w:rPr>
                <w:rFonts w:ascii="Arial" w:cs="Arial" w:eastAsia="Arial" w:hAnsi="Arial"/>
                <w:sz w:val="17"/>
                <w:szCs w:val="17"/>
                <w:color w:val="auto"/>
              </w:rPr>
              <w:t>(unaudited)(1)</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380"/>
              <w:spacing w:after="0"/>
              <w:rPr>
                <w:sz w:val="20"/>
                <w:szCs w:val="20"/>
                <w:color w:val="auto"/>
              </w:rPr>
            </w:pPr>
            <w:r>
              <w:rPr>
                <w:rFonts w:ascii="Arial" w:cs="Arial" w:eastAsia="Arial" w:hAnsi="Arial"/>
                <w:sz w:val="17"/>
                <w:szCs w:val="17"/>
                <w:color w:val="auto"/>
              </w:rPr>
              <w:t>(1.35)</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380"/>
              <w:spacing w:after="0"/>
              <w:rPr>
                <w:sz w:val="20"/>
                <w:szCs w:val="20"/>
                <w:color w:val="auto"/>
              </w:rPr>
            </w:pPr>
            <w:r>
              <w:rPr>
                <w:rFonts w:ascii="Arial" w:cs="Arial" w:eastAsia="Arial" w:hAnsi="Arial"/>
                <w:sz w:val="17"/>
                <w:szCs w:val="17"/>
                <w:color w:val="auto"/>
              </w:rPr>
              <w:t>(0.58)</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Pro forma weighted average common shares outstanding,</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1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basic and diluted (unaudited)</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17,879,297</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20,731,838</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1060" w:right="60" w:hanging="517"/>
        <w:spacing w:after="0" w:line="247" w:lineRule="auto"/>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See Note 13 to our financial statements as of and for the years ended December 31, 2017 and 2016 and Note 10 to our financial statements as of and for the six months ended June 30, 2018 and for the six months ended June 30, 2017, appearing at the end of this prospectus for further details on the calculation of basic and diluted net loss per unit/share attributable to common unitholders and common stockholders.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880"/>
          </w:cols>
          <w:pgMar w:left="240" w:top="449" w:right="77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201295</wp:posOffset>
            </wp:positionV>
            <wp:extent cx="6797040" cy="30676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97040" cy="306768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tbl>
      <w:tblPr>
        <w:tblLayout w:type="fixed"/>
        <w:tblInd w:w="540" w:type="dxa"/>
        <w:tblCellMar>
          <w:top w:w="0" w:type="dxa"/>
          <w:left w:w="0" w:type="dxa"/>
          <w:bottom w:w="0" w:type="dxa"/>
          <w:right w:w="0" w:type="dxa"/>
        </w:tblCellMar>
      </w:tblPr>
      <w:tr>
        <w:trPr>
          <w:trHeight w:val="169"/>
        </w:trPr>
        <w:tc>
          <w:tcPr>
            <w:tcW w:w="624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right"/>
              <w:ind w:right="233"/>
              <w:spacing w:after="0"/>
              <w:rPr>
                <w:sz w:val="20"/>
                <w:szCs w:val="20"/>
                <w:color w:val="auto"/>
              </w:rPr>
            </w:pPr>
            <w:r>
              <w:rPr>
                <w:rFonts w:ascii="Arial" w:cs="Arial" w:eastAsia="Arial" w:hAnsi="Arial"/>
                <w:sz w:val="14"/>
                <w:szCs w:val="14"/>
                <w:b w:val="1"/>
                <w:bCs w:val="1"/>
                <w:color w:val="auto"/>
              </w:rPr>
              <w:t>June 30, 2018</w:t>
            </w:r>
          </w:p>
        </w:tc>
        <w:tc>
          <w:tcPr>
            <w:tcW w:w="12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9"/>
        </w:trPr>
        <w:tc>
          <w:tcPr>
            <w:tcW w:w="6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40" w:type="dxa"/>
            <w:vAlign w:val="bottom"/>
          </w:tcPr>
          <w:p>
            <w:pPr>
              <w:jc w:val="right"/>
              <w:spacing w:after="0" w:line="139" w:lineRule="exact"/>
              <w:rPr>
                <w:sz w:val="20"/>
                <w:szCs w:val="20"/>
                <w:color w:val="auto"/>
              </w:rPr>
            </w:pPr>
            <w:r>
              <w:rPr>
                <w:rFonts w:ascii="Arial" w:cs="Arial" w:eastAsia="Arial" w:hAnsi="Arial"/>
                <w:sz w:val="14"/>
                <w:szCs w:val="14"/>
                <w:b w:val="1"/>
                <w:bCs w:val="1"/>
                <w:color w:val="auto"/>
              </w:rPr>
              <w:t>Pro Forma, As</w:t>
            </w:r>
          </w:p>
        </w:tc>
        <w:tc>
          <w:tcPr>
            <w:tcW w:w="60" w:type="dxa"/>
            <w:vAlign w:val="bottom"/>
          </w:tcPr>
          <w:p>
            <w:pPr>
              <w:spacing w:after="0"/>
              <w:rPr>
                <w:sz w:val="12"/>
                <w:szCs w:val="12"/>
                <w:color w:val="auto"/>
              </w:rPr>
            </w:pPr>
          </w:p>
        </w:tc>
      </w:tr>
      <w:tr>
        <w:trPr>
          <w:trHeight w:val="169"/>
        </w:trPr>
        <w:tc>
          <w:tcPr>
            <w:tcW w:w="6240" w:type="dxa"/>
            <w:vAlign w:val="bottom"/>
          </w:tcPr>
          <w:p>
            <w:pPr>
              <w:spacing w:after="0"/>
              <w:rPr>
                <w:sz w:val="14"/>
                <w:szCs w:val="14"/>
                <w:color w:val="auto"/>
              </w:rPr>
            </w:pPr>
          </w:p>
        </w:tc>
        <w:tc>
          <w:tcPr>
            <w:tcW w:w="1200" w:type="dxa"/>
            <w:vAlign w:val="bottom"/>
          </w:tcPr>
          <w:p>
            <w:pPr>
              <w:jc w:val="right"/>
              <w:ind w:right="495"/>
              <w:spacing w:after="0"/>
              <w:rPr>
                <w:sz w:val="20"/>
                <w:szCs w:val="20"/>
                <w:color w:val="auto"/>
              </w:rPr>
            </w:pPr>
            <w:r>
              <w:rPr>
                <w:rFonts w:ascii="Arial" w:cs="Arial" w:eastAsia="Arial" w:hAnsi="Arial"/>
                <w:sz w:val="14"/>
                <w:szCs w:val="14"/>
                <w:b w:val="1"/>
                <w:bCs w:val="1"/>
                <w:color w:val="auto"/>
              </w:rPr>
              <w:t>Actual</w:t>
            </w:r>
          </w:p>
        </w:tc>
        <w:tc>
          <w:tcPr>
            <w:tcW w:w="1600" w:type="dxa"/>
            <w:vAlign w:val="bottom"/>
            <w:gridSpan w:val="2"/>
          </w:tcPr>
          <w:p>
            <w:pPr>
              <w:ind w:left="340"/>
              <w:spacing w:after="0"/>
              <w:rPr>
                <w:sz w:val="20"/>
                <w:szCs w:val="20"/>
                <w:color w:val="auto"/>
              </w:rPr>
            </w:pPr>
            <w:r>
              <w:rPr>
                <w:rFonts w:ascii="Arial" w:cs="Arial" w:eastAsia="Arial" w:hAnsi="Arial"/>
                <w:sz w:val="14"/>
                <w:szCs w:val="14"/>
                <w:b w:val="1"/>
                <w:bCs w:val="1"/>
                <w:color w:val="auto"/>
              </w:rPr>
              <w:t>Pro Forma(1)</w:t>
            </w:r>
          </w:p>
        </w:tc>
        <w:tc>
          <w:tcPr>
            <w:tcW w:w="13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Adjusted(2)</w:t>
            </w:r>
          </w:p>
        </w:tc>
      </w:tr>
      <w:tr>
        <w:trPr>
          <w:trHeight w:val="164"/>
        </w:trPr>
        <w:tc>
          <w:tcPr>
            <w:tcW w:w="624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97"/>
        </w:trPr>
        <w:tc>
          <w:tcPr>
            <w:tcW w:w="6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Sheet Data:</w:t>
            </w:r>
          </w:p>
        </w:tc>
        <w:tc>
          <w:tcPr>
            <w:tcW w:w="1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7"/>
        </w:trPr>
        <w:tc>
          <w:tcPr>
            <w:tcW w:w="6240" w:type="dxa"/>
            <w:vAlign w:val="bottom"/>
          </w:tcPr>
          <w:p>
            <w:pPr>
              <w:spacing w:after="0"/>
              <w:rPr>
                <w:sz w:val="20"/>
                <w:szCs w:val="20"/>
                <w:color w:val="auto"/>
              </w:rPr>
            </w:pPr>
            <w:r>
              <w:rPr>
                <w:rFonts w:ascii="Arial" w:cs="Arial" w:eastAsia="Arial" w:hAnsi="Arial"/>
                <w:sz w:val="17"/>
                <w:szCs w:val="17"/>
                <w:color w:val="auto"/>
              </w:rPr>
              <w:t>Cash and cash equivalents(3)</w:t>
            </w:r>
          </w:p>
        </w:tc>
        <w:tc>
          <w:tcPr>
            <w:tcW w:w="1200" w:type="dxa"/>
            <w:vAlign w:val="bottom"/>
          </w:tcPr>
          <w:p>
            <w:pPr>
              <w:jc w:val="right"/>
              <w:ind w:right="315"/>
              <w:spacing w:after="0"/>
              <w:rPr>
                <w:sz w:val="20"/>
                <w:szCs w:val="20"/>
                <w:color w:val="auto"/>
              </w:rPr>
            </w:pPr>
            <w:r>
              <w:rPr>
                <w:rFonts w:ascii="Arial" w:cs="Arial" w:eastAsia="Arial" w:hAnsi="Arial"/>
                <w:sz w:val="17"/>
                <w:szCs w:val="17"/>
                <w:color w:val="auto"/>
              </w:rPr>
              <w:t>$   3,353</w:t>
            </w:r>
          </w:p>
        </w:tc>
        <w:tc>
          <w:tcPr>
            <w:tcW w:w="520" w:type="dxa"/>
            <w:vAlign w:val="bottom"/>
          </w:tcPr>
          <w:p>
            <w:pPr>
              <w:ind w:left="340"/>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293"/>
              <w:spacing w:after="0"/>
              <w:rPr>
                <w:sz w:val="20"/>
                <w:szCs w:val="20"/>
                <w:color w:val="auto"/>
              </w:rPr>
            </w:pPr>
            <w:r>
              <w:rPr>
                <w:rFonts w:ascii="Arial" w:cs="Arial" w:eastAsia="Arial" w:hAnsi="Arial"/>
                <w:sz w:val="17"/>
                <w:szCs w:val="17"/>
                <w:color w:val="auto"/>
              </w:rPr>
              <w:t>3,428</w:t>
            </w: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   111,928</w:t>
            </w:r>
          </w:p>
        </w:tc>
      </w:tr>
      <w:tr>
        <w:trPr>
          <w:trHeight w:val="197"/>
        </w:trPr>
        <w:tc>
          <w:tcPr>
            <w:tcW w:w="6240" w:type="dxa"/>
            <w:vAlign w:val="bottom"/>
            <w:shd w:val="clear" w:color="auto" w:fill="CCEEFF"/>
          </w:tcPr>
          <w:p>
            <w:pPr>
              <w:spacing w:after="0"/>
              <w:rPr>
                <w:sz w:val="20"/>
                <w:szCs w:val="20"/>
                <w:color w:val="auto"/>
              </w:rPr>
            </w:pPr>
            <w:r>
              <w:rPr>
                <w:rFonts w:ascii="Arial" w:cs="Arial" w:eastAsia="Arial" w:hAnsi="Arial"/>
                <w:sz w:val="17"/>
                <w:szCs w:val="17"/>
                <w:color w:val="auto"/>
              </w:rPr>
              <w:t>Marketable securities</w:t>
            </w:r>
          </w:p>
        </w:tc>
        <w:tc>
          <w:tcPr>
            <w:tcW w:w="1200" w:type="dxa"/>
            <w:vAlign w:val="bottom"/>
            <w:shd w:val="clear" w:color="auto" w:fill="CCEEFF"/>
          </w:tcPr>
          <w:p>
            <w:pPr>
              <w:jc w:val="right"/>
              <w:ind w:right="315"/>
              <w:spacing w:after="0"/>
              <w:rPr>
                <w:sz w:val="20"/>
                <w:szCs w:val="20"/>
                <w:color w:val="auto"/>
              </w:rPr>
            </w:pPr>
            <w:r>
              <w:rPr>
                <w:rFonts w:ascii="Arial" w:cs="Arial" w:eastAsia="Arial" w:hAnsi="Arial"/>
                <w:sz w:val="17"/>
                <w:szCs w:val="17"/>
                <w:color w:val="auto"/>
              </w:rPr>
              <w:t>96,387</w:t>
            </w:r>
          </w:p>
        </w:tc>
        <w:tc>
          <w:tcPr>
            <w:tcW w:w="5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rPr>
              <w:t>96,387</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96,387</w:t>
            </w:r>
          </w:p>
        </w:tc>
      </w:tr>
      <w:tr>
        <w:trPr>
          <w:trHeight w:val="197"/>
        </w:trPr>
        <w:tc>
          <w:tcPr>
            <w:tcW w:w="6240" w:type="dxa"/>
            <w:vAlign w:val="bottom"/>
          </w:tcPr>
          <w:p>
            <w:pPr>
              <w:spacing w:after="0"/>
              <w:rPr>
                <w:sz w:val="20"/>
                <w:szCs w:val="20"/>
                <w:color w:val="auto"/>
              </w:rPr>
            </w:pPr>
            <w:r>
              <w:rPr>
                <w:rFonts w:ascii="Arial" w:cs="Arial" w:eastAsia="Arial" w:hAnsi="Arial"/>
                <w:sz w:val="17"/>
                <w:szCs w:val="17"/>
                <w:color w:val="auto"/>
              </w:rPr>
              <w:t>Working capital(4)</w:t>
            </w:r>
          </w:p>
        </w:tc>
        <w:tc>
          <w:tcPr>
            <w:tcW w:w="1200" w:type="dxa"/>
            <w:vAlign w:val="bottom"/>
          </w:tcPr>
          <w:p>
            <w:pPr>
              <w:jc w:val="right"/>
              <w:ind w:right="315"/>
              <w:spacing w:after="0"/>
              <w:rPr>
                <w:sz w:val="20"/>
                <w:szCs w:val="20"/>
                <w:color w:val="auto"/>
              </w:rPr>
            </w:pPr>
            <w:r>
              <w:rPr>
                <w:rFonts w:ascii="Arial" w:cs="Arial" w:eastAsia="Arial" w:hAnsi="Arial"/>
                <w:sz w:val="17"/>
                <w:szCs w:val="17"/>
                <w:color w:val="auto"/>
              </w:rPr>
              <w:t>86,382</w:t>
            </w:r>
          </w:p>
        </w:tc>
        <w:tc>
          <w:tcPr>
            <w:tcW w:w="520" w:type="dxa"/>
            <w:vAlign w:val="bottom"/>
          </w:tcPr>
          <w:p>
            <w:pPr>
              <w:spacing w:after="0"/>
              <w:rPr>
                <w:sz w:val="17"/>
                <w:szCs w:val="17"/>
                <w:color w:val="auto"/>
              </w:rPr>
            </w:pPr>
          </w:p>
        </w:tc>
        <w:tc>
          <w:tcPr>
            <w:tcW w:w="1080" w:type="dxa"/>
            <w:vAlign w:val="bottom"/>
          </w:tcPr>
          <w:p>
            <w:pPr>
              <w:jc w:val="right"/>
              <w:ind w:right="293"/>
              <w:spacing w:after="0"/>
              <w:rPr>
                <w:sz w:val="20"/>
                <w:szCs w:val="20"/>
                <w:color w:val="auto"/>
              </w:rPr>
            </w:pPr>
            <w:r>
              <w:rPr>
                <w:rFonts w:ascii="Arial" w:cs="Arial" w:eastAsia="Arial" w:hAnsi="Arial"/>
                <w:sz w:val="17"/>
                <w:szCs w:val="17"/>
                <w:color w:val="auto"/>
              </w:rPr>
              <w:t>86,457</w:t>
            </w: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194,957</w:t>
            </w:r>
          </w:p>
        </w:tc>
      </w:tr>
      <w:tr>
        <w:trPr>
          <w:trHeight w:val="197"/>
        </w:trPr>
        <w:tc>
          <w:tcPr>
            <w:tcW w:w="624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1200" w:type="dxa"/>
            <w:vAlign w:val="bottom"/>
            <w:shd w:val="clear" w:color="auto" w:fill="CCEEFF"/>
          </w:tcPr>
          <w:p>
            <w:pPr>
              <w:jc w:val="right"/>
              <w:ind w:right="315"/>
              <w:spacing w:after="0"/>
              <w:rPr>
                <w:sz w:val="20"/>
                <w:szCs w:val="20"/>
                <w:color w:val="auto"/>
              </w:rPr>
            </w:pPr>
            <w:r>
              <w:rPr>
                <w:rFonts w:ascii="Arial" w:cs="Arial" w:eastAsia="Arial" w:hAnsi="Arial"/>
                <w:sz w:val="17"/>
                <w:szCs w:val="17"/>
                <w:color w:val="auto"/>
              </w:rPr>
              <w:t>105,991</w:t>
            </w:r>
          </w:p>
        </w:tc>
        <w:tc>
          <w:tcPr>
            <w:tcW w:w="5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rPr>
              <w:t>106,066</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214,566</w:t>
            </w:r>
          </w:p>
        </w:tc>
      </w:tr>
      <w:tr>
        <w:trPr>
          <w:trHeight w:val="197"/>
        </w:trPr>
        <w:tc>
          <w:tcPr>
            <w:tcW w:w="6240" w:type="dxa"/>
            <w:vAlign w:val="bottom"/>
          </w:tcPr>
          <w:p>
            <w:pPr>
              <w:spacing w:after="0"/>
              <w:rPr>
                <w:sz w:val="20"/>
                <w:szCs w:val="20"/>
                <w:color w:val="auto"/>
              </w:rPr>
            </w:pPr>
            <w:r>
              <w:rPr>
                <w:rFonts w:ascii="Arial" w:cs="Arial" w:eastAsia="Arial" w:hAnsi="Arial"/>
                <w:sz w:val="17"/>
                <w:szCs w:val="17"/>
                <w:color w:val="auto"/>
              </w:rPr>
              <w:t>Long-term debt-net of current portion(3)</w:t>
            </w:r>
          </w:p>
        </w:tc>
        <w:tc>
          <w:tcPr>
            <w:tcW w:w="1200" w:type="dxa"/>
            <w:vAlign w:val="bottom"/>
          </w:tcPr>
          <w:p>
            <w:pPr>
              <w:jc w:val="right"/>
              <w:ind w:right="315"/>
              <w:spacing w:after="0"/>
              <w:rPr>
                <w:sz w:val="20"/>
                <w:szCs w:val="20"/>
                <w:color w:val="auto"/>
              </w:rPr>
            </w:pPr>
            <w:r>
              <w:rPr>
                <w:rFonts w:ascii="Arial" w:cs="Arial" w:eastAsia="Arial" w:hAnsi="Arial"/>
                <w:sz w:val="17"/>
                <w:szCs w:val="17"/>
                <w:color w:val="auto"/>
              </w:rPr>
              <w:t>65</w:t>
            </w:r>
          </w:p>
        </w:tc>
        <w:tc>
          <w:tcPr>
            <w:tcW w:w="520" w:type="dxa"/>
            <w:vAlign w:val="bottom"/>
          </w:tcPr>
          <w:p>
            <w:pPr>
              <w:spacing w:after="0"/>
              <w:rPr>
                <w:sz w:val="17"/>
                <w:szCs w:val="17"/>
                <w:color w:val="auto"/>
              </w:rPr>
            </w:pPr>
          </w:p>
        </w:tc>
        <w:tc>
          <w:tcPr>
            <w:tcW w:w="1080" w:type="dxa"/>
            <w:vAlign w:val="bottom"/>
          </w:tcPr>
          <w:p>
            <w:pPr>
              <w:jc w:val="right"/>
              <w:ind w:right="293"/>
              <w:spacing w:after="0"/>
              <w:rPr>
                <w:sz w:val="20"/>
                <w:szCs w:val="20"/>
                <w:color w:val="auto"/>
              </w:rPr>
            </w:pPr>
            <w:r>
              <w:rPr>
                <w:rFonts w:ascii="Arial" w:cs="Arial" w:eastAsia="Arial" w:hAnsi="Arial"/>
                <w:sz w:val="17"/>
                <w:szCs w:val="17"/>
                <w:color w:val="auto"/>
              </w:rPr>
              <w:t>65</w:t>
            </w: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65</w:t>
            </w:r>
          </w:p>
        </w:tc>
      </w:tr>
      <w:tr>
        <w:trPr>
          <w:trHeight w:val="197"/>
        </w:trPr>
        <w:tc>
          <w:tcPr>
            <w:tcW w:w="6240" w:type="dxa"/>
            <w:vAlign w:val="bottom"/>
            <w:shd w:val="clear" w:color="auto" w:fill="CCEEFF"/>
          </w:tcPr>
          <w:p>
            <w:pPr>
              <w:spacing w:after="0"/>
              <w:rPr>
                <w:sz w:val="20"/>
                <w:szCs w:val="20"/>
                <w:color w:val="auto"/>
              </w:rPr>
            </w:pPr>
            <w:r>
              <w:rPr>
                <w:rFonts w:ascii="Arial" w:cs="Arial" w:eastAsia="Arial" w:hAnsi="Arial"/>
                <w:sz w:val="17"/>
                <w:szCs w:val="17"/>
                <w:color w:val="auto"/>
              </w:rPr>
              <w:t>Preferred units/stock</w:t>
            </w:r>
          </w:p>
        </w:tc>
        <w:tc>
          <w:tcPr>
            <w:tcW w:w="1200" w:type="dxa"/>
            <w:vAlign w:val="bottom"/>
            <w:shd w:val="clear" w:color="auto" w:fill="CCEEFF"/>
          </w:tcPr>
          <w:p>
            <w:pPr>
              <w:jc w:val="right"/>
              <w:ind w:right="315"/>
              <w:spacing w:after="0"/>
              <w:rPr>
                <w:sz w:val="20"/>
                <w:szCs w:val="20"/>
                <w:color w:val="auto"/>
              </w:rPr>
            </w:pPr>
            <w:r>
              <w:rPr>
                <w:rFonts w:ascii="Arial" w:cs="Arial" w:eastAsia="Arial" w:hAnsi="Arial"/>
                <w:sz w:val="17"/>
                <w:szCs w:val="17"/>
                <w:color w:val="auto"/>
              </w:rPr>
              <w:t>202,797</w:t>
            </w:r>
          </w:p>
        </w:tc>
        <w:tc>
          <w:tcPr>
            <w:tcW w:w="5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10"/>
        </w:trPr>
        <w:tc>
          <w:tcPr>
            <w:tcW w:w="6240" w:type="dxa"/>
            <w:vAlign w:val="bottom"/>
          </w:tcPr>
          <w:p>
            <w:pPr>
              <w:spacing w:after="0"/>
              <w:rPr>
                <w:sz w:val="20"/>
                <w:szCs w:val="20"/>
                <w:color w:val="auto"/>
              </w:rPr>
            </w:pPr>
            <w:r>
              <w:rPr>
                <w:rFonts w:ascii="Arial" w:cs="Arial" w:eastAsia="Arial" w:hAnsi="Arial"/>
                <w:sz w:val="17"/>
                <w:szCs w:val="17"/>
                <w:color w:val="auto"/>
              </w:rPr>
              <w:t>Total members’/stockholders’ equity (deficit)</w:t>
            </w:r>
          </w:p>
        </w:tc>
        <w:tc>
          <w:tcPr>
            <w:tcW w:w="1200" w:type="dxa"/>
            <w:vAlign w:val="bottom"/>
          </w:tcPr>
          <w:p>
            <w:pPr>
              <w:jc w:val="right"/>
              <w:ind w:right="255"/>
              <w:spacing w:after="0"/>
              <w:rPr>
                <w:sz w:val="20"/>
                <w:szCs w:val="20"/>
                <w:color w:val="auto"/>
              </w:rPr>
            </w:pPr>
            <w:r>
              <w:rPr>
                <w:rFonts w:ascii="Arial" w:cs="Arial" w:eastAsia="Arial" w:hAnsi="Arial"/>
                <w:sz w:val="17"/>
                <w:szCs w:val="17"/>
                <w:color w:val="auto"/>
              </w:rPr>
              <w:t>(158,516)</w:t>
            </w:r>
          </w:p>
        </w:tc>
        <w:tc>
          <w:tcPr>
            <w:tcW w:w="520" w:type="dxa"/>
            <w:vAlign w:val="bottom"/>
          </w:tcPr>
          <w:p>
            <w:pPr>
              <w:spacing w:after="0"/>
              <w:rPr>
                <w:sz w:val="18"/>
                <w:szCs w:val="18"/>
                <w:color w:val="auto"/>
              </w:rPr>
            </w:pPr>
          </w:p>
        </w:tc>
        <w:tc>
          <w:tcPr>
            <w:tcW w:w="1080" w:type="dxa"/>
            <w:vAlign w:val="bottom"/>
          </w:tcPr>
          <w:p>
            <w:pPr>
              <w:jc w:val="right"/>
              <w:ind w:right="293"/>
              <w:spacing w:after="0"/>
              <w:rPr>
                <w:sz w:val="20"/>
                <w:szCs w:val="20"/>
                <w:color w:val="auto"/>
              </w:rPr>
            </w:pPr>
            <w:r>
              <w:rPr>
                <w:rFonts w:ascii="Arial" w:cs="Arial" w:eastAsia="Arial" w:hAnsi="Arial"/>
                <w:sz w:val="17"/>
                <w:szCs w:val="17"/>
                <w:color w:val="auto"/>
              </w:rPr>
              <w:t>44,601</w:t>
            </w: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153,101</w:t>
            </w:r>
          </w:p>
        </w:tc>
      </w:tr>
    </w:tbl>
    <w:p>
      <w:pPr>
        <w:spacing w:after="0" w:line="169" w:lineRule="exact"/>
        <w:rPr>
          <w:sz w:val="20"/>
          <w:szCs w:val="20"/>
          <w:color w:val="auto"/>
        </w:rPr>
      </w:pPr>
    </w:p>
    <w:p>
      <w:pPr>
        <w:ind w:left="1060" w:hanging="517"/>
        <w:spacing w:after="0" w:line="241" w:lineRule="auto"/>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pro forma balance sheet data give effect to (i) the cash exercise of an outstanding warrant to purchase 110,116 of our series A preferred units in July 2018, (ii) the Conversion, (iii) the automatic conversion of all outstanding shares of our preferred stock issued as part of the Conversion into an aggregate of 19,697,928 shares of our common stock upon the closing of this offering and (iv) the restatement of our certificate of incorporation upon the closing of this offering.</w:t>
      </w:r>
    </w:p>
    <w:p>
      <w:pPr>
        <w:spacing w:after="0" w:line="1" w:lineRule="exact"/>
        <w:rPr>
          <w:rFonts w:ascii="Arial" w:cs="Arial" w:eastAsia="Arial" w:hAnsi="Arial"/>
          <w:sz w:val="17"/>
          <w:szCs w:val="17"/>
          <w:color w:val="auto"/>
        </w:rPr>
      </w:pPr>
    </w:p>
    <w:p>
      <w:pPr>
        <w:ind w:left="1060" w:right="120" w:hanging="517"/>
        <w:spacing w:after="0" w:line="241" w:lineRule="auto"/>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pro forma as adjusted balance sheet data give further effect to our issuance and sale of 7,500,000 shares of our common stock in this offering at the initial public offering price of $16.00 per share, after deducting underwriting discounts and commissions and estimated offering expenses payable by us.</w:t>
      </w:r>
    </w:p>
    <w:p>
      <w:pPr>
        <w:spacing w:after="0" w:line="1" w:lineRule="exact"/>
        <w:rPr>
          <w:rFonts w:ascii="Arial" w:cs="Arial" w:eastAsia="Arial" w:hAnsi="Arial"/>
          <w:sz w:val="17"/>
          <w:szCs w:val="17"/>
          <w:color w:val="auto"/>
        </w:rPr>
      </w:pPr>
    </w:p>
    <w:p>
      <w:pPr>
        <w:ind w:left="1060" w:right="140" w:hanging="517"/>
        <w:spacing w:after="0" w:line="241" w:lineRule="auto"/>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borrowed $2.0 million under our 2018 Assistance Agreement with the State of Connecticut on September 13, 2018, which is not reflected above.</w:t>
      </w:r>
    </w:p>
    <w:p>
      <w:pPr>
        <w:ind w:left="1060" w:hanging="517"/>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define working capital as current assets less current liabilities.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880"/>
          </w:cols>
          <w:pgMar w:left="240" w:top="449" w:right="77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RISK FACTORS</w:t>
      </w:r>
    </w:p>
    <w:p>
      <w:pPr>
        <w:spacing w:after="0" w:line="215" w:lineRule="exact"/>
        <w:rPr>
          <w:sz w:val="20"/>
          <w:szCs w:val="20"/>
          <w:color w:val="auto"/>
        </w:rPr>
      </w:pPr>
    </w:p>
    <w:p>
      <w:pPr>
        <w:ind w:left="360" w:right="160" w:firstLine="535"/>
        <w:spacing w:after="0" w:line="251"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and uncertainties described below together with all of the other information contained in this prospectus, including our consolidated financial statements and the related notes appearing at the end of this prospectus, before deciding to invest in our common stock. If any of the following risks actually occur, our business, prospects, operating results and financial condition could suffer materially. In such event, the trading price of our common stock could decline and you might lose all or part of your investment.</w:t>
      </w:r>
    </w:p>
    <w:p>
      <w:pPr>
        <w:spacing w:after="0" w:line="272"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Risks Related to Our Financial Position and Need For Additional Capital</w:t>
      </w:r>
    </w:p>
    <w:p>
      <w:pPr>
        <w:spacing w:after="0" w:line="213" w:lineRule="exact"/>
        <w:rPr>
          <w:sz w:val="20"/>
          <w:szCs w:val="20"/>
          <w:color w:val="auto"/>
        </w:rPr>
      </w:pPr>
    </w:p>
    <w:p>
      <w:pPr>
        <w:ind w:left="360" w:right="120"/>
        <w:spacing w:after="0" w:line="284" w:lineRule="auto"/>
        <w:rPr>
          <w:sz w:val="20"/>
          <w:szCs w:val="20"/>
          <w:color w:val="auto"/>
        </w:rPr>
      </w:pPr>
      <w:r>
        <w:rPr>
          <w:rFonts w:ascii="Arial" w:cs="Arial" w:eastAsia="Arial" w:hAnsi="Arial"/>
          <w:sz w:val="17"/>
          <w:szCs w:val="17"/>
          <w:b w:val="1"/>
          <w:bCs w:val="1"/>
          <w:i w:val="1"/>
          <w:iCs w:val="1"/>
          <w:color w:val="auto"/>
        </w:rPr>
        <w:t>We have incurred significant losses since our inception. We expect to incur losses over at least the next several years and may never achieve or maintain profitability.</w:t>
      </w:r>
    </w:p>
    <w:p>
      <w:pPr>
        <w:spacing w:after="0" w:line="56" w:lineRule="exact"/>
        <w:rPr>
          <w:sz w:val="20"/>
          <w:szCs w:val="20"/>
          <w:color w:val="auto"/>
        </w:rPr>
      </w:pPr>
    </w:p>
    <w:p>
      <w:pPr>
        <w:ind w:left="360" w:right="200" w:firstLine="535"/>
        <w:spacing w:after="0" w:line="245" w:lineRule="auto"/>
        <w:rPr>
          <w:sz w:val="20"/>
          <w:szCs w:val="20"/>
          <w:color w:val="auto"/>
        </w:rPr>
      </w:pPr>
      <w:r>
        <w:rPr>
          <w:rFonts w:ascii="Arial" w:cs="Arial" w:eastAsia="Arial" w:hAnsi="Arial"/>
          <w:sz w:val="17"/>
          <w:szCs w:val="17"/>
          <w:color w:val="auto"/>
        </w:rPr>
        <w:t>Our net loss was $12.0 million for the six months ended June 30, 2018, $24.0 million for the year ended December 31, 2017 and $14.4 million for the year ended December 31, 2016. As of June 30, 2018, we had an accumulated deficit of $ 160.7 million. To date, we have not generated any revenue from product sales and have financed our operations primarily through sales of our equity interests, proceeds from our collaborations, grant funding and debt financing. We are still in the early stages of development of our product candidates and expect to initiate our first clinical trial in the first quarter of 2019. We expect to continue to incur significant expenses and increasing operating losses for at least the next several years. We anticipate that our expenses will increase substantially if and as we:</w:t>
      </w:r>
    </w:p>
    <w:p>
      <w:pPr>
        <w:spacing w:after="0" w:line="101" w:lineRule="exact"/>
        <w:rPr>
          <w:sz w:val="20"/>
          <w:szCs w:val="20"/>
          <w:color w:val="auto"/>
        </w:rPr>
      </w:pPr>
    </w:p>
    <w:p>
      <w:pPr>
        <w:ind w:left="1100" w:right="280" w:hanging="210"/>
        <w:spacing w:after="0" w:line="259" w:lineRule="auto"/>
        <w:tabs>
          <w:tab w:leader="none" w:pos="11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initiate a planned Phase 1 clinical trial of our product candidate, ARV-110, in men with metastatic castration-resistant prostate cancer, or mCRPC;</w:t>
      </w:r>
    </w:p>
    <w:p>
      <w:pPr>
        <w:spacing w:after="0" w:line="89" w:lineRule="exact"/>
        <w:rPr>
          <w:rFonts w:ascii="Arial" w:cs="Arial" w:eastAsia="Arial" w:hAnsi="Arial"/>
          <w:sz w:val="17"/>
          <w:szCs w:val="17"/>
          <w:color w:val="auto"/>
        </w:rPr>
      </w:pPr>
    </w:p>
    <w:p>
      <w:pPr>
        <w:ind w:left="1100" w:hanging="210"/>
        <w:spacing w:after="0" w:line="259" w:lineRule="auto"/>
        <w:tabs>
          <w:tab w:leader="none" w:pos="11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initiate a planned Phase 1 clinical trial of our product candidate, ARV-471, in women with metastatic ER positive / HER2 negative breast cancer, or ER+ breast cancer;</w:t>
      </w:r>
    </w:p>
    <w:p>
      <w:pPr>
        <w:spacing w:after="0" w:line="89" w:lineRule="exact"/>
        <w:rPr>
          <w:rFonts w:ascii="Arial" w:cs="Arial" w:eastAsia="Arial" w:hAnsi="Arial"/>
          <w:sz w:val="17"/>
          <w:szCs w:val="17"/>
          <w:color w:val="auto"/>
        </w:rPr>
      </w:pPr>
    </w:p>
    <w:p>
      <w:pPr>
        <w:ind w:left="1100" w:hanging="210"/>
        <w:spacing w:after="0"/>
        <w:tabs>
          <w:tab w:leader="none" w:pos="11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apply our PROTAC platform to advance additional product candidates into preclinical and clinical development;</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expand the capabilities of our PROTAC platform;</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seek marketing approvals for any product candidates that successfully complete clinical trials;</w:t>
      </w:r>
    </w:p>
    <w:p>
      <w:pPr>
        <w:spacing w:after="0" w:line="119" w:lineRule="exact"/>
        <w:rPr>
          <w:rFonts w:ascii="Arial" w:cs="Arial" w:eastAsia="Arial" w:hAnsi="Arial"/>
          <w:sz w:val="17"/>
          <w:szCs w:val="17"/>
          <w:color w:val="auto"/>
        </w:rPr>
      </w:pPr>
    </w:p>
    <w:p>
      <w:pPr>
        <w:ind w:left="1100" w:right="720" w:hanging="210"/>
        <w:spacing w:after="0" w:line="259" w:lineRule="auto"/>
        <w:tabs>
          <w:tab w:leader="none" w:pos="11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ultimately establish a sales, marketing and distribution infrastructure and scale up external manufacturing capabilities to commercialize any products for which we may obtain marketing approval;</w:t>
      </w:r>
    </w:p>
    <w:p>
      <w:pPr>
        <w:spacing w:after="0" w:line="89" w:lineRule="exact"/>
        <w:rPr>
          <w:rFonts w:ascii="Arial" w:cs="Arial" w:eastAsia="Arial" w:hAnsi="Arial"/>
          <w:sz w:val="17"/>
          <w:szCs w:val="17"/>
          <w:color w:val="auto"/>
        </w:rPr>
      </w:pPr>
    </w:p>
    <w:p>
      <w:pPr>
        <w:ind w:left="1100" w:hanging="210"/>
        <w:spacing w:after="0"/>
        <w:tabs>
          <w:tab w:leader="none" w:pos="11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expand, maintain and protect our intellectual property portfolio;</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hire additional clinical, regulatory and scientific personnel; and</w:t>
      </w:r>
    </w:p>
    <w:p>
      <w:pPr>
        <w:spacing w:after="0" w:line="119" w:lineRule="exact"/>
        <w:rPr>
          <w:rFonts w:ascii="Arial" w:cs="Arial" w:eastAsia="Arial" w:hAnsi="Arial"/>
          <w:sz w:val="17"/>
          <w:szCs w:val="17"/>
          <w:color w:val="auto"/>
        </w:rPr>
      </w:pPr>
    </w:p>
    <w:p>
      <w:pPr>
        <w:ind w:left="1100" w:right="240" w:hanging="210"/>
        <w:spacing w:after="0" w:line="259" w:lineRule="auto"/>
        <w:tabs>
          <w:tab w:leader="none" w:pos="11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add operational, financial and management information systems and personnel to support our research, product development and future commercialization efforts and support our operations as a public company.</w:t>
      </w:r>
    </w:p>
    <w:p>
      <w:pPr>
        <w:spacing w:after="0" w:line="181" w:lineRule="exact"/>
        <w:rPr>
          <w:sz w:val="20"/>
          <w:szCs w:val="20"/>
          <w:color w:val="auto"/>
        </w:rPr>
      </w:pPr>
    </w:p>
    <w:p>
      <w:pPr>
        <w:ind w:left="360" w:right="160" w:firstLine="535"/>
        <w:spacing w:after="0" w:line="247" w:lineRule="auto"/>
        <w:rPr>
          <w:sz w:val="20"/>
          <w:szCs w:val="20"/>
          <w:color w:val="auto"/>
        </w:rPr>
      </w:pPr>
      <w:r>
        <w:rPr>
          <w:rFonts w:ascii="Arial" w:cs="Arial" w:eastAsia="Arial" w:hAnsi="Arial"/>
          <w:sz w:val="17"/>
          <w:szCs w:val="17"/>
          <w:color w:val="auto"/>
        </w:rPr>
        <w:t>Our expenses could increase beyond our expectations if we are required by the U.S. Food and Drug Administration, or FDA, the European Medicines Agency, or EMA, or other regulatory authorities to perform trials in addition to those that we currently expect, or if there are any delays in establishing appropriate manufacturing arrangements for or in completing our clinical trials or the development of any of our product candidates.</w:t>
      </w:r>
    </w:p>
    <w:p>
      <w:pPr>
        <w:spacing w:after="0" w:line="192" w:lineRule="exact"/>
        <w:rPr>
          <w:sz w:val="20"/>
          <w:szCs w:val="20"/>
          <w:color w:val="auto"/>
        </w:rPr>
      </w:pPr>
    </w:p>
    <w:p>
      <w:pPr>
        <w:ind w:left="360" w:right="820" w:firstLine="535"/>
        <w:spacing w:after="0" w:line="259" w:lineRule="auto"/>
        <w:rPr>
          <w:sz w:val="20"/>
          <w:szCs w:val="20"/>
          <w:color w:val="auto"/>
        </w:rPr>
      </w:pPr>
      <w:r>
        <w:rPr>
          <w:rFonts w:ascii="Arial" w:cs="Arial" w:eastAsia="Arial" w:hAnsi="Arial"/>
          <w:sz w:val="17"/>
          <w:szCs w:val="17"/>
          <w:color w:val="auto"/>
        </w:rPr>
        <w:t>Because of the numerous risks and uncertainties associated with pharmaceutical product development, we are unable to accurately predict the timing or amount of increased expenses we will</w:t>
      </w:r>
    </w:p>
    <w:p>
      <w:pPr>
        <w:spacing w:after="0" w:line="11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040"/>
          </w:cols>
          <w:pgMar w:left="240" w:top="449" w:right="61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20"/>
        <w:spacing w:after="0" w:line="247" w:lineRule="auto"/>
        <w:rPr>
          <w:sz w:val="20"/>
          <w:szCs w:val="20"/>
          <w:color w:val="auto"/>
        </w:rPr>
      </w:pPr>
      <w:r>
        <w:rPr>
          <w:rFonts w:ascii="Arial" w:cs="Arial" w:eastAsia="Arial" w:hAnsi="Arial"/>
          <w:sz w:val="17"/>
          <w:szCs w:val="17"/>
          <w:color w:val="auto"/>
        </w:rPr>
        <w:t>incur or when, if ever, we will be able to achieve profitability. 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276"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We have never generated revenue from product sales and may never be profitable.</w:t>
      </w:r>
    </w:p>
    <w:p>
      <w:pPr>
        <w:spacing w:after="0" w:line="126" w:lineRule="exact"/>
        <w:rPr>
          <w:sz w:val="20"/>
          <w:szCs w:val="20"/>
          <w:color w:val="auto"/>
        </w:rPr>
      </w:pPr>
    </w:p>
    <w:p>
      <w:pPr>
        <w:ind w:left="360" w:firstLine="535"/>
        <w:spacing w:after="0" w:line="244" w:lineRule="auto"/>
        <w:rPr>
          <w:sz w:val="20"/>
          <w:szCs w:val="20"/>
          <w:color w:val="auto"/>
        </w:rPr>
      </w:pPr>
      <w:r>
        <w:rPr>
          <w:rFonts w:ascii="Arial" w:cs="Arial" w:eastAsia="Arial" w:hAnsi="Arial"/>
          <w:sz w:val="17"/>
          <w:szCs w:val="17"/>
          <w:color w:val="auto"/>
        </w:rPr>
        <w:t>We are currently only in the preclinical testing stages for our most advanced research programs. We have not initiated clinical development of any product candidate and expect that it will be many years, if ever, before we have a product candidate ready for commercialization. We may never succeed in these activities and, even if we do, may never generate revenues that are significant enough to achieve profitability. To become and remain profitable, we must succeed in developing, obtaining marketing approval for and commercializing products that generate significant revenue. This will require us to be successful in a range of challenging activities, including completing preclinical testing and clinical trials of our product candidates, discovering additional product candidates, establishing arrangements with third parties for the manufacture of clinical supplies of our product candidates, obtaining marketing approval for our product candidates and manufacturing, marketing and selling any products for which we may obtain marketing approval.</w:t>
      </w:r>
    </w:p>
    <w:p>
      <w:pPr>
        <w:spacing w:after="0" w:line="193" w:lineRule="exact"/>
        <w:rPr>
          <w:sz w:val="20"/>
          <w:szCs w:val="20"/>
          <w:color w:val="auto"/>
        </w:rPr>
      </w:pPr>
    </w:p>
    <w:p>
      <w:pPr>
        <w:ind w:left="360" w:firstLine="535"/>
        <w:spacing w:after="0" w:line="250" w:lineRule="auto"/>
        <w:rPr>
          <w:sz w:val="20"/>
          <w:szCs w:val="20"/>
          <w:color w:val="auto"/>
        </w:rPr>
      </w:pPr>
      <w:r>
        <w:rPr>
          <w:rFonts w:ascii="Arial" w:cs="Arial" w:eastAsia="Arial" w:hAnsi="Arial"/>
          <w:sz w:val="17"/>
          <w:szCs w:val="17"/>
          <w:color w:val="auto"/>
        </w:rPr>
        <w:t>If one or more of the product candidates that we develop is approved for commercial sale, we anticipate incurring significant costs associated with commercializing any approved product candidate. Even if we are able to generate revenues from the sale of any approved products, we may not become profitable and may need to obtain additional funding to continue operations.</w:t>
      </w:r>
    </w:p>
    <w:p>
      <w:pPr>
        <w:spacing w:after="0" w:line="274" w:lineRule="exact"/>
        <w:rPr>
          <w:sz w:val="20"/>
          <w:szCs w:val="20"/>
          <w:color w:val="auto"/>
        </w:rPr>
      </w:pPr>
    </w:p>
    <w:p>
      <w:pPr>
        <w:ind w:left="360" w:right="320"/>
        <w:spacing w:after="0" w:line="284" w:lineRule="auto"/>
        <w:rPr>
          <w:sz w:val="20"/>
          <w:szCs w:val="20"/>
          <w:color w:val="auto"/>
        </w:rPr>
      </w:pPr>
      <w:r>
        <w:rPr>
          <w:rFonts w:ascii="Arial" w:cs="Arial" w:eastAsia="Arial" w:hAnsi="Arial"/>
          <w:sz w:val="17"/>
          <w:szCs w:val="17"/>
          <w:b w:val="1"/>
          <w:bCs w:val="1"/>
          <w:i w:val="1"/>
          <w:iCs w:val="1"/>
          <w:color w:val="auto"/>
        </w:rPr>
        <w:t>We will need substantial additional funding. If we are unable to raise capital when needed, we may be required to delay, limit, reduce or terminate our research or product development programs or future commercialization efforts.</w:t>
      </w:r>
    </w:p>
    <w:p>
      <w:pPr>
        <w:spacing w:after="0" w:line="56" w:lineRule="exact"/>
        <w:rPr>
          <w:sz w:val="20"/>
          <w:szCs w:val="20"/>
          <w:color w:val="auto"/>
        </w:rPr>
      </w:pPr>
    </w:p>
    <w:p>
      <w:pPr>
        <w:ind w:left="360" w:right="20" w:firstLine="535"/>
        <w:spacing w:after="0" w:line="243" w:lineRule="auto"/>
        <w:rPr>
          <w:sz w:val="20"/>
          <w:szCs w:val="20"/>
          <w:color w:val="auto"/>
        </w:rPr>
      </w:pPr>
      <w:r>
        <w:rPr>
          <w:rFonts w:ascii="Arial" w:cs="Arial" w:eastAsia="Arial" w:hAnsi="Arial"/>
          <w:sz w:val="17"/>
          <w:szCs w:val="17"/>
          <w:color w:val="auto"/>
        </w:rPr>
        <w:t>We expect our expenses to increase substantially in connection with our ongoing activities, particularly as we prepare for and initiate our planned Phase 1 clinical trials of ARV-110 and ARV-471, advance our neurodegenerative programs and continue research and development and initiate additional clinical trials of and potentially seek marketing approval for our lead programs and our other product candidates. In addition, if we obtain marketing approval for any of our product candidates, we expect to incur significant commercialization expenses related to product manufacturing, marketing, sales and distribution. Furthermore, upon the closing of this offering, we expect to incur additional costs associated with operating as a public company. Accordingly, we will need to obtain substantial additional funding in connection with our continuing operations. If we are unable to raise capital when needed or on attractive terms, we may be required to delay, limit, reduce or terminate our research, product development programs or any future commercialization efforts or grant rights to develop and market product candidates that we would otherwise prefer to develop and market ourselves.</w:t>
      </w:r>
    </w:p>
    <w:p>
      <w:pPr>
        <w:spacing w:after="0" w:line="198" w:lineRule="exact"/>
        <w:rPr>
          <w:sz w:val="20"/>
          <w:szCs w:val="20"/>
          <w:color w:val="auto"/>
        </w:rPr>
      </w:pPr>
    </w:p>
    <w:p>
      <w:pPr>
        <w:ind w:left="360" w:right="40" w:firstLine="535"/>
        <w:spacing w:after="0" w:line="244" w:lineRule="auto"/>
        <w:rPr>
          <w:sz w:val="20"/>
          <w:szCs w:val="20"/>
          <w:color w:val="auto"/>
        </w:rPr>
      </w:pPr>
      <w:r>
        <w:rPr>
          <w:rFonts w:ascii="Arial" w:cs="Arial" w:eastAsia="Arial" w:hAnsi="Arial"/>
          <w:sz w:val="17"/>
          <w:szCs w:val="17"/>
          <w:color w:val="auto"/>
        </w:rPr>
        <w:t>We had cash, cash equivalents and marketable securities of approximately $ 99.7 million as of June 30, 2018 and $39.2 million as of December 31, 2017. We believe that the net proceeds from this offering, together with our existing cash, cash equivalents and marketable securities, will enable us to fund our operating expenses and capital expenditure requirements for at least the next 24 months. We have based this estimate on assumptions that may prove to be wrong, and we could use our capital resources sooner than we currently expect. This estimate also assumes that we do not obtain any additional funding through collaborations or other strategic alliances, including under the license and option agreements that we entered into with Pfizer, Inc., or Pfizer, and Genentech, Inc. and F. Hoffman-La</w:t>
      </w:r>
    </w:p>
    <w:p>
      <w:pPr>
        <w:spacing w:after="0" w:line="32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040"/>
          </w:cols>
          <w:pgMar w:left="240" w:top="449" w:right="61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Roche Ltd, collectively referred to as Genentech. Our future capital requirements will depend on many factors, including:</w:t>
      </w:r>
    </w:p>
    <w:p>
      <w:pPr>
        <w:spacing w:after="0" w:line="119" w:lineRule="exact"/>
        <w:rPr>
          <w:sz w:val="20"/>
          <w:szCs w:val="20"/>
          <w:color w:val="auto"/>
        </w:rPr>
      </w:pPr>
    </w:p>
    <w:p>
      <w:pPr>
        <w:ind w:left="1100" w:right="900" w:hanging="210"/>
        <w:spacing w:after="0" w:line="259" w:lineRule="auto"/>
        <w:tabs>
          <w:tab w:leader="none" w:pos="11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progress, costs and results of our planned Phase 1 clinical trials for ARV-110 and ARV-471 and any future clinical development of ARV-110 and ARV-471;</w:t>
      </w:r>
    </w:p>
    <w:p>
      <w:pPr>
        <w:spacing w:after="0" w:line="89" w:lineRule="exact"/>
        <w:rPr>
          <w:rFonts w:ascii="Arial" w:cs="Arial" w:eastAsia="Arial" w:hAnsi="Arial"/>
          <w:sz w:val="17"/>
          <w:szCs w:val="17"/>
          <w:color w:val="auto"/>
        </w:rPr>
      </w:pPr>
    </w:p>
    <w:p>
      <w:pPr>
        <w:ind w:left="1100" w:right="100" w:hanging="210"/>
        <w:spacing w:after="0" w:line="259" w:lineRule="auto"/>
        <w:tabs>
          <w:tab w:leader="none" w:pos="11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scope, progress, costs and results of preclinical and clinical development for our other product candidates and development programs;</w:t>
      </w:r>
    </w:p>
    <w:p>
      <w:pPr>
        <w:spacing w:after="0" w:line="89" w:lineRule="exact"/>
        <w:rPr>
          <w:rFonts w:ascii="Arial" w:cs="Arial" w:eastAsia="Arial" w:hAnsi="Arial"/>
          <w:sz w:val="17"/>
          <w:szCs w:val="17"/>
          <w:color w:val="auto"/>
        </w:rPr>
      </w:pPr>
    </w:p>
    <w:p>
      <w:pPr>
        <w:ind w:left="1100" w:right="640" w:hanging="210"/>
        <w:spacing w:after="0" w:line="259" w:lineRule="auto"/>
        <w:tabs>
          <w:tab w:leader="none" w:pos="11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number and development requirements of other product candidates that we pursue, including our neurodegenerative research programs;</w:t>
      </w:r>
    </w:p>
    <w:p>
      <w:pPr>
        <w:spacing w:after="0" w:line="89" w:lineRule="exact"/>
        <w:rPr>
          <w:rFonts w:ascii="Arial" w:cs="Arial" w:eastAsia="Arial" w:hAnsi="Arial"/>
          <w:sz w:val="17"/>
          <w:szCs w:val="17"/>
          <w:color w:val="auto"/>
        </w:rPr>
      </w:pPr>
    </w:p>
    <w:p>
      <w:pPr>
        <w:ind w:left="1100" w:hanging="210"/>
        <w:spacing w:after="0"/>
        <w:tabs>
          <w:tab w:leader="none" w:pos="11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success of our collaborations with Pfizer and Genentech;</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costs, timing and outcome of regulatory review of our product candidates;</w:t>
      </w:r>
    </w:p>
    <w:p>
      <w:pPr>
        <w:spacing w:after="0" w:line="119" w:lineRule="exact"/>
        <w:rPr>
          <w:rFonts w:ascii="Arial" w:cs="Arial" w:eastAsia="Arial" w:hAnsi="Arial"/>
          <w:sz w:val="17"/>
          <w:szCs w:val="17"/>
          <w:color w:val="auto"/>
        </w:rPr>
      </w:pPr>
    </w:p>
    <w:p>
      <w:pPr>
        <w:ind w:left="1100" w:right="60" w:hanging="210"/>
        <w:spacing w:after="0" w:line="259" w:lineRule="auto"/>
        <w:tabs>
          <w:tab w:leader="none" w:pos="11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costs and timing of future commercialization activities, including product manufacturing, marketing, sales and distribution, for any of our product candidates for which we receive marketing approval;</w:t>
      </w:r>
    </w:p>
    <w:p>
      <w:pPr>
        <w:spacing w:after="0" w:line="89" w:lineRule="exact"/>
        <w:rPr>
          <w:rFonts w:ascii="Arial" w:cs="Arial" w:eastAsia="Arial" w:hAnsi="Arial"/>
          <w:sz w:val="17"/>
          <w:szCs w:val="17"/>
          <w:color w:val="auto"/>
        </w:rPr>
      </w:pPr>
    </w:p>
    <w:p>
      <w:pPr>
        <w:ind w:left="1100" w:hanging="210"/>
        <w:spacing w:after="0"/>
        <w:tabs>
          <w:tab w:leader="none" w:pos="11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revenue, if any, received from commercial sales of our product candidates for which we receive marketing approval;</w:t>
      </w:r>
    </w:p>
    <w:p>
      <w:pPr>
        <w:spacing w:after="0" w:line="119" w:lineRule="exact"/>
        <w:rPr>
          <w:rFonts w:ascii="Arial" w:cs="Arial" w:eastAsia="Arial" w:hAnsi="Arial"/>
          <w:sz w:val="17"/>
          <w:szCs w:val="17"/>
          <w:color w:val="auto"/>
        </w:rPr>
      </w:pPr>
    </w:p>
    <w:p>
      <w:pPr>
        <w:ind w:left="1100" w:right="180" w:hanging="210"/>
        <w:spacing w:after="0" w:line="259" w:lineRule="auto"/>
        <w:tabs>
          <w:tab w:leader="none" w:pos="11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costs and timing of preparing, filing and prosecuting patent applications, maintaining and enforcing our intellectual property rights and defending any intellectual property-related claims; and</w:t>
      </w:r>
    </w:p>
    <w:p>
      <w:pPr>
        <w:spacing w:after="0" w:line="89" w:lineRule="exact"/>
        <w:rPr>
          <w:rFonts w:ascii="Arial" w:cs="Arial" w:eastAsia="Arial" w:hAnsi="Arial"/>
          <w:sz w:val="17"/>
          <w:szCs w:val="17"/>
          <w:color w:val="auto"/>
        </w:rPr>
      </w:pPr>
    </w:p>
    <w:p>
      <w:pPr>
        <w:ind w:left="1100" w:right="160" w:hanging="210"/>
        <w:spacing w:after="0" w:line="259" w:lineRule="auto"/>
        <w:tabs>
          <w:tab w:leader="none" w:pos="11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to establish collaboration arrangements with other biotechnology or pharmaceutical companies on favorable terms, if at all, for the development or commercialization of our product candidates.</w:t>
      </w:r>
    </w:p>
    <w:p>
      <w:pPr>
        <w:spacing w:after="0" w:line="181" w:lineRule="exact"/>
        <w:rPr>
          <w:sz w:val="20"/>
          <w:szCs w:val="20"/>
          <w:color w:val="auto"/>
        </w:rPr>
      </w:pPr>
    </w:p>
    <w:p>
      <w:pPr>
        <w:ind w:left="360" w:firstLine="535"/>
        <w:spacing w:after="0" w:line="244" w:lineRule="auto"/>
        <w:rPr>
          <w:sz w:val="20"/>
          <w:szCs w:val="20"/>
          <w:color w:val="auto"/>
        </w:rPr>
      </w:pPr>
      <w:r>
        <w:rPr>
          <w:rFonts w:ascii="Arial" w:cs="Arial" w:eastAsia="Arial" w:hAnsi="Arial"/>
          <w:sz w:val="17"/>
          <w:szCs w:val="17"/>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at all. Accordingly, we will need to obtain substantial additional funds to achieve our business objectives. Adequate additional funds may not be available to us on acceptable terms, or at all. In addition, we may seek additional capital due to favorable market conditions or strategic considerations, even if we believe we have sufficient funds for our current or future operating plans.</w:t>
      </w:r>
    </w:p>
    <w:p>
      <w:pPr>
        <w:spacing w:after="0" w:line="280" w:lineRule="exact"/>
        <w:rPr>
          <w:sz w:val="20"/>
          <w:szCs w:val="20"/>
          <w:color w:val="auto"/>
        </w:rPr>
      </w:pPr>
    </w:p>
    <w:p>
      <w:pPr>
        <w:ind w:left="360" w:right="600"/>
        <w:spacing w:after="0" w:line="284" w:lineRule="auto"/>
        <w:rPr>
          <w:sz w:val="20"/>
          <w:szCs w:val="20"/>
          <w:color w:val="auto"/>
        </w:rPr>
      </w:pPr>
      <w:r>
        <w:rPr>
          <w:rFonts w:ascii="Arial" w:cs="Arial" w:eastAsia="Arial" w:hAnsi="Arial"/>
          <w:sz w:val="17"/>
          <w:szCs w:val="17"/>
          <w:b w:val="1"/>
          <w:bCs w:val="1"/>
          <w:i w:val="1"/>
          <w:iCs w:val="1"/>
          <w:color w:val="auto"/>
        </w:rPr>
        <w:t>Raising additional capital may cause dilution to our stockholders, including purchasers of common stock in this offering, restrict our operations or require us to relinquish rights to our technologies or product candidates.</w:t>
      </w:r>
    </w:p>
    <w:p>
      <w:pPr>
        <w:spacing w:after="0" w:line="56" w:lineRule="exact"/>
        <w:rPr>
          <w:sz w:val="20"/>
          <w:szCs w:val="20"/>
          <w:color w:val="auto"/>
        </w:rPr>
      </w:pPr>
    </w:p>
    <w:p>
      <w:pPr>
        <w:ind w:left="360" w:right="40" w:firstLine="535"/>
        <w:spacing w:after="0" w:line="244" w:lineRule="auto"/>
        <w:rPr>
          <w:sz w:val="20"/>
          <w:szCs w:val="20"/>
          <w:color w:val="auto"/>
        </w:rPr>
      </w:pPr>
      <w:r>
        <w:rPr>
          <w:rFonts w:ascii="Arial" w:cs="Arial" w:eastAsia="Arial" w:hAnsi="Arial"/>
          <w:sz w:val="17"/>
          <w:szCs w:val="17"/>
          <w:color w:val="auto"/>
        </w:rPr>
        <w:t>Until such time, if ever, as we can generate substantial revenue from product sales, we expect to finance our cash needs through a combination of equity offerings, debt financings, collaborations, strategic alliances and marketing, distribution or licensing arrangements. Although we may receive potential future payments under our collaborations with Pfizer and Genentech, we do not currently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w:t>
      </w:r>
    </w:p>
    <w:p>
      <w:pPr>
        <w:spacing w:after="0" w:line="127"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040"/>
          </w:cols>
          <w:pgMar w:left="240" w:top="449" w:right="61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We have in the past entered into financing arrangements with the State of Connecticut and related entities. These include</w:t>
      </w:r>
    </w:p>
    <w:p>
      <w:pPr>
        <w:spacing w:after="0" w:line="1" w:lineRule="exact"/>
        <w:rPr>
          <w:sz w:val="20"/>
          <w:szCs w:val="20"/>
          <w:color w:val="auto"/>
        </w:rPr>
      </w:pPr>
    </w:p>
    <w:p>
      <w:pPr>
        <w:ind w:left="360" w:right="20"/>
        <w:spacing w:after="0" w:line="243" w:lineRule="auto"/>
        <w:rPr>
          <w:sz w:val="20"/>
          <w:szCs w:val="20"/>
          <w:color w:val="auto"/>
        </w:rPr>
      </w:pPr>
      <w:r>
        <w:rPr>
          <w:rFonts w:ascii="Arial" w:cs="Arial" w:eastAsia="Arial" w:hAnsi="Arial"/>
          <w:sz w:val="17"/>
          <w:szCs w:val="17"/>
          <w:color w:val="auto"/>
        </w:rPr>
        <w:t>$4.5 million in partially forgivable loans from the State of Connecticut and a loan agreement with Connecticut Innovations, Incorporated, or CII, the strategic venture capital arm and a component unit of the State of Connecticut, in an aggregate principal amount of $750,000. We also granted CII a warrant to purchase 110,116 of our series A preferred units, which it exercised in July 2018. Covenants in these financing arrangements impose certain limitations and obligations on us, including restrictions on our ability to incur additional debt, to enter into certain business combinations, and from moving our principal offices out of Connecticut. If we were to move our principal offices out of Connecticut or certain employment conditions are not met, we would be obligated to repay the full amount of our previously forgiven loans to the State of Connecticut, currently $2.5 million, and prepay a portion of our unforgiven loans to the State of Connecticut, currently $2.0 million, plus liquidated damages of 7.50%. Additionally, CII would be entitled to obligate us to purchase all of our outstanding securities owned by CII for a specified guaranteed return pursuant to a put agreement with CII.</w:t>
      </w:r>
    </w:p>
    <w:p>
      <w:pPr>
        <w:spacing w:after="0" w:line="198" w:lineRule="exact"/>
        <w:rPr>
          <w:sz w:val="20"/>
          <w:szCs w:val="20"/>
          <w:color w:val="auto"/>
        </w:rPr>
      </w:pPr>
    </w:p>
    <w:p>
      <w:pPr>
        <w:ind w:left="360" w:right="40" w:firstLine="535"/>
        <w:spacing w:after="0" w:line="250"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w:t>
      </w:r>
    </w:p>
    <w:p>
      <w:pPr>
        <w:spacing w:after="0" w:line="274" w:lineRule="exact"/>
        <w:rPr>
          <w:sz w:val="20"/>
          <w:szCs w:val="20"/>
          <w:color w:val="auto"/>
        </w:rPr>
      </w:pPr>
    </w:p>
    <w:p>
      <w:pPr>
        <w:ind w:left="360" w:right="400"/>
        <w:spacing w:after="0" w:line="284" w:lineRule="auto"/>
        <w:rPr>
          <w:sz w:val="20"/>
          <w:szCs w:val="20"/>
          <w:color w:val="auto"/>
        </w:rPr>
      </w:pPr>
      <w:r>
        <w:rPr>
          <w:rFonts w:ascii="Arial" w:cs="Arial" w:eastAsia="Arial" w:hAnsi="Arial"/>
          <w:sz w:val="17"/>
          <w:szCs w:val="17"/>
          <w:b w:val="1"/>
          <w:bCs w:val="1"/>
          <w:i w:val="1"/>
          <w:iCs w:val="1"/>
          <w:color w:val="auto"/>
        </w:rPr>
        <w:t>Our limited operating history may make it difficult for you to evaluate the success of our business to date and to assess our future viability.</w:t>
      </w:r>
    </w:p>
    <w:p>
      <w:pPr>
        <w:spacing w:after="0" w:line="56" w:lineRule="exact"/>
        <w:rPr>
          <w:sz w:val="20"/>
          <w:szCs w:val="20"/>
          <w:color w:val="auto"/>
        </w:rPr>
      </w:pPr>
    </w:p>
    <w:p>
      <w:pPr>
        <w:ind w:left="360" w:firstLine="535"/>
        <w:spacing w:after="0" w:line="244" w:lineRule="auto"/>
        <w:rPr>
          <w:sz w:val="20"/>
          <w:szCs w:val="20"/>
          <w:color w:val="auto"/>
        </w:rPr>
      </w:pPr>
      <w:r>
        <w:rPr>
          <w:rFonts w:ascii="Arial" w:cs="Arial" w:eastAsia="Arial" w:hAnsi="Arial"/>
          <w:sz w:val="17"/>
          <w:szCs w:val="17"/>
          <w:color w:val="auto"/>
        </w:rPr>
        <w:t>We commenced operations in 2013, and our operations to date have been limited to organizing and staffing our company, business planning, raising capital, conducting discovery and research activities, filing patent applications, identifying potential product candidates, undertaking preclinical studies and establishing arrangements with third parties for the manufacture of initial quantities of our product candidates. All of our product candidates are still in preclinical development. We have not yet demonstrated our ability to successfully initiate or complete any clinical trials, obtain marketing approvals, manufacture a commercial scale product, or arrange for a third party to do so on our behalf, or conduct sales, marketing and distribution activities necessary for successful product commercialization. Consequently, any predictions you make about our future success or viability may not be as accurate as they could be if we had a longer operating history.</w:t>
      </w:r>
    </w:p>
    <w:p>
      <w:pPr>
        <w:spacing w:after="0" w:line="392" w:lineRule="exact"/>
        <w:rPr>
          <w:sz w:val="20"/>
          <w:szCs w:val="20"/>
          <w:color w:val="auto"/>
        </w:rPr>
      </w:pPr>
    </w:p>
    <w:p>
      <w:pPr>
        <w:jc w:val="both"/>
        <w:ind w:left="360" w:right="100" w:firstLine="535"/>
        <w:spacing w:after="0" w:line="250" w:lineRule="auto"/>
        <w:rPr>
          <w:sz w:val="20"/>
          <w:szCs w:val="20"/>
          <w:color w:val="auto"/>
        </w:rPr>
      </w:pPr>
      <w:r>
        <w:rPr>
          <w:rFonts w:ascii="Arial" w:cs="Arial" w:eastAsia="Arial" w:hAnsi="Arial"/>
          <w:sz w:val="17"/>
          <w:szCs w:val="17"/>
          <w:color w:val="auto"/>
        </w:rPr>
        <w:t>In addition, as a young business,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189" w:lineRule="exact"/>
        <w:rPr>
          <w:sz w:val="20"/>
          <w:szCs w:val="20"/>
          <w:color w:val="auto"/>
        </w:rPr>
      </w:pPr>
    </w:p>
    <w:p>
      <w:pPr>
        <w:ind w:left="360" w:right="40" w:firstLine="535"/>
        <w:spacing w:after="0" w:line="250" w:lineRule="auto"/>
        <w:rPr>
          <w:sz w:val="20"/>
          <w:szCs w:val="20"/>
          <w:color w:val="auto"/>
        </w:rPr>
      </w:pPr>
      <w:r>
        <w:rPr>
          <w:rFonts w:ascii="Arial" w:cs="Arial" w:eastAsia="Arial" w:hAnsi="Arial"/>
          <w:sz w:val="17"/>
          <w:szCs w:val="17"/>
          <w:color w:val="auto"/>
        </w:rPr>
        <w:t>We expect our financial condition and operating results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274"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The recently passed comprehensive tax reform bill could adversely affect our business and financial condition.</w:t>
      </w:r>
    </w:p>
    <w:p>
      <w:pPr>
        <w:spacing w:after="0" w:line="126" w:lineRule="exact"/>
        <w:rPr>
          <w:sz w:val="20"/>
          <w:szCs w:val="20"/>
          <w:color w:val="auto"/>
        </w:rPr>
      </w:pPr>
    </w:p>
    <w:p>
      <w:pPr>
        <w:ind w:left="360" w:right="160" w:firstLine="535"/>
        <w:spacing w:after="0" w:line="245" w:lineRule="auto"/>
        <w:rPr>
          <w:sz w:val="20"/>
          <w:szCs w:val="20"/>
          <w:color w:val="auto"/>
        </w:rPr>
      </w:pPr>
      <w:r>
        <w:rPr>
          <w:rFonts w:ascii="Arial" w:cs="Arial" w:eastAsia="Arial" w:hAnsi="Arial"/>
          <w:sz w:val="17"/>
          <w:szCs w:val="17"/>
          <w:color w:val="auto"/>
        </w:rPr>
        <w:t>On December 22, 2017, President Trump signed into law new legislation that significantly revises the Internal Revenue Code of 1986, as amended. The newly enacted federal income tax law contains, among other things, significant changes to corporate taxation, including reduction of the corporate tax rate from a top marginal rate of 35% to a flat rate of 21%, limitation of the tax deduction for net interest expense to 30% of adjusted earnings (except for certain small businesses), limitation of the deduction for net operating losses to 80% of current year taxable income and elimination of net operating loss carrybacks, in each case, for losses arising in taxable years beginning after December 31, 2017</w:t>
      </w:r>
    </w:p>
    <w:p>
      <w:pPr>
        <w:spacing w:after="0" w:line="127"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040"/>
          </w:cols>
          <w:pgMar w:left="240" w:top="449" w:right="61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20"/>
        <w:spacing w:after="0" w:line="244" w:lineRule="auto"/>
        <w:rPr>
          <w:sz w:val="20"/>
          <w:szCs w:val="20"/>
          <w:color w:val="auto"/>
        </w:rPr>
      </w:pPr>
      <w:r>
        <w:rPr>
          <w:rFonts w:ascii="Arial" w:cs="Arial" w:eastAsia="Arial" w:hAnsi="Arial"/>
          <w:sz w:val="17"/>
          <w:szCs w:val="17"/>
          <w:color w:val="auto"/>
        </w:rPr>
        <w:t>(though any such net operating losses may be carried forward indefinitely), one-time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Notwithstanding the reduction in the corporate income tax rate, the overall impact of the new federal tax law is uncertain and our business and financial condition could be adversely affected. In addition, it is uncertain how various states will respond to the newly enacted federal tax law. The impact of this tax reform on holders of our common stock is also uncertain and could be adverse. We urge prospective investors in our common stock to consult with their legal and tax advisors with respect to this legislation and the potential tax consequences of investing in or holding our common stock.</w:t>
      </w:r>
    </w:p>
    <w:p>
      <w:pPr>
        <w:spacing w:after="0" w:line="278" w:lineRule="exact"/>
        <w:rPr>
          <w:sz w:val="20"/>
          <w:szCs w:val="20"/>
          <w:color w:val="auto"/>
        </w:rPr>
      </w:pPr>
    </w:p>
    <w:p>
      <w:pPr>
        <w:ind w:left="360" w:right="240"/>
        <w:spacing w:after="0" w:line="284" w:lineRule="auto"/>
        <w:rPr>
          <w:sz w:val="20"/>
          <w:szCs w:val="20"/>
          <w:color w:val="auto"/>
        </w:rPr>
      </w:pPr>
      <w:r>
        <w:rPr>
          <w:rFonts w:ascii="Arial" w:cs="Arial" w:eastAsia="Arial" w:hAnsi="Arial"/>
          <w:sz w:val="17"/>
          <w:szCs w:val="17"/>
          <w:b w:val="1"/>
          <w:bCs w:val="1"/>
          <w:i w:val="1"/>
          <w:iCs w:val="1"/>
          <w:color w:val="auto"/>
        </w:rPr>
        <w:t>We might not be able to utilize a significant portion of our net operating loss carryforwards and research and development tax credit carryforwards.</w:t>
      </w:r>
    </w:p>
    <w:p>
      <w:pPr>
        <w:spacing w:after="0" w:line="56" w:lineRule="exact"/>
        <w:rPr>
          <w:sz w:val="20"/>
          <w:szCs w:val="20"/>
          <w:color w:val="auto"/>
        </w:rPr>
      </w:pPr>
    </w:p>
    <w:p>
      <w:pPr>
        <w:ind w:left="360" w:right="60" w:firstLine="535"/>
        <w:spacing w:after="0" w:line="245" w:lineRule="auto"/>
        <w:rPr>
          <w:sz w:val="20"/>
          <w:szCs w:val="20"/>
          <w:color w:val="auto"/>
        </w:rPr>
      </w:pPr>
      <w:r>
        <w:rPr>
          <w:rFonts w:ascii="Arial" w:cs="Arial" w:eastAsia="Arial" w:hAnsi="Arial"/>
          <w:sz w:val="17"/>
          <w:szCs w:val="17"/>
          <w:color w:val="auto"/>
        </w:rPr>
        <w:t>As of December 31, 2017, we had federal net operating loss carryforwards of $52.3 million, which will, if not used, expire at various dates through 2036, and federal research and development tax credit carryforward of $ 1.7 million, which will, if not used, expire at various dates through 2036. These net operating loss and tax credit carryforwards could expire unused and be unavailable to offset our future income tax liabilities. Under the newly enacted federal income tax law, federal net operating losses incurred in 2018 and in future years may be carried forward indefinitely, but the deductibility of such federal net operating losses is limited. It is uncertain how various states will respond to the newly enacted federal tax law.</w:t>
      </w:r>
    </w:p>
    <w:p>
      <w:pPr>
        <w:spacing w:after="0" w:line="192" w:lineRule="exact"/>
        <w:rPr>
          <w:sz w:val="20"/>
          <w:szCs w:val="20"/>
          <w:color w:val="auto"/>
        </w:rPr>
      </w:pPr>
    </w:p>
    <w:p>
      <w:pPr>
        <w:ind w:left="360" w:firstLine="535"/>
        <w:spacing w:after="0" w:line="243" w:lineRule="auto"/>
        <w:rPr>
          <w:sz w:val="20"/>
          <w:szCs w:val="20"/>
          <w:color w:val="auto"/>
        </w:rPr>
      </w:pPr>
      <w:r>
        <w:rPr>
          <w:rFonts w:ascii="Arial" w:cs="Arial" w:eastAsia="Arial" w:hAnsi="Arial"/>
          <w:sz w:val="17"/>
          <w:szCs w:val="17"/>
          <w:color w:val="auto"/>
        </w:rPr>
        <w:t>In addition, under Section 382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have not determined if we have experienced Section 382 ownership changes in the past and if a portion of our net operating loss and tax credit carryforwards are subject to an annual limitation under Section 382. In addition, we may experience ownership changes in the future as a result of subsequent changes in our stock ownership, including this offering, some of which may be outside of our control. If we determine that an ownership change has occurred and our ability to use our historical net operating loss and tax credit carryforwards is materially limited, it would harm our future operating results by effectively increasing our future tax obligations.</w:t>
      </w:r>
    </w:p>
    <w:p>
      <w:pPr>
        <w:spacing w:after="0" w:line="281"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Risks Related to the Discovery and Development of Our Product Candidates</w:t>
      </w:r>
    </w:p>
    <w:p>
      <w:pPr>
        <w:spacing w:after="0" w:line="213" w:lineRule="exact"/>
        <w:rPr>
          <w:sz w:val="20"/>
          <w:szCs w:val="20"/>
          <w:color w:val="auto"/>
        </w:rPr>
      </w:pPr>
    </w:p>
    <w:p>
      <w:pPr>
        <w:ind w:left="360" w:right="60"/>
        <w:spacing w:after="0" w:line="284" w:lineRule="auto"/>
        <w:rPr>
          <w:sz w:val="20"/>
          <w:szCs w:val="20"/>
          <w:color w:val="auto"/>
        </w:rPr>
      </w:pPr>
      <w:r>
        <w:rPr>
          <w:rFonts w:ascii="Arial" w:cs="Arial" w:eastAsia="Arial" w:hAnsi="Arial"/>
          <w:sz w:val="17"/>
          <w:szCs w:val="17"/>
          <w:b w:val="1"/>
          <w:bCs w:val="1"/>
          <w:i w:val="1"/>
          <w:iCs w:val="1"/>
          <w:color w:val="auto"/>
        </w:rPr>
        <w:t>Our approach to the discovery and development of product candidates based on our PROTAC technology platform is unproven, which makes it difficult to predict the time, cost of development and likelihood of successfully developing any products.</w:t>
      </w:r>
    </w:p>
    <w:p>
      <w:pPr>
        <w:spacing w:after="0" w:line="56" w:lineRule="exact"/>
        <w:rPr>
          <w:sz w:val="20"/>
          <w:szCs w:val="20"/>
          <w:color w:val="auto"/>
        </w:rPr>
      </w:pPr>
    </w:p>
    <w:p>
      <w:pPr>
        <w:ind w:left="360" w:right="40" w:firstLine="535"/>
        <w:spacing w:after="0" w:line="244" w:lineRule="auto"/>
        <w:rPr>
          <w:sz w:val="20"/>
          <w:szCs w:val="20"/>
          <w:color w:val="auto"/>
        </w:rPr>
      </w:pPr>
      <w:r>
        <w:rPr>
          <w:rFonts w:ascii="Arial" w:cs="Arial" w:eastAsia="Arial" w:hAnsi="Arial"/>
          <w:sz w:val="17"/>
          <w:szCs w:val="17"/>
          <w:color w:val="auto"/>
        </w:rPr>
        <w:t>Our PROTAC technology platform is a relatively new technology. Our future success depends on the successful development of this novel therapeutic approach. No product candidates that use a chimeric small molecule approach to protein degradation, such as our PROTACs, have been tested in humans or approved in the United States or Europe, and the data underlying the feasibility of developing chimeric small molecule-based therapeutic products is both preliminary and limited. We have not yet succeeded and may not succeed in demonstrating the efficacy and safety of any of our product candidates in clinical trials or in obtaining marketing approval thereafter. We have not yet initiated a clinical trial of any product candidate and we have not yet assessed safety of any product candidate in humans. As such, there may be adverse effects from treatment with any of our current or future product candidates that we cannot predict at this time.</w:t>
      </w:r>
    </w:p>
    <w:p>
      <w:pPr>
        <w:spacing w:after="0" w:line="13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060"/>
          </w:cols>
          <w:pgMar w:left="240" w:top="449" w:right="59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120" w:firstLine="535"/>
        <w:spacing w:after="0" w:line="245" w:lineRule="auto"/>
        <w:rPr>
          <w:sz w:val="20"/>
          <w:szCs w:val="20"/>
          <w:color w:val="auto"/>
        </w:rPr>
      </w:pPr>
      <w:r>
        <w:rPr>
          <w:rFonts w:ascii="Arial" w:cs="Arial" w:eastAsia="Arial" w:hAnsi="Arial"/>
          <w:sz w:val="17"/>
          <w:szCs w:val="17"/>
          <w:color w:val="auto"/>
        </w:rPr>
        <w:t>As a result of these factors, it is more difficult for us to predict the time and cost of product candidate development, and we cannot predict whether the application of our PROTAC platform, or any similar or competitive protein degradation platforms, will result in the development, and marketing approval of any products. Any development problems we experience in the future related to our PROTAC platform or any of our research programs may cause significant delays or unanticipated costs or may prevent the development of a commercially viable product. Any of these factors may prevent us from completing our preclinical studies or any clinical trials that we may initiate or commercializing any product candidates we may develop on a timely or profitable basis, if at all.</w:t>
      </w:r>
    </w:p>
    <w:p>
      <w:pPr>
        <w:spacing w:after="0" w:line="277" w:lineRule="exact"/>
        <w:rPr>
          <w:sz w:val="20"/>
          <w:szCs w:val="20"/>
          <w:color w:val="auto"/>
        </w:rPr>
      </w:pPr>
    </w:p>
    <w:p>
      <w:pPr>
        <w:ind w:left="360" w:right="180"/>
        <w:spacing w:after="0" w:line="284" w:lineRule="auto"/>
        <w:rPr>
          <w:sz w:val="20"/>
          <w:szCs w:val="20"/>
          <w:color w:val="auto"/>
        </w:rPr>
      </w:pPr>
      <w:r>
        <w:rPr>
          <w:rFonts w:ascii="Arial" w:cs="Arial" w:eastAsia="Arial" w:hAnsi="Arial"/>
          <w:sz w:val="17"/>
          <w:szCs w:val="17"/>
          <w:b w:val="1"/>
          <w:bCs w:val="1"/>
          <w:i w:val="1"/>
          <w:iCs w:val="1"/>
          <w:color w:val="auto"/>
        </w:rPr>
        <w:t>We are very early in our development efforts. All of our product candidates are still in preclinical development. If we are unable to commercialize our product candidates or experience significant delays in doing so, our business will be materially harmed.</w:t>
      </w:r>
    </w:p>
    <w:p>
      <w:pPr>
        <w:spacing w:after="0" w:line="56" w:lineRule="exact"/>
        <w:rPr>
          <w:sz w:val="20"/>
          <w:szCs w:val="20"/>
          <w:color w:val="auto"/>
        </w:rPr>
      </w:pPr>
    </w:p>
    <w:p>
      <w:pPr>
        <w:ind w:left="360" w:right="420" w:firstLine="535"/>
        <w:spacing w:after="0" w:line="247" w:lineRule="auto"/>
        <w:rPr>
          <w:sz w:val="20"/>
          <w:szCs w:val="20"/>
          <w:color w:val="auto"/>
        </w:rPr>
      </w:pPr>
      <w:r>
        <w:rPr>
          <w:rFonts w:ascii="Arial" w:cs="Arial" w:eastAsia="Arial" w:hAnsi="Arial"/>
          <w:sz w:val="17"/>
          <w:szCs w:val="17"/>
          <w:color w:val="auto"/>
        </w:rPr>
        <w:t>We are very early in our development efforts. All of our product candidates are still in preclinical development. Our ability to generate revenue from product sales, which we do not expect will occur for many years, if ever, will depend heavily on the successful development and eventual commercialization of one or more of our product candidates. The success of our product candidates will depend on several factors, including the following:</w:t>
      </w:r>
    </w:p>
    <w:p>
      <w:pPr>
        <w:spacing w:after="0" w:line="100" w:lineRule="exact"/>
        <w:rPr>
          <w:sz w:val="20"/>
          <w:szCs w:val="20"/>
          <w:color w:val="auto"/>
        </w:rPr>
      </w:pPr>
    </w:p>
    <w:p>
      <w:pPr>
        <w:ind w:left="1100" w:hanging="210"/>
        <w:spacing w:after="0"/>
        <w:tabs>
          <w:tab w:leader="none" w:pos="11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successful completion of preclinical studies;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successful initiation of clinical trials;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successful patient enrollment in and completion of clinical trials;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receipt and related terms of marketing approvals from applicable regulatory authorities;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obtaining and maintaining patent and trade secret protection and regulatory exclusivity for our product candidates;</w:t>
      </w:r>
    </w:p>
    <w:p>
      <w:pPr>
        <w:spacing w:after="0" w:line="119" w:lineRule="exact"/>
        <w:rPr>
          <w:rFonts w:ascii="Arial" w:cs="Arial" w:eastAsia="Arial" w:hAnsi="Arial"/>
          <w:sz w:val="17"/>
          <w:szCs w:val="17"/>
          <w:color w:val="auto"/>
        </w:rPr>
      </w:pPr>
    </w:p>
    <w:p>
      <w:pPr>
        <w:ind w:left="1100" w:right="80" w:hanging="210"/>
        <w:spacing w:after="0" w:line="259" w:lineRule="auto"/>
        <w:tabs>
          <w:tab w:leader="none" w:pos="11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making arrangements with third-party manufacturers, or establishing manufacturing capabilities, for both clinical and commercial supplies of our product candidates;</w:t>
      </w:r>
    </w:p>
    <w:p>
      <w:pPr>
        <w:spacing w:after="0" w:line="89" w:lineRule="exact"/>
        <w:rPr>
          <w:rFonts w:ascii="Arial" w:cs="Arial" w:eastAsia="Arial" w:hAnsi="Arial"/>
          <w:sz w:val="17"/>
          <w:szCs w:val="17"/>
          <w:color w:val="auto"/>
        </w:rPr>
      </w:pPr>
    </w:p>
    <w:p>
      <w:pPr>
        <w:ind w:left="1100" w:hanging="210"/>
        <w:spacing w:after="0" w:line="259" w:lineRule="auto"/>
        <w:tabs>
          <w:tab w:leader="none" w:pos="11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establishing sales, marketing and distribution capabilities and launching commercial sales of our products, if and when approved, whether alone or in collaboration with others;</w:t>
      </w:r>
    </w:p>
    <w:p>
      <w:pPr>
        <w:spacing w:after="0" w:line="89" w:lineRule="exact"/>
        <w:rPr>
          <w:rFonts w:ascii="Arial" w:cs="Arial" w:eastAsia="Arial" w:hAnsi="Arial"/>
          <w:sz w:val="17"/>
          <w:szCs w:val="17"/>
          <w:color w:val="auto"/>
        </w:rPr>
      </w:pPr>
    </w:p>
    <w:p>
      <w:pPr>
        <w:ind w:left="1100" w:hanging="210"/>
        <w:spacing w:after="0"/>
        <w:tabs>
          <w:tab w:leader="none" w:pos="11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acceptance of our products, if and when approved, by patients, the medical community and third-party payors;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obtaining and maintaining third-party coverage and adequate reimbursement;</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maintaining a continued acceptable safety profile of the products following approval; and</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effectively competing with other therapies.</w:t>
      </w:r>
    </w:p>
    <w:p>
      <w:pPr>
        <w:spacing w:after="0" w:line="211" w:lineRule="exact"/>
        <w:rPr>
          <w:sz w:val="20"/>
          <w:szCs w:val="20"/>
          <w:color w:val="auto"/>
        </w:rPr>
      </w:pPr>
    </w:p>
    <w:p>
      <w:pPr>
        <w:ind w:left="360" w:right="120" w:firstLine="535"/>
        <w:spacing w:after="0" w:line="259" w:lineRule="auto"/>
        <w:rPr>
          <w:sz w:val="20"/>
          <w:szCs w:val="20"/>
          <w:color w:val="auto"/>
        </w:rPr>
      </w:pPr>
      <w:r>
        <w:rPr>
          <w:rFonts w:ascii="Arial" w:cs="Arial" w:eastAsia="Arial" w:hAnsi="Arial"/>
          <w:sz w:val="17"/>
          <w:szCs w:val="17"/>
          <w:color w:val="auto"/>
        </w:rPr>
        <w:t>If we do not achieve one or more of these factors in a timely manner or at all, we could experience significant delays or an inability to successfully commercialize our product candidates, which would materially harm our business.</w:t>
      </w:r>
    </w:p>
    <w:p>
      <w:pPr>
        <w:spacing w:after="0" w:line="266" w:lineRule="exact"/>
        <w:rPr>
          <w:sz w:val="20"/>
          <w:szCs w:val="20"/>
          <w:color w:val="auto"/>
        </w:rPr>
      </w:pPr>
    </w:p>
    <w:p>
      <w:pPr>
        <w:jc w:val="both"/>
        <w:ind w:left="360" w:right="320"/>
        <w:spacing w:after="0" w:line="262" w:lineRule="auto"/>
        <w:rPr>
          <w:sz w:val="20"/>
          <w:szCs w:val="20"/>
          <w:color w:val="auto"/>
        </w:rPr>
      </w:pPr>
      <w:r>
        <w:rPr>
          <w:rFonts w:ascii="Arial" w:cs="Arial" w:eastAsia="Arial" w:hAnsi="Arial"/>
          <w:sz w:val="17"/>
          <w:szCs w:val="17"/>
          <w:b w:val="1"/>
          <w:bCs w:val="1"/>
          <w:i w:val="1"/>
          <w:iCs w:val="1"/>
          <w:color w:val="auto"/>
        </w:rPr>
        <w:t>Drug development involves a lengthy and expensive process, with an uncertain outcome. We may incur unexpected costs or experience delays in completing, or ultimately be unable to complete, the development and commercialization of our product candidates.</w:t>
      </w:r>
    </w:p>
    <w:p>
      <w:pPr>
        <w:spacing w:after="0" w:line="75" w:lineRule="exact"/>
        <w:rPr>
          <w:sz w:val="20"/>
          <w:szCs w:val="20"/>
          <w:color w:val="auto"/>
        </w:rPr>
      </w:pPr>
    </w:p>
    <w:p>
      <w:pPr>
        <w:ind w:left="360" w:right="140" w:firstLine="535"/>
        <w:spacing w:after="0" w:line="250" w:lineRule="auto"/>
        <w:rPr>
          <w:sz w:val="20"/>
          <w:szCs w:val="20"/>
          <w:color w:val="auto"/>
        </w:rPr>
      </w:pPr>
      <w:r>
        <w:rPr>
          <w:rFonts w:ascii="Arial" w:cs="Arial" w:eastAsia="Arial" w:hAnsi="Arial"/>
          <w:sz w:val="17"/>
          <w:szCs w:val="17"/>
          <w:color w:val="auto"/>
        </w:rPr>
        <w:t>All of our product candidates are in preclinical development and their risk of failure is high. We are unable to predict when or if any of our product candidates will prove effective or safe in humans or will receive marketing approval. Before obtaining marketing approval from regulatory authorities for the sale of any product candidate, we must conduct extensive clinical trials to demonstrate the safety and</w:t>
      </w:r>
    </w:p>
    <w:p>
      <w:pPr>
        <w:spacing w:after="0" w:line="123"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060"/>
          </w:cols>
          <w:pgMar w:left="240" w:top="449" w:right="59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80"/>
        <w:spacing w:after="0" w:line="245" w:lineRule="auto"/>
        <w:rPr>
          <w:sz w:val="20"/>
          <w:szCs w:val="20"/>
          <w:color w:val="auto"/>
        </w:rPr>
      </w:pPr>
      <w:r>
        <w:rPr>
          <w:rFonts w:ascii="Arial" w:cs="Arial" w:eastAsia="Arial" w:hAnsi="Arial"/>
          <w:sz w:val="17"/>
          <w:szCs w:val="17"/>
          <w:color w:val="auto"/>
        </w:rPr>
        <w:t>efficacy of our product candidates in humans. Before we can commence clinical trials for a product candidate, we must complete extensive preclinical testing and studies that support our planned Investigational New Drug Applications, or INDs, in the United States or similar applications in other jurisdictions. We cannot be certain of the timely completion or outcome of our preclinical testing and studies and cannot predict if the FDA or similar regulatory authorities outside the United States will accept our proposed clinical programs or if the outcome of our preclinical testing and studies will ultimately support the further development of our programs.</w:t>
      </w:r>
    </w:p>
    <w:p>
      <w:pPr>
        <w:spacing w:after="0" w:line="195" w:lineRule="exact"/>
        <w:rPr>
          <w:sz w:val="20"/>
          <w:szCs w:val="20"/>
          <w:color w:val="auto"/>
        </w:rPr>
      </w:pPr>
    </w:p>
    <w:p>
      <w:pPr>
        <w:ind w:left="360" w:firstLine="535"/>
        <w:spacing w:after="0" w:line="248" w:lineRule="auto"/>
        <w:rPr>
          <w:sz w:val="20"/>
          <w:szCs w:val="20"/>
          <w:color w:val="auto"/>
        </w:rPr>
      </w:pPr>
      <w:r>
        <w:rPr>
          <w:rFonts w:ascii="Arial" w:cs="Arial" w:eastAsia="Arial" w:hAnsi="Arial"/>
          <w:sz w:val="17"/>
          <w:szCs w:val="17"/>
          <w:color w:val="auto"/>
        </w:rPr>
        <w:t>Clinical testing is expensive, difficult to design and implement, can take many years to complete and is uncertain as to the outcome. A failure of one or more clinical trials can occur at any stage of testing. We may experience numerous unforeseen events during, or as a result of, clinical trials that could delay or prevent our ability to receive marketing approval or commercialize our product candidates, including:</w:t>
      </w:r>
    </w:p>
    <w:p>
      <w:pPr>
        <w:spacing w:after="0" w:line="299" w:lineRule="exact"/>
        <w:rPr>
          <w:sz w:val="20"/>
          <w:szCs w:val="20"/>
          <w:color w:val="auto"/>
        </w:rPr>
      </w:pPr>
    </w:p>
    <w:p>
      <w:pPr>
        <w:ind w:left="1100" w:right="560" w:hanging="210"/>
        <w:spacing w:after="0" w:line="259" w:lineRule="auto"/>
        <w:tabs>
          <w:tab w:leader="none" w:pos="11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regulators or institutional review boards may not authorize us or our investigators to commence a clinical trial or conduct a clinical trial at a prospective trial site;</w:t>
      </w:r>
    </w:p>
    <w:p>
      <w:pPr>
        <w:spacing w:after="0" w:line="89" w:lineRule="exact"/>
        <w:rPr>
          <w:rFonts w:ascii="Arial" w:cs="Arial" w:eastAsia="Arial" w:hAnsi="Arial"/>
          <w:sz w:val="17"/>
          <w:szCs w:val="17"/>
          <w:color w:val="auto"/>
        </w:rPr>
      </w:pPr>
    </w:p>
    <w:p>
      <w:pPr>
        <w:ind w:left="1100" w:right="200" w:hanging="210"/>
        <w:spacing w:after="0" w:line="259" w:lineRule="auto"/>
        <w:tabs>
          <w:tab w:leader="none" w:pos="11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may experience delays in reaching, or fail to reach, agreement on acceptable clinical trial contracts or clinical trial protocols with prospective trial sites;</w:t>
      </w:r>
    </w:p>
    <w:p>
      <w:pPr>
        <w:spacing w:after="0" w:line="89" w:lineRule="exact"/>
        <w:rPr>
          <w:rFonts w:ascii="Arial" w:cs="Arial" w:eastAsia="Arial" w:hAnsi="Arial"/>
          <w:sz w:val="17"/>
          <w:szCs w:val="17"/>
          <w:color w:val="auto"/>
        </w:rPr>
      </w:pPr>
    </w:p>
    <w:p>
      <w:pPr>
        <w:ind w:left="1100" w:right="400" w:hanging="210"/>
        <w:spacing w:after="0" w:line="259" w:lineRule="auto"/>
        <w:tabs>
          <w:tab w:leader="none" w:pos="11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clinical trials of our product candidates may produce negative or inconclusive results, and we may decide, or regulators may require us, to conduct additional clinical trials or abandon product development programs;</w:t>
      </w:r>
    </w:p>
    <w:p>
      <w:pPr>
        <w:spacing w:after="0" w:line="89" w:lineRule="exact"/>
        <w:rPr>
          <w:rFonts w:ascii="Arial" w:cs="Arial" w:eastAsia="Arial" w:hAnsi="Arial"/>
          <w:sz w:val="17"/>
          <w:szCs w:val="17"/>
          <w:color w:val="auto"/>
        </w:rPr>
      </w:pPr>
    </w:p>
    <w:p>
      <w:pPr>
        <w:ind w:left="1100" w:right="120" w:hanging="210"/>
        <w:spacing w:after="0" w:line="250" w:lineRule="auto"/>
        <w:tabs>
          <w:tab w:leader="none" w:pos="11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97" w:lineRule="exact"/>
        <w:rPr>
          <w:rFonts w:ascii="Arial" w:cs="Arial" w:eastAsia="Arial" w:hAnsi="Arial"/>
          <w:sz w:val="17"/>
          <w:szCs w:val="17"/>
          <w:color w:val="auto"/>
        </w:rPr>
      </w:pPr>
    </w:p>
    <w:p>
      <w:pPr>
        <w:ind w:left="1100" w:right="180" w:hanging="210"/>
        <w:spacing w:after="0" w:line="259" w:lineRule="auto"/>
        <w:tabs>
          <w:tab w:leader="none" w:pos="11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third-party contractors may fail to comply with regulatory requirements or meet their contractual obligations to us in a timely manner, or at all;</w:t>
      </w:r>
    </w:p>
    <w:p>
      <w:pPr>
        <w:spacing w:after="0" w:line="89" w:lineRule="exact"/>
        <w:rPr>
          <w:rFonts w:ascii="Arial" w:cs="Arial" w:eastAsia="Arial" w:hAnsi="Arial"/>
          <w:sz w:val="17"/>
          <w:szCs w:val="17"/>
          <w:color w:val="auto"/>
        </w:rPr>
      </w:pPr>
    </w:p>
    <w:p>
      <w:pPr>
        <w:ind w:left="1100" w:right="380" w:hanging="210"/>
        <w:spacing w:after="0" w:line="259" w:lineRule="auto"/>
        <w:tabs>
          <w:tab w:leader="none" w:pos="11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may have to suspend or terminate clinical trials of our product candidates for various reasons, including a finding that the participants are being exposed to unacceptable health risks;</w:t>
      </w:r>
    </w:p>
    <w:p>
      <w:pPr>
        <w:spacing w:after="0" w:line="89" w:lineRule="exact"/>
        <w:rPr>
          <w:rFonts w:ascii="Arial" w:cs="Arial" w:eastAsia="Arial" w:hAnsi="Arial"/>
          <w:sz w:val="17"/>
          <w:szCs w:val="17"/>
          <w:color w:val="auto"/>
        </w:rPr>
      </w:pPr>
    </w:p>
    <w:p>
      <w:pPr>
        <w:ind w:left="1100" w:right="260" w:hanging="210"/>
        <w:spacing w:after="0" w:line="259" w:lineRule="auto"/>
        <w:tabs>
          <w:tab w:leader="none" w:pos="11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regulators or institutional review boards may require that we or our investigators suspend or terminate clinical trials for various reasons, including noncompliance with regulatory requirements;</w:t>
      </w:r>
    </w:p>
    <w:p>
      <w:pPr>
        <w:spacing w:after="0" w:line="89" w:lineRule="exact"/>
        <w:rPr>
          <w:rFonts w:ascii="Arial" w:cs="Arial" w:eastAsia="Arial" w:hAnsi="Arial"/>
          <w:sz w:val="17"/>
          <w:szCs w:val="17"/>
          <w:color w:val="auto"/>
        </w:rPr>
      </w:pPr>
    </w:p>
    <w:p>
      <w:pPr>
        <w:ind w:left="1100" w:right="220" w:hanging="210"/>
        <w:spacing w:after="0" w:line="259" w:lineRule="auto"/>
        <w:tabs>
          <w:tab w:leader="none" w:pos="11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product candidates may have undesirable side effects or other unexpected characteristics, causing us or our investigators, regulators or institutional review boards to suspend or terminate the trials;</w:t>
      </w:r>
    </w:p>
    <w:p>
      <w:pPr>
        <w:spacing w:after="0" w:line="89" w:lineRule="exact"/>
        <w:rPr>
          <w:rFonts w:ascii="Arial" w:cs="Arial" w:eastAsia="Arial" w:hAnsi="Arial"/>
          <w:sz w:val="17"/>
          <w:szCs w:val="17"/>
          <w:color w:val="auto"/>
        </w:rPr>
      </w:pPr>
    </w:p>
    <w:p>
      <w:pPr>
        <w:ind w:left="1100" w:hanging="210"/>
        <w:spacing w:after="0"/>
        <w:tabs>
          <w:tab w:leader="none" w:pos="11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cost of clinical trials of our product candidates may be greater than we anticipate; and</w:t>
      </w:r>
    </w:p>
    <w:p>
      <w:pPr>
        <w:spacing w:after="0" w:line="119" w:lineRule="exact"/>
        <w:rPr>
          <w:rFonts w:ascii="Arial" w:cs="Arial" w:eastAsia="Arial" w:hAnsi="Arial"/>
          <w:sz w:val="17"/>
          <w:szCs w:val="17"/>
          <w:color w:val="auto"/>
        </w:rPr>
      </w:pPr>
    </w:p>
    <w:p>
      <w:pPr>
        <w:ind w:left="1100" w:right="260" w:hanging="210"/>
        <w:spacing w:after="0" w:line="259" w:lineRule="auto"/>
        <w:tabs>
          <w:tab w:leader="none" w:pos="11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supply or quality of our product candidates or other materials necessary to conduct clinical trials of our product candidates may be insufficient or inadequate.</w:t>
      </w:r>
    </w:p>
    <w:p>
      <w:pPr>
        <w:spacing w:after="0" w:line="181" w:lineRule="exact"/>
        <w:rPr>
          <w:sz w:val="20"/>
          <w:szCs w:val="20"/>
          <w:color w:val="auto"/>
        </w:rPr>
      </w:pPr>
    </w:p>
    <w:p>
      <w:pPr>
        <w:ind w:left="360" w:right="120" w:firstLine="535"/>
        <w:spacing w:after="0" w:line="250" w:lineRule="auto"/>
        <w:rPr>
          <w:sz w:val="20"/>
          <w:szCs w:val="20"/>
          <w:color w:val="auto"/>
        </w:rPr>
      </w:pPr>
      <w:r>
        <w:rPr>
          <w:rFonts w:ascii="Arial" w:cs="Arial" w:eastAsia="Arial" w:hAnsi="Arial"/>
          <w:sz w:val="17"/>
          <w:szCs w:val="17"/>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97" w:lineRule="exact"/>
        <w:rPr>
          <w:sz w:val="20"/>
          <w:szCs w:val="20"/>
          <w:color w:val="auto"/>
        </w:rPr>
      </w:pPr>
    </w:p>
    <w:p>
      <w:pPr>
        <w:ind w:left="1100" w:hanging="210"/>
        <w:spacing w:after="0"/>
        <w:tabs>
          <w:tab w:leader="none" w:pos="11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be delayed in obtaining marketing approval for our product candidates;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not obtain marketing approval at all;</w:t>
      </w:r>
    </w:p>
    <w:p>
      <w:pPr>
        <w:spacing w:after="0" w:line="119" w:lineRule="exact"/>
        <w:rPr>
          <w:rFonts w:ascii="Arial" w:cs="Arial" w:eastAsia="Arial" w:hAnsi="Arial"/>
          <w:sz w:val="17"/>
          <w:szCs w:val="17"/>
          <w:color w:val="auto"/>
        </w:rPr>
      </w:pPr>
    </w:p>
    <w:p>
      <w:pPr>
        <w:ind w:left="5620" w:right="2440" w:hanging="4730"/>
        <w:spacing w:after="0" w:line="436" w:lineRule="auto"/>
        <w:tabs>
          <w:tab w:leader="none" w:pos="1103" w:val="left"/>
        </w:tabs>
        <w:numPr>
          <w:ilvl w:val="0"/>
          <w:numId w:val="17"/>
        </w:numPr>
        <w:rPr>
          <w:rFonts w:ascii="Arial" w:cs="Arial" w:eastAsia="Arial" w:hAnsi="Arial"/>
          <w:sz w:val="17"/>
          <w:szCs w:val="17"/>
          <w:color w:val="auto"/>
        </w:rPr>
      </w:pPr>
      <w:r>
        <w:rPr>
          <w:rFonts w:ascii="Arial" w:cs="Arial" w:eastAsia="Arial" w:hAnsi="Arial"/>
          <w:sz w:val="17"/>
          <w:szCs w:val="17"/>
          <w:color w:val="auto"/>
        </w:rPr>
        <w:t>obtain approval for indications or patient populations that are not as broad as intended or desired; 19</w:t>
      </w:r>
    </w:p>
    <w:p>
      <w:pPr>
        <w:sectPr>
          <w:pgSz w:w="11900" w:h="16838" w:orient="portrait"/>
          <w:cols w:equalWidth="0" w:num="1">
            <w:col w:w="11060"/>
          </w:cols>
          <w:pgMar w:left="240" w:top="449" w:right="59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1100" w:hanging="210"/>
        <w:spacing w:after="0"/>
        <w:tabs>
          <w:tab w:leader="none" w:pos="11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obtain approval with labeling that includes significant use or distribution restrictions or safety warnings;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be subject to additional post-marketing testing requirements; or</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have the product removed from the market after obtaining marketing approval.</w:t>
      </w:r>
    </w:p>
    <w:p>
      <w:pPr>
        <w:spacing w:after="0" w:line="211" w:lineRule="exact"/>
        <w:rPr>
          <w:sz w:val="20"/>
          <w:szCs w:val="20"/>
          <w:color w:val="auto"/>
        </w:rPr>
      </w:pPr>
    </w:p>
    <w:p>
      <w:pPr>
        <w:ind w:left="360" w:right="140" w:firstLine="535"/>
        <w:spacing w:after="0" w:line="245" w:lineRule="auto"/>
        <w:rPr>
          <w:sz w:val="20"/>
          <w:szCs w:val="20"/>
          <w:color w:val="auto"/>
        </w:rPr>
      </w:pPr>
      <w:r>
        <w:rPr>
          <w:rFonts w:ascii="Arial" w:cs="Arial" w:eastAsia="Arial" w:hAnsi="Arial"/>
          <w:sz w:val="17"/>
          <w:szCs w:val="17"/>
          <w:color w:val="auto"/>
        </w:rPr>
        <w:t>Our product development costs will also increase if we experience delays in preclinical studies or clinical trials or in obtaining marketing approvals. We do not know whether any of our preclinical studies or clinical trials will begin as planned, will need to be restructured or will be completed on schedule, or at all. Significant preclinical study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w:t>
      </w:r>
    </w:p>
    <w:p>
      <w:pPr>
        <w:spacing w:after="0" w:line="192" w:lineRule="exact"/>
        <w:rPr>
          <w:sz w:val="20"/>
          <w:szCs w:val="20"/>
          <w:color w:val="auto"/>
        </w:rPr>
      </w:pPr>
    </w:p>
    <w:p>
      <w:pPr>
        <w:ind w:left="360" w:right="100" w:firstLine="535"/>
        <w:spacing w:after="0" w:line="244" w:lineRule="auto"/>
        <w:rPr>
          <w:sz w:val="20"/>
          <w:szCs w:val="20"/>
          <w:color w:val="auto"/>
        </w:rPr>
      </w:pPr>
      <w:r>
        <w:rPr>
          <w:rFonts w:ascii="Arial" w:cs="Arial" w:eastAsia="Arial" w:hAnsi="Arial"/>
          <w:sz w:val="17"/>
          <w:szCs w:val="17"/>
          <w:color w:val="auto"/>
        </w:rPr>
        <w:t>Further, cancer therapies are sometimes characterized as first-line, second-line, or third-line, and the FDA often approves new therapies initially only for third-line use. When cancer is detected early enough, first-line therapy, usually hormone therapy, surgery, radiation therapy or a combination of these, is sometimes adequate to cure the cancer or prolong life without a cure. Second- and third-line therapies are administered to patients when prior therapy is not effective. Our planned clinical trials for ARV-110 and ARV-471 will be with patients who have received one or more prior treatments. Subsequently, for those products that prove to be sufficiently beneficial, if any, we would expect to seek approval potentially as a first-line therapy, but any product candidates we develop, even if approved, may not be approved for first-line therapy, and, prior to any such approvals, we may have to conduct additional clinical trials.</w:t>
      </w:r>
    </w:p>
    <w:p>
      <w:pPr>
        <w:spacing w:after="0" w:line="280" w:lineRule="exact"/>
        <w:rPr>
          <w:sz w:val="20"/>
          <w:szCs w:val="20"/>
          <w:color w:val="auto"/>
        </w:rPr>
      </w:pPr>
    </w:p>
    <w:p>
      <w:pPr>
        <w:ind w:left="360" w:right="200"/>
        <w:spacing w:after="0" w:line="262" w:lineRule="auto"/>
        <w:rPr>
          <w:sz w:val="20"/>
          <w:szCs w:val="20"/>
          <w:color w:val="auto"/>
        </w:rPr>
      </w:pPr>
      <w:r>
        <w:rPr>
          <w:rFonts w:ascii="Arial" w:cs="Arial" w:eastAsia="Arial" w:hAnsi="Arial"/>
          <w:sz w:val="17"/>
          <w:szCs w:val="17"/>
          <w:b w:val="1"/>
          <w:bCs w:val="1"/>
          <w:i w:val="1"/>
          <w:iCs w:val="1"/>
          <w:color w:val="auto"/>
        </w:rPr>
        <w:t>If serious adverse events, undesirable side effects, or unexpected characteristics are identified during the development of any product candidates we may develop, we may need to abandon or limit our further clinical development of those product candidates.</w:t>
      </w:r>
    </w:p>
    <w:p>
      <w:pPr>
        <w:spacing w:after="0" w:line="75" w:lineRule="exact"/>
        <w:rPr>
          <w:sz w:val="20"/>
          <w:szCs w:val="20"/>
          <w:color w:val="auto"/>
        </w:rPr>
      </w:pPr>
    </w:p>
    <w:p>
      <w:pPr>
        <w:ind w:left="360" w:right="120" w:firstLine="535"/>
        <w:spacing w:after="0" w:line="250" w:lineRule="auto"/>
        <w:rPr>
          <w:sz w:val="20"/>
          <w:szCs w:val="20"/>
          <w:color w:val="auto"/>
        </w:rPr>
      </w:pPr>
      <w:r>
        <w:rPr>
          <w:rFonts w:ascii="Arial" w:cs="Arial" w:eastAsia="Arial" w:hAnsi="Arial"/>
          <w:sz w:val="17"/>
          <w:szCs w:val="17"/>
          <w:color w:val="auto"/>
        </w:rPr>
        <w:t>We have not evaluated any product candidates in human clinical trials. Moreover, we are not aware of any clinical trials involving chimeric small molecules, such as our PROTACs. It is impossible to predict when or if any product candidates we may develop will prove safe in humans. There can be no assurance that our PROTAC technology will not cause undesirable side effects.</w:t>
      </w:r>
    </w:p>
    <w:p>
      <w:pPr>
        <w:spacing w:after="0" w:line="189" w:lineRule="exact"/>
        <w:rPr>
          <w:sz w:val="20"/>
          <w:szCs w:val="20"/>
          <w:color w:val="auto"/>
        </w:rPr>
      </w:pPr>
    </w:p>
    <w:p>
      <w:pPr>
        <w:ind w:left="360" w:firstLine="535"/>
        <w:spacing w:after="0" w:line="246" w:lineRule="auto"/>
        <w:rPr>
          <w:sz w:val="20"/>
          <w:szCs w:val="20"/>
          <w:color w:val="auto"/>
        </w:rPr>
      </w:pPr>
      <w:r>
        <w:rPr>
          <w:rFonts w:ascii="Arial" w:cs="Arial" w:eastAsia="Arial" w:hAnsi="Arial"/>
          <w:sz w:val="17"/>
          <w:szCs w:val="17"/>
          <w:color w:val="auto"/>
        </w:rPr>
        <w:t>A potential risk in any protein degradation product is that healthy proteins or proteins not targeted for degradation will be degraded or that the degradation of the targeted protein in itself could cause adverse events, undesirable side effects, or unexpected characteristics. It is possible that healthy proteins or proteins not targeted for degradation could be degraded using our PROTAC technology in any of our planned or future clinical studies. There is also the potential risk of delayed adverse events following treatment using our PROTAC technology.</w:t>
      </w:r>
    </w:p>
    <w:p>
      <w:pPr>
        <w:spacing w:after="0" w:line="392" w:lineRule="exact"/>
        <w:rPr>
          <w:sz w:val="20"/>
          <w:szCs w:val="20"/>
          <w:color w:val="auto"/>
        </w:rPr>
      </w:pPr>
    </w:p>
    <w:p>
      <w:pPr>
        <w:ind w:left="360" w:right="40" w:firstLine="535"/>
        <w:spacing w:after="0" w:line="244" w:lineRule="auto"/>
        <w:rPr>
          <w:sz w:val="20"/>
          <w:szCs w:val="20"/>
          <w:color w:val="auto"/>
        </w:rPr>
      </w:pPr>
      <w:r>
        <w:rPr>
          <w:rFonts w:ascii="Arial" w:cs="Arial" w:eastAsia="Arial" w:hAnsi="Arial"/>
          <w:sz w:val="17"/>
          <w:szCs w:val="17"/>
          <w:color w:val="auto"/>
        </w:rPr>
        <w:t>If any product candidates we develop are associated with serious adverse events, or undesirable side effects, or have characteristics that are unexpected, we may need to abandon their development or limit development to certain uses or subpopulations in which the adverse events, undesirable side effects or other characteristics are less prevalent, less severe, or more acceptable from a risk-benefit perspective, any of which would have a material adverse effect on our business, financial condition, results of operations, and prospects. Many product candidates that initially showed promise in early-stage testing for treating cancer or other diseases have later been found to cause side effects that prevented further clinical development of the product candidates or limited their competitiveness in the market.</w:t>
      </w:r>
    </w:p>
    <w:p>
      <w:pPr>
        <w:spacing w:after="0" w:line="328"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040"/>
          </w:cols>
          <w:pgMar w:left="240" w:top="449" w:right="61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360" w:right="180"/>
        <w:spacing w:after="0" w:line="284" w:lineRule="auto"/>
        <w:rPr>
          <w:sz w:val="20"/>
          <w:szCs w:val="20"/>
          <w:color w:val="auto"/>
        </w:rPr>
      </w:pPr>
      <w:r>
        <w:rPr>
          <w:rFonts w:ascii="Arial" w:cs="Arial" w:eastAsia="Arial" w:hAnsi="Arial"/>
          <w:sz w:val="17"/>
          <w:szCs w:val="17"/>
          <w:b w:val="1"/>
          <w:bCs w:val="1"/>
          <w:i w:val="1"/>
          <w:iCs w:val="1"/>
          <w:color w:val="auto"/>
        </w:rPr>
        <w:t>The results of early-stage clinical trials and preclinical studies may not be predictive of future results. Initial success in clinical trials may not be indicative of results obtained when these trials are completed or in later stage trials.</w:t>
      </w:r>
    </w:p>
    <w:p>
      <w:pPr>
        <w:spacing w:after="0" w:line="56" w:lineRule="exact"/>
        <w:rPr>
          <w:sz w:val="20"/>
          <w:szCs w:val="20"/>
          <w:color w:val="auto"/>
        </w:rPr>
      </w:pPr>
    </w:p>
    <w:p>
      <w:pPr>
        <w:ind w:left="360" w:right="40" w:firstLine="535"/>
        <w:spacing w:after="0" w:line="243" w:lineRule="auto"/>
        <w:rPr>
          <w:sz w:val="20"/>
          <w:szCs w:val="20"/>
          <w:color w:val="auto"/>
        </w:rPr>
      </w:pPr>
      <w:r>
        <w:rPr>
          <w:rFonts w:ascii="Arial" w:cs="Arial" w:eastAsia="Arial" w:hAnsi="Arial"/>
          <w:sz w:val="17"/>
          <w:szCs w:val="17"/>
          <w:color w:val="auto"/>
        </w:rPr>
        <w:t>The results of preclinical studies may not be predictive of the results of clinical trials, and the results of any early-stage clinical trials we commence may not be predictive of the results of the later-stage clinical trials. In addition, initial success in clinical trials may not be indicative of results obtained when such trials are completed. In particular, the small number of patients in our planned early clinical trials may make the results of these trials less predictive of the outcome of later clinical trials. For example, even if successful, the results of the dose-escalation portion of our planned Phase 1 clinical trials of ARV-110 and ARV-471 may not be predictive of the results of further clinical trials of these product candidates or any of our other product candidates.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Our current or future clinical trials may not ultimately be successful or support further clinical development of any of our product candidates. There is a high failure rate for product candidates proceeding through clinical trials. A number of companies in the pharmaceutical and biotechnology industries have suffered significant setbacks in clinical development even after achieving encouraging results in earlier studies. Any such setbacks in our clinical development could materially harm our business and results of operations.</w:t>
      </w:r>
    </w:p>
    <w:p>
      <w:pPr>
        <w:spacing w:after="0" w:line="279" w:lineRule="exact"/>
        <w:rPr>
          <w:sz w:val="20"/>
          <w:szCs w:val="20"/>
          <w:color w:val="auto"/>
        </w:rPr>
      </w:pPr>
    </w:p>
    <w:p>
      <w:pPr>
        <w:ind w:left="360" w:right="140"/>
        <w:spacing w:after="0" w:line="262"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75" w:lineRule="exact"/>
        <w:rPr>
          <w:sz w:val="20"/>
          <w:szCs w:val="20"/>
          <w:color w:val="auto"/>
        </w:rPr>
      </w:pPr>
    </w:p>
    <w:p>
      <w:pPr>
        <w:ind w:left="360" w:right="40" w:firstLine="535"/>
        <w:spacing w:after="0" w:line="245" w:lineRule="auto"/>
        <w:rPr>
          <w:sz w:val="20"/>
          <w:szCs w:val="20"/>
          <w:color w:val="auto"/>
        </w:rPr>
      </w:pPr>
      <w:r>
        <w:rPr>
          <w:rFonts w:ascii="Arial" w:cs="Arial" w:eastAsia="Arial" w:hAnsi="Arial"/>
          <w:sz w:val="17"/>
          <w:szCs w:val="17"/>
          <w:color w:val="auto"/>
        </w:rPr>
        <w:t>From time to time, we may publish interim top-line or preliminary data from our clinical trials.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reputation and business prospects.</w:t>
      </w:r>
    </w:p>
    <w:p>
      <w:pPr>
        <w:spacing w:after="0" w:line="277" w:lineRule="exact"/>
        <w:rPr>
          <w:sz w:val="20"/>
          <w:szCs w:val="20"/>
          <w:color w:val="auto"/>
        </w:rPr>
      </w:pPr>
    </w:p>
    <w:p>
      <w:pPr>
        <w:ind w:left="360" w:right="40"/>
        <w:spacing w:after="0" w:line="284" w:lineRule="auto"/>
        <w:rPr>
          <w:sz w:val="20"/>
          <w:szCs w:val="20"/>
          <w:color w:val="auto"/>
        </w:rPr>
      </w:pPr>
      <w:r>
        <w:rPr>
          <w:rFonts w:ascii="Arial" w:cs="Arial" w:eastAsia="Arial" w:hAnsi="Arial"/>
          <w:sz w:val="17"/>
          <w:szCs w:val="17"/>
          <w:b w:val="1"/>
          <w:bCs w:val="1"/>
          <w:i w:val="1"/>
          <w:iCs w:val="1"/>
          <w:color w:val="auto"/>
        </w:rPr>
        <w:t>If we experience delays or difficulties in the enrollment of patients in clinical trials, our receipt of necessary marketing approvals could be delayed or prevented.</w:t>
      </w:r>
    </w:p>
    <w:p>
      <w:pPr>
        <w:spacing w:after="0" w:line="56" w:lineRule="exact"/>
        <w:rPr>
          <w:sz w:val="20"/>
          <w:szCs w:val="20"/>
          <w:color w:val="auto"/>
        </w:rPr>
      </w:pPr>
    </w:p>
    <w:p>
      <w:pPr>
        <w:ind w:left="360" w:firstLine="535"/>
        <w:spacing w:after="0" w:line="244" w:lineRule="auto"/>
        <w:rPr>
          <w:sz w:val="20"/>
          <w:szCs w:val="20"/>
          <w:color w:val="auto"/>
        </w:rPr>
      </w:pPr>
      <w:r>
        <w:rPr>
          <w:rFonts w:ascii="Arial" w:cs="Arial" w:eastAsia="Arial" w:hAnsi="Arial"/>
          <w:sz w:val="17"/>
          <w:szCs w:val="17"/>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of the United States. In particular, we are preparing to advance ARV-110 into a Phase 1 clinical trial for men with mCRPC and ARV-471 into a Phase 1 clinical trial for women with metastatic ER+ breast cancer. We cannot predict how difficult it will be to enroll patients for trials in these indications. Therefore, our ability to identify and enroll eligible patients for ARV-110 and ARV-471 clinical trials may be limited or may result in slower enrollment than we anticipate. In addition,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Patient enrollment is affected by other factors including:</w:t>
      </w:r>
    </w:p>
    <w:p>
      <w:pPr>
        <w:spacing w:after="0" w:line="101" w:lineRule="exact"/>
        <w:rPr>
          <w:sz w:val="20"/>
          <w:szCs w:val="20"/>
          <w:color w:val="auto"/>
        </w:rPr>
      </w:pPr>
    </w:p>
    <w:p>
      <w:pPr>
        <w:ind w:left="1100" w:hanging="210"/>
        <w:spacing w:after="0"/>
        <w:tabs>
          <w:tab w:leader="none" w:pos="11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severity of the disease under investigation;</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eligibility criteria for the trial in question;</w:t>
      </w:r>
    </w:p>
    <w:p>
      <w:pPr>
        <w:spacing w:after="0" w:line="119" w:lineRule="exact"/>
        <w:rPr>
          <w:rFonts w:ascii="Arial" w:cs="Arial" w:eastAsia="Arial" w:hAnsi="Arial"/>
          <w:sz w:val="17"/>
          <w:szCs w:val="17"/>
          <w:color w:val="auto"/>
        </w:rPr>
      </w:pPr>
    </w:p>
    <w:p>
      <w:pPr>
        <w:ind w:left="5620" w:right="4480" w:hanging="4730"/>
        <w:spacing w:after="0" w:line="436" w:lineRule="auto"/>
        <w:tabs>
          <w:tab w:leader="none" w:pos="1103"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perceived risks and benefits of the product candidates under study; 21</w:t>
      </w:r>
    </w:p>
    <w:p>
      <w:pPr>
        <w:sectPr>
          <w:pgSz w:w="11900" w:h="16838" w:orient="portrait"/>
          <w:cols w:equalWidth="0" w:num="1">
            <w:col w:w="11060"/>
          </w:cols>
          <w:pgMar w:left="240" w:top="449" w:right="59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1100" w:hanging="210"/>
        <w:spacing w:after="0"/>
        <w:tabs>
          <w:tab w:leader="none" w:pos="11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efforts to facilitate timely enrollment in clinical trials;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patient referral practices of physicians;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burden on patients due to inconvenient procedures;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ability to monitor patients adequately during and after treatment; and</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proximity and availability of clinical trial sites for prospective patients.</w:t>
      </w:r>
    </w:p>
    <w:p>
      <w:pPr>
        <w:spacing w:after="0" w:line="211" w:lineRule="exact"/>
        <w:rPr>
          <w:sz w:val="20"/>
          <w:szCs w:val="20"/>
          <w:color w:val="auto"/>
        </w:rPr>
      </w:pPr>
    </w:p>
    <w:p>
      <w:pPr>
        <w:jc w:val="both"/>
        <w:ind w:left="360" w:right="240" w:firstLine="535"/>
        <w:spacing w:after="0" w:line="250" w:lineRule="auto"/>
        <w:rPr>
          <w:sz w:val="20"/>
          <w:szCs w:val="20"/>
          <w:color w:val="auto"/>
        </w:rPr>
      </w:pPr>
      <w:r>
        <w:rPr>
          <w:rFonts w:ascii="Arial" w:cs="Arial" w:eastAsia="Arial" w:hAnsi="Arial"/>
          <w:sz w:val="17"/>
          <w:szCs w:val="17"/>
          <w:color w:val="auto"/>
        </w:rPr>
        <w:t>Our inability to enroll a sufficient number of patients for our clinical trials would result in significant delays and could require us to abandon one or more clinical trials altogether. Enrollment delays in our clinical trials may result in increased development costs for our product candidates, which would cause the value of our company to decline and limit our ability to obtain additional financing.</w:t>
      </w:r>
    </w:p>
    <w:p>
      <w:pPr>
        <w:spacing w:after="0" w:line="274" w:lineRule="exact"/>
        <w:rPr>
          <w:sz w:val="20"/>
          <w:szCs w:val="20"/>
          <w:color w:val="auto"/>
        </w:rPr>
      </w:pPr>
    </w:p>
    <w:p>
      <w:pPr>
        <w:ind w:left="360" w:right="340"/>
        <w:spacing w:after="0" w:line="284" w:lineRule="auto"/>
        <w:rPr>
          <w:sz w:val="20"/>
          <w:szCs w:val="20"/>
          <w:color w:val="auto"/>
        </w:rPr>
      </w:pPr>
      <w:r>
        <w:rPr>
          <w:rFonts w:ascii="Arial" w:cs="Arial" w:eastAsia="Arial" w:hAnsi="Arial"/>
          <w:sz w:val="17"/>
          <w:szCs w:val="17"/>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6" w:lineRule="exact"/>
        <w:rPr>
          <w:sz w:val="20"/>
          <w:szCs w:val="20"/>
          <w:color w:val="auto"/>
        </w:rPr>
      </w:pPr>
    </w:p>
    <w:p>
      <w:pPr>
        <w:ind w:left="360" w:right="220" w:firstLine="535"/>
        <w:spacing w:after="0" w:line="244" w:lineRule="auto"/>
        <w:rPr>
          <w:sz w:val="20"/>
          <w:szCs w:val="20"/>
          <w:color w:val="auto"/>
        </w:rPr>
      </w:pPr>
      <w:r>
        <w:rPr>
          <w:rFonts w:ascii="Arial" w:cs="Arial" w:eastAsia="Arial" w:hAnsi="Arial"/>
          <w:sz w:val="17"/>
          <w:szCs w:val="17"/>
          <w:color w:val="auto"/>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78" w:lineRule="exact"/>
        <w:rPr>
          <w:sz w:val="20"/>
          <w:szCs w:val="20"/>
          <w:color w:val="auto"/>
        </w:rPr>
      </w:pPr>
    </w:p>
    <w:p>
      <w:pPr>
        <w:ind w:left="360" w:right="360"/>
        <w:spacing w:after="0" w:line="255" w:lineRule="auto"/>
        <w:rPr>
          <w:sz w:val="20"/>
          <w:szCs w:val="20"/>
          <w:color w:val="auto"/>
        </w:rPr>
      </w:pPr>
      <w:r>
        <w:rPr>
          <w:rFonts w:ascii="Arial" w:cs="Arial" w:eastAsia="Arial" w:hAnsi="Arial"/>
          <w:sz w:val="17"/>
          <w:szCs w:val="17"/>
          <w:b w:val="1"/>
          <w:bCs w:val="1"/>
          <w:i w:val="1"/>
          <w:iCs w:val="1"/>
          <w:color w:val="auto"/>
        </w:rPr>
        <w:t>We may develop ARV-471 in combination with other drugs. If the FDA or similar regulatory authorities outside of the United States do not approve these other drugs, revoke their approval of such drugs, or if safety, efficacy, manufacturing or supply issues arise with the drugs we choose to evaluate in combination with ARV-471, we may be unable to obtain approval of ARV-471 or market ARV-471.</w:t>
      </w:r>
    </w:p>
    <w:p>
      <w:pPr>
        <w:spacing w:after="0" w:line="81" w:lineRule="exact"/>
        <w:rPr>
          <w:sz w:val="20"/>
          <w:szCs w:val="20"/>
          <w:color w:val="auto"/>
        </w:rPr>
      </w:pPr>
    </w:p>
    <w:p>
      <w:pPr>
        <w:ind w:left="360" w:firstLine="535"/>
        <w:spacing w:after="0" w:line="245" w:lineRule="auto"/>
        <w:rPr>
          <w:sz w:val="20"/>
          <w:szCs w:val="20"/>
          <w:color w:val="auto"/>
        </w:rPr>
      </w:pPr>
      <w:r>
        <w:rPr>
          <w:rFonts w:ascii="Arial" w:cs="Arial" w:eastAsia="Arial" w:hAnsi="Arial"/>
          <w:sz w:val="17"/>
          <w:szCs w:val="17"/>
          <w:color w:val="auto"/>
        </w:rPr>
        <w:t>We intend to conduct a Phase 1b clinical trial with ARV-471 for the treatment of women with metastatic ER+ breast cancer for use in combination with a CDK 4/6 inhibitor, such as palbociclib, once a recommended dose is identified from the dose-escalation portion of the ARV-471 Phase 1 clinical trial. We did not develop or obtain marketing approval for, nor do we manufacture or sell, any of the currently approved drugs that we may study in combination with ARV-471. If the FDA or similar regulatory authorities outside of the United States revoke their approval of the drug or drugs in combination with which we determine to develop ARV-471, we will not be able to market ARV-471 in combination with such revoked drugs.</w:t>
      </w:r>
    </w:p>
    <w:p>
      <w:pPr>
        <w:spacing w:after="0" w:line="192" w:lineRule="exact"/>
        <w:rPr>
          <w:sz w:val="20"/>
          <w:szCs w:val="20"/>
          <w:color w:val="auto"/>
        </w:rPr>
      </w:pPr>
    </w:p>
    <w:p>
      <w:pPr>
        <w:ind w:left="360" w:right="40" w:firstLine="535"/>
        <w:spacing w:after="0" w:line="245" w:lineRule="auto"/>
        <w:rPr>
          <w:sz w:val="20"/>
          <w:szCs w:val="20"/>
          <w:color w:val="auto"/>
        </w:rPr>
      </w:pPr>
      <w:r>
        <w:rPr>
          <w:rFonts w:ascii="Arial" w:cs="Arial" w:eastAsia="Arial" w:hAnsi="Arial"/>
          <w:sz w:val="17"/>
          <w:szCs w:val="17"/>
          <w:color w:val="auto"/>
        </w:rPr>
        <w:t>If safety or efficacy issues arise with any of these drugs, we could experience significant regulatory delays, and the FDA or similar regulatory authorities outside of the United States may require us to redesign or terminate the applicable clinical trials. If the drugs we use are replaced as the standard of care for the indications we choose for ARV-471, the FDA or similar regulatory authorities outside of the United States may require us to conduct additional clinical trials. In addition, if manufacturing or other issues result in a shortage of supply of the drugs with which we determine to combine with ARV-471, we may not be able to complete clinical development of ARV-471 on our current timeline or at all.</w:t>
      </w:r>
    </w:p>
    <w:p>
      <w:pPr>
        <w:spacing w:after="0" w:line="127"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020"/>
          </w:cols>
          <w:pgMar w:left="240" w:top="449" w:right="63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firstLine="535"/>
        <w:spacing w:after="0" w:line="245" w:lineRule="auto"/>
        <w:rPr>
          <w:sz w:val="20"/>
          <w:szCs w:val="20"/>
          <w:color w:val="auto"/>
        </w:rPr>
      </w:pPr>
      <w:r>
        <w:rPr>
          <w:rFonts w:ascii="Arial" w:cs="Arial" w:eastAsia="Arial" w:hAnsi="Arial"/>
          <w:sz w:val="17"/>
          <w:szCs w:val="17"/>
          <w:color w:val="auto"/>
        </w:rPr>
        <w:t>Even if ARV-471 were to receive marketing approval or be commercialized for use in combination with other existing drugs, we would continue to be subject to the risks that the FDA or similar regulatory authorities outside of the United States could revoke approval of the drug used in combination with ARV-471 or that safety, efficacy, manufacturing or supply issues could arise with these existing drugs. Combination therapies are commonly used for the treatment of cancer, and we would be subject to similar risks if we develop any of our other product candidates for use in combination with other drugs or for indications other than cancer. This could result in our own products being removed from the market or being less successful commercially.</w:t>
      </w:r>
    </w:p>
    <w:p>
      <w:pPr>
        <w:spacing w:after="0" w:line="277"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We may not be successful in our efforts to identify or discover additional potential product candidates.</w:t>
      </w:r>
    </w:p>
    <w:p>
      <w:pPr>
        <w:spacing w:after="0" w:line="126" w:lineRule="exact"/>
        <w:rPr>
          <w:sz w:val="20"/>
          <w:szCs w:val="20"/>
          <w:color w:val="auto"/>
        </w:rPr>
      </w:pPr>
    </w:p>
    <w:p>
      <w:pPr>
        <w:ind w:left="360" w:right="60" w:firstLine="535"/>
        <w:spacing w:after="0" w:line="247" w:lineRule="auto"/>
        <w:rPr>
          <w:sz w:val="20"/>
          <w:szCs w:val="20"/>
          <w:color w:val="auto"/>
        </w:rPr>
      </w:pPr>
      <w:r>
        <w:rPr>
          <w:rFonts w:ascii="Arial" w:cs="Arial" w:eastAsia="Arial" w:hAnsi="Arial"/>
          <w:sz w:val="17"/>
          <w:szCs w:val="17"/>
          <w:color w:val="auto"/>
        </w:rPr>
        <w:t>A key element of our strategy is to apply our PROTAC platform to address a broad array of targets and new therapeutic areas. The therapeutic discovery activities that we are conducting may not be successful in identifying product candidates that are useful in treating cancer or other diseases. Our research programs may initially show promise in identifying potential product candidates, yet fail to yield product candidates for clinical development for a number of reasons, including:</w:t>
      </w:r>
    </w:p>
    <w:p>
      <w:pPr>
        <w:spacing w:after="0" w:line="100" w:lineRule="exact"/>
        <w:rPr>
          <w:sz w:val="20"/>
          <w:szCs w:val="20"/>
          <w:color w:val="auto"/>
        </w:rPr>
      </w:pPr>
    </w:p>
    <w:p>
      <w:pPr>
        <w:ind w:left="1100" w:right="260" w:hanging="210"/>
        <w:spacing w:after="0" w:line="259" w:lineRule="auto"/>
        <w:tabs>
          <w:tab w:leader="none" w:pos="11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potential product candidates may, on further study, be shown to have harmful side effects or other characteristics that indicate that they are unlikely to be drugs that will receive marketing approval or achieve market acceptance; or</w:t>
      </w:r>
    </w:p>
    <w:p>
      <w:pPr>
        <w:spacing w:after="0" w:line="89" w:lineRule="exact"/>
        <w:rPr>
          <w:rFonts w:ascii="Arial" w:cs="Arial" w:eastAsia="Arial" w:hAnsi="Arial"/>
          <w:sz w:val="17"/>
          <w:szCs w:val="17"/>
          <w:color w:val="auto"/>
        </w:rPr>
      </w:pPr>
    </w:p>
    <w:p>
      <w:pPr>
        <w:ind w:left="1100" w:hanging="210"/>
        <w:spacing w:after="0"/>
        <w:tabs>
          <w:tab w:leader="none" w:pos="11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potential product candidates may not be effective in treating their targeted diseases.</w:t>
      </w:r>
    </w:p>
    <w:p>
      <w:pPr>
        <w:spacing w:after="0" w:line="211" w:lineRule="exact"/>
        <w:rPr>
          <w:sz w:val="20"/>
          <w:szCs w:val="20"/>
          <w:color w:val="auto"/>
        </w:rPr>
      </w:pPr>
    </w:p>
    <w:p>
      <w:pPr>
        <w:ind w:left="360" w:right="20" w:firstLine="535"/>
        <w:spacing w:after="0" w:line="247" w:lineRule="auto"/>
        <w:rPr>
          <w:sz w:val="20"/>
          <w:szCs w:val="20"/>
          <w:color w:val="auto"/>
        </w:rPr>
      </w:pPr>
      <w:r>
        <w:rPr>
          <w:rFonts w:ascii="Arial" w:cs="Arial" w:eastAsia="Arial" w:hAnsi="Arial"/>
          <w:sz w:val="17"/>
          <w:szCs w:val="17"/>
          <w:color w:val="auto"/>
        </w:rPr>
        <w:t>Research programs to identify new product candidates require substantial technical, financial and human resources. We may choose to focus our efforts and resources on a potential product candidate that ultimately proves to be unsuccessful. If we are unable to identify suitable product candidates for preclinical and clinical development, we will not be able to obtain revenues from sale of products in future periods, which likely would result in significant harm to our financial position and adversely impact our stock price.</w:t>
      </w:r>
    </w:p>
    <w:p>
      <w:pPr>
        <w:spacing w:after="0" w:line="276" w:lineRule="exact"/>
        <w:rPr>
          <w:sz w:val="20"/>
          <w:szCs w:val="20"/>
          <w:color w:val="auto"/>
        </w:rPr>
      </w:pPr>
    </w:p>
    <w:p>
      <w:pPr>
        <w:ind w:left="360" w:right="420"/>
        <w:spacing w:after="0" w:line="284" w:lineRule="auto"/>
        <w:rPr>
          <w:sz w:val="20"/>
          <w:szCs w:val="20"/>
          <w:color w:val="auto"/>
        </w:rPr>
      </w:pPr>
      <w:r>
        <w:rPr>
          <w:rFonts w:ascii="Arial" w:cs="Arial" w:eastAsia="Arial" w:hAnsi="Arial"/>
          <w:sz w:val="17"/>
          <w:szCs w:val="17"/>
          <w:b w:val="1"/>
          <w:bCs w:val="1"/>
          <w:i w:val="1"/>
          <w:iCs w:val="1"/>
          <w:color w:val="auto"/>
        </w:rPr>
        <w:t>We face substantial competition, which may result in others discovering, developing or commercializing products before or more successfully than we do.</w:t>
      </w:r>
    </w:p>
    <w:p>
      <w:pPr>
        <w:spacing w:after="0" w:line="56" w:lineRule="exact"/>
        <w:rPr>
          <w:sz w:val="20"/>
          <w:szCs w:val="20"/>
          <w:color w:val="auto"/>
        </w:rPr>
      </w:pPr>
    </w:p>
    <w:p>
      <w:pPr>
        <w:ind w:left="360" w:right="180" w:firstLine="535"/>
        <w:spacing w:after="0" w:line="245" w:lineRule="auto"/>
        <w:rPr>
          <w:sz w:val="20"/>
          <w:szCs w:val="20"/>
          <w:color w:val="auto"/>
        </w:rPr>
      </w:pPr>
      <w:r>
        <w:rPr>
          <w:rFonts w:ascii="Arial" w:cs="Arial" w:eastAsia="Arial" w:hAnsi="Arial"/>
          <w:sz w:val="17"/>
          <w:szCs w:val="17"/>
          <w:color w:val="auto"/>
        </w:rPr>
        <w:t>The biotechnology and pharmaceutical industries are characterized by rapidly advancing technologies, intense competition and a strong emphasis on proprietary products. We face and will continue to face competition from third parties that use protein degradation, antibody therapy, inhibitory nucleic acid, gene editing or gene therapy development platforms and from companies focused on more traditional therapeutic modalities, such as small molecule inhibitors. The competition is likely to come from multiple sources, including major pharmaceutical, specialty pharmaceutical and biotechnology companies, academic institutions, government agencies and public and private research institutions.</w:t>
      </w:r>
    </w:p>
    <w:p>
      <w:pPr>
        <w:spacing w:after="0" w:line="192" w:lineRule="exact"/>
        <w:rPr>
          <w:sz w:val="20"/>
          <w:szCs w:val="20"/>
          <w:color w:val="auto"/>
        </w:rPr>
      </w:pPr>
    </w:p>
    <w:p>
      <w:pPr>
        <w:ind w:left="360" w:right="80" w:firstLine="535"/>
        <w:spacing w:after="0" w:line="247" w:lineRule="auto"/>
        <w:rPr>
          <w:sz w:val="20"/>
          <w:szCs w:val="20"/>
          <w:color w:val="auto"/>
        </w:rPr>
      </w:pPr>
      <w:r>
        <w:rPr>
          <w:rFonts w:ascii="Arial" w:cs="Arial" w:eastAsia="Arial" w:hAnsi="Arial"/>
          <w:sz w:val="17"/>
          <w:szCs w:val="17"/>
          <w:color w:val="auto"/>
        </w:rPr>
        <w:t>We are aware of several biotechnology companies focused on developing chimeric small molecules for protein degradation including C4 Therapeutics, Inc., Cullgen Inc. and Kymera Therapeutics, Inc., all of which are currently in preclinical development. Further, several large pharmaceutical companies have disclosed preclinical investments in this field, including Amgen Inc., AstraZeneca plc, GlaxoSmithKline plc, Genentech and Novartis International AG.</w:t>
      </w:r>
    </w:p>
    <w:p>
      <w:pPr>
        <w:spacing w:after="0" w:line="192" w:lineRule="exact"/>
        <w:rPr>
          <w:sz w:val="20"/>
          <w:szCs w:val="20"/>
          <w:color w:val="auto"/>
        </w:rPr>
      </w:pPr>
    </w:p>
    <w:p>
      <w:pPr>
        <w:jc w:val="both"/>
        <w:ind w:left="360" w:right="300" w:firstLine="535"/>
        <w:spacing w:after="0" w:line="250" w:lineRule="auto"/>
        <w:rPr>
          <w:sz w:val="20"/>
          <w:szCs w:val="20"/>
          <w:color w:val="auto"/>
        </w:rPr>
      </w:pPr>
      <w:r>
        <w:rPr>
          <w:rFonts w:ascii="Arial" w:cs="Arial" w:eastAsia="Arial" w:hAnsi="Arial"/>
          <w:sz w:val="17"/>
          <w:szCs w:val="17"/>
          <w:color w:val="auto"/>
        </w:rPr>
        <w:t>Many of our current or potential competitors, either alone or with their collaboration partners,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w:t>
      </w:r>
    </w:p>
    <w:p>
      <w:pPr>
        <w:spacing w:after="0" w:line="123"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040"/>
          </w:cols>
          <w:pgMar w:left="240" w:top="449" w:right="61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spacing w:after="0" w:line="242" w:lineRule="auto"/>
        <w:rPr>
          <w:sz w:val="20"/>
          <w:szCs w:val="20"/>
          <w:color w:val="auto"/>
        </w:rPr>
      </w:pPr>
      <w:r>
        <w:rPr>
          <w:rFonts w:ascii="Arial" w:cs="Arial" w:eastAsia="Arial" w:hAnsi="Arial"/>
          <w:sz w:val="17"/>
          <w:szCs w:val="17"/>
          <w:color w:val="auto"/>
        </w:rPr>
        <w:t>scientific and management personnel and establishing clinical trial sites and patient registration for clinical trials, as well as in acquiring technologies complementary to, or necessary for, our programs.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There are generic products currently on the market for certain of the indications that we are pursuing, and additional products are expected to become available on a generic basis over the coming years. If our product candidates are approved, we expect that they will be priced at a significant premium over competitive generic products.</w:t>
      </w:r>
    </w:p>
    <w:p>
      <w:pPr>
        <w:spacing w:after="0" w:line="286"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Risks Related to Dependence on Third Parties</w:t>
      </w:r>
    </w:p>
    <w:p>
      <w:pPr>
        <w:spacing w:after="0" w:line="213" w:lineRule="exact"/>
        <w:rPr>
          <w:sz w:val="20"/>
          <w:szCs w:val="20"/>
          <w:color w:val="auto"/>
        </w:rPr>
      </w:pPr>
    </w:p>
    <w:p>
      <w:pPr>
        <w:ind w:left="360" w:right="80"/>
        <w:spacing w:after="0" w:line="262" w:lineRule="auto"/>
        <w:rPr>
          <w:sz w:val="20"/>
          <w:szCs w:val="20"/>
          <w:color w:val="auto"/>
        </w:rPr>
      </w:pPr>
      <w:r>
        <w:rPr>
          <w:rFonts w:ascii="Arial" w:cs="Arial" w:eastAsia="Arial" w:hAnsi="Arial"/>
          <w:sz w:val="17"/>
          <w:szCs w:val="17"/>
          <w:b w:val="1"/>
          <w:bCs w:val="1"/>
          <w:i w:val="1"/>
          <w:iCs w:val="1"/>
          <w:color w:val="auto"/>
        </w:rPr>
        <w:t>We expect to depend on collaborations with third parties for the research, development, and commercialization of certain of the product candidates we may develop. If any such collaborations are not successful, we may not be able to capitalize on the market potential of those product candidates.</w:t>
      </w:r>
    </w:p>
    <w:p>
      <w:pPr>
        <w:spacing w:after="0" w:line="75" w:lineRule="exact"/>
        <w:rPr>
          <w:sz w:val="20"/>
          <w:szCs w:val="20"/>
          <w:color w:val="auto"/>
        </w:rPr>
      </w:pPr>
    </w:p>
    <w:p>
      <w:pPr>
        <w:ind w:left="360" w:right="20" w:firstLine="535"/>
        <w:spacing w:after="0" w:line="244" w:lineRule="auto"/>
        <w:rPr>
          <w:sz w:val="20"/>
          <w:szCs w:val="20"/>
          <w:color w:val="auto"/>
        </w:rPr>
      </w:pPr>
      <w:r>
        <w:rPr>
          <w:rFonts w:ascii="Arial" w:cs="Arial" w:eastAsia="Arial" w:hAnsi="Arial"/>
          <w:sz w:val="17"/>
          <w:szCs w:val="17"/>
          <w:color w:val="auto"/>
        </w:rPr>
        <w:t>We anticipate seeking third-party collaborators for the research, development, and commercialization of some of our PROTAC programs. For example, in September 2015 we entered into a collaboration with Genentech, which we amended and restated in November 2017, and in December 2017 we entered into a collaboration with Pfizer. Our likely collaborators for any other collaboration arrangements include large and mid-size pharmaceutical companies and biotechnology companies. Any such arrangements with third parties will likely limit our control over the amount and timing of resources that our collaborators dedicate to the development or commercialization of any product candidates we may seek to develop with them. Our ability to generate revenues from these arrangements will depend on our collaborators’ abilities to successfully perform the functions assigned to them in these arrangements. We cannot predict the success of any collaboration that we enter into.</w:t>
      </w:r>
    </w:p>
    <w:p>
      <w:pPr>
        <w:spacing w:after="0" w:line="193" w:lineRule="exact"/>
        <w:rPr>
          <w:sz w:val="20"/>
          <w:szCs w:val="20"/>
          <w:color w:val="auto"/>
        </w:rPr>
      </w:pPr>
    </w:p>
    <w:p>
      <w:pPr>
        <w:ind w:left="900"/>
        <w:spacing w:after="0"/>
        <w:rPr>
          <w:sz w:val="20"/>
          <w:szCs w:val="20"/>
          <w:color w:val="auto"/>
        </w:rPr>
      </w:pPr>
      <w:r>
        <w:rPr>
          <w:rFonts w:ascii="Arial" w:cs="Arial" w:eastAsia="Arial" w:hAnsi="Arial"/>
          <w:sz w:val="17"/>
          <w:szCs w:val="17"/>
          <w:color w:val="auto"/>
        </w:rPr>
        <w:t>Collaborations involving our research programs or any product candidates we may develop, including our collaborations with</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Genentech and Pfizer, pose the following risks to us:</w:t>
      </w:r>
    </w:p>
    <w:p>
      <w:pPr>
        <w:spacing w:after="0" w:line="119" w:lineRule="exact"/>
        <w:rPr>
          <w:sz w:val="20"/>
          <w:szCs w:val="20"/>
          <w:color w:val="auto"/>
        </w:rPr>
      </w:pPr>
    </w:p>
    <w:p>
      <w:pPr>
        <w:ind w:left="1100" w:right="60" w:hanging="210"/>
        <w:spacing w:after="0" w:line="245" w:lineRule="auto"/>
        <w:tabs>
          <w:tab w:leader="none" w:pos="11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Collaborators have significant discretion in determining the efforts and resources that they will apply to these collaborations. For example, our collaboration with Genentech is managed by a joint research committee and joint project team, which is composed of representatives from us and Genentech, with Genentech having final decision-making authority. Similarly, our collaboration with Pfizer is managed by a joint research committee composed of an equal number of representatives from us and Pfizer, with Pfizer having final decision-making authority.</w:t>
      </w:r>
    </w:p>
    <w:p>
      <w:pPr>
        <w:spacing w:after="0" w:line="103" w:lineRule="exact"/>
        <w:rPr>
          <w:rFonts w:ascii="Arial" w:cs="Arial" w:eastAsia="Arial" w:hAnsi="Arial"/>
          <w:sz w:val="17"/>
          <w:szCs w:val="17"/>
          <w:color w:val="auto"/>
        </w:rPr>
      </w:pPr>
    </w:p>
    <w:p>
      <w:pPr>
        <w:ind w:left="1100" w:right="160" w:hanging="210"/>
        <w:spacing w:after="0" w:line="247" w:lineRule="auto"/>
        <w:tabs>
          <w:tab w:leader="none" w:pos="11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any product candidates we may develop or may elect not to continue or renew development or commercialization programs based on clinical trial results, changes in the collaborator’s strategic focus or available funding or external factors such as an acquisition or business combination that diverts resources or creates competing priorities.</w:t>
      </w:r>
    </w:p>
    <w:p>
      <w:pPr>
        <w:spacing w:after="0" w:line="126"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040"/>
          </w:cols>
          <w:pgMar w:left="240" w:top="449" w:right="61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1100" w:right="100" w:hanging="210"/>
        <w:spacing w:after="0" w:line="250" w:lineRule="auto"/>
        <w:tabs>
          <w:tab w:leader="none" w:pos="11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Genentech and Pfizer have broad rights to select any target for protein degradation development, so long as not excluded by us under the terms of each collaboration and may select targets we are considering but have not taken sufficient action to exclude under the collaboration.</w:t>
      </w:r>
    </w:p>
    <w:p>
      <w:pPr>
        <w:spacing w:after="0" w:line="97" w:lineRule="exact"/>
        <w:rPr>
          <w:rFonts w:ascii="Arial" w:cs="Arial" w:eastAsia="Arial" w:hAnsi="Arial"/>
          <w:sz w:val="17"/>
          <w:szCs w:val="17"/>
          <w:color w:val="auto"/>
        </w:rPr>
      </w:pPr>
    </w:p>
    <w:p>
      <w:pPr>
        <w:ind w:left="1100" w:right="260" w:hanging="210"/>
        <w:spacing w:after="0" w:line="259" w:lineRule="auto"/>
        <w:tabs>
          <w:tab w:leader="none" w:pos="11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89" w:lineRule="exact"/>
        <w:rPr>
          <w:rFonts w:ascii="Arial" w:cs="Arial" w:eastAsia="Arial" w:hAnsi="Arial"/>
          <w:sz w:val="17"/>
          <w:szCs w:val="17"/>
          <w:color w:val="auto"/>
        </w:rPr>
      </w:pPr>
    </w:p>
    <w:p>
      <w:pPr>
        <w:ind w:left="1100" w:right="20" w:hanging="210"/>
        <w:spacing w:after="0" w:line="250" w:lineRule="auto"/>
        <w:tabs>
          <w:tab w:leader="none" w:pos="11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97" w:lineRule="exact"/>
        <w:rPr>
          <w:rFonts w:ascii="Arial" w:cs="Arial" w:eastAsia="Arial" w:hAnsi="Arial"/>
          <w:sz w:val="17"/>
          <w:szCs w:val="17"/>
          <w:color w:val="auto"/>
        </w:rPr>
      </w:pPr>
    </w:p>
    <w:p>
      <w:pPr>
        <w:ind w:left="1100" w:hanging="210"/>
        <w:spacing w:after="0" w:line="259" w:lineRule="auto"/>
        <w:tabs>
          <w:tab w:leader="none" w:pos="11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Collaborators with marketing and distribution rights to one or more products may not commit sufficient resources to the marketing and distribution of such product or products.</w:t>
      </w:r>
    </w:p>
    <w:p>
      <w:pPr>
        <w:spacing w:after="0" w:line="89" w:lineRule="exact"/>
        <w:rPr>
          <w:rFonts w:ascii="Arial" w:cs="Arial" w:eastAsia="Arial" w:hAnsi="Arial"/>
          <w:sz w:val="17"/>
          <w:szCs w:val="17"/>
          <w:color w:val="auto"/>
        </w:rPr>
      </w:pPr>
    </w:p>
    <w:p>
      <w:pPr>
        <w:ind w:left="1100" w:right="20" w:hanging="210"/>
        <w:spacing w:after="0" w:line="245" w:lineRule="auto"/>
        <w:tabs>
          <w:tab w:leader="none" w:pos="11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Collaborators may not properly obtain, maintain, enforce, or defend our intellectual property or proprietary rights or may use our proprietary information in such a way that could jeopardize or invalidate our proprietary information or expose us to potential litigation. For example, Pfizer and Genentech have the first right to enforce or defend certain intellectual property rights under the applicable collaboration arrangement with respect to particular licensed programs, and although we may have the right to assume the enforcement and defense of such intellectual property rights if the collaborator does not, our ability to do so may be compromised by their actions.</w:t>
      </w:r>
    </w:p>
    <w:p>
      <w:pPr>
        <w:spacing w:after="0" w:line="100" w:lineRule="exact"/>
        <w:rPr>
          <w:rFonts w:ascii="Arial" w:cs="Arial" w:eastAsia="Arial" w:hAnsi="Arial"/>
          <w:sz w:val="17"/>
          <w:szCs w:val="17"/>
          <w:color w:val="auto"/>
        </w:rPr>
      </w:pPr>
    </w:p>
    <w:p>
      <w:pPr>
        <w:ind w:left="1100" w:right="220" w:hanging="210"/>
        <w:spacing w:after="0" w:line="250" w:lineRule="auto"/>
        <w:tabs>
          <w:tab w:leader="none" w:pos="11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Disputes may arise between the collaborators and us that result in the delay or termination of the research, development, or commercialization of our products or product candidates or that result in costly litigation or arbitration that diverts management attention and resources.</w:t>
      </w:r>
    </w:p>
    <w:p>
      <w:pPr>
        <w:spacing w:after="0" w:line="97" w:lineRule="exact"/>
        <w:rPr>
          <w:rFonts w:ascii="Arial" w:cs="Arial" w:eastAsia="Arial" w:hAnsi="Arial"/>
          <w:sz w:val="17"/>
          <w:szCs w:val="17"/>
          <w:color w:val="auto"/>
        </w:rPr>
      </w:pPr>
    </w:p>
    <w:p>
      <w:pPr>
        <w:ind w:left="1100" w:right="340" w:hanging="210"/>
        <w:spacing w:after="0" w:line="259" w:lineRule="auto"/>
        <w:tabs>
          <w:tab w:leader="none" w:pos="11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may lose certain valuable rights under circumstances identified in our collaborations, including if we undergo a change of control.</w:t>
      </w:r>
    </w:p>
    <w:p>
      <w:pPr>
        <w:spacing w:after="0" w:line="89" w:lineRule="exact"/>
        <w:rPr>
          <w:rFonts w:ascii="Arial" w:cs="Arial" w:eastAsia="Arial" w:hAnsi="Arial"/>
          <w:sz w:val="17"/>
          <w:szCs w:val="17"/>
          <w:color w:val="auto"/>
        </w:rPr>
      </w:pPr>
    </w:p>
    <w:p>
      <w:pPr>
        <w:ind w:left="1100" w:right="20" w:hanging="210"/>
        <w:spacing w:after="0" w:line="245" w:lineRule="auto"/>
        <w:tabs>
          <w:tab w:leader="none" w:pos="11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Collaborations may be terminated and, if terminated, may result in a need for additional capital to pursue further development or commercialization of the applicable product candidates. For example, each of Genentech and Pfizer can terminate its agreement with us in its entirety or with respect to a specific target for convenience upon 60 days’ notice or in connection with a material breach of the agreement by us that remains uncured for a specified period of time. In 2015, we entered into a collaboration agreement with Merck Sharp &amp; Dohme Corp., or Merck, that expired in April 2018 with Merck not electing to continue research in any targets.</w:t>
      </w:r>
    </w:p>
    <w:p>
      <w:pPr>
        <w:spacing w:after="0" w:line="300" w:lineRule="exact"/>
        <w:rPr>
          <w:rFonts w:ascii="Arial" w:cs="Arial" w:eastAsia="Arial" w:hAnsi="Arial"/>
          <w:sz w:val="17"/>
          <w:szCs w:val="17"/>
          <w:color w:val="auto"/>
        </w:rPr>
      </w:pPr>
    </w:p>
    <w:p>
      <w:pPr>
        <w:ind w:left="1100" w:right="100" w:hanging="210"/>
        <w:spacing w:after="0" w:line="248" w:lineRule="auto"/>
        <w:tabs>
          <w:tab w:leader="none" w:pos="11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Collaboration agreements may not lead to development or commercialization of product candidates in the most efficient manner or at all. 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390" w:lineRule="exact"/>
        <w:rPr>
          <w:sz w:val="20"/>
          <w:szCs w:val="20"/>
          <w:color w:val="auto"/>
        </w:rPr>
      </w:pPr>
    </w:p>
    <w:p>
      <w:pPr>
        <w:ind w:left="360" w:right="60" w:firstLine="535"/>
        <w:spacing w:after="0" w:line="244" w:lineRule="auto"/>
        <w:rPr>
          <w:sz w:val="20"/>
          <w:szCs w:val="20"/>
          <w:color w:val="auto"/>
        </w:rPr>
      </w:pPr>
      <w:r>
        <w:rPr>
          <w:rFonts w:ascii="Arial" w:cs="Arial" w:eastAsia="Arial" w:hAnsi="Arial"/>
          <w:sz w:val="17"/>
          <w:szCs w:val="17"/>
          <w:color w:val="auto"/>
        </w:rPr>
        <w:t>If our collaborations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product candidates could be delayed, and we may need additional resources to develop product candidates. In addition, if one of our collaborators terminates its agreement with us, we may find it more difficult to find a suitable replacement collaborator or attract new collaborators, and our development programs may be delayed or the perception of us in the business and financial communities could be adversely affected. All of the risks relating to product development, marketing approval, and commercialization described in this prospectus apply to the activities of our collaborators.</w:t>
      </w:r>
    </w:p>
    <w:p>
      <w:pPr>
        <w:spacing w:after="0" w:line="32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060"/>
          </w:cols>
          <w:pgMar w:left="240" w:top="449" w:right="59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180" w:firstLine="535"/>
        <w:spacing w:after="0" w:line="243" w:lineRule="auto"/>
        <w:rPr>
          <w:sz w:val="20"/>
          <w:szCs w:val="20"/>
          <w:color w:val="auto"/>
        </w:rPr>
      </w:pPr>
      <w:r>
        <w:rPr>
          <w:rFonts w:ascii="Arial" w:cs="Arial" w:eastAsia="Arial" w:hAnsi="Arial"/>
          <w:sz w:val="17"/>
          <w:szCs w:val="17"/>
          <w:color w:val="auto"/>
        </w:rPr>
        <w:t>We may in the future decide to collaborate with pharmaceutical and biotechnology companies for the development and potential commercialization of any product candidates we may develop. These relationships, or those like them, may require us to incur non-recurring and other charges, increase our near- and long-term expenditures, issue securities that dilute our existing stockholders, or disrupt our management and business. In addition, we could face significant competition in seeking appropriate collaborators, and the negotiation process is time-consuming and complex. Our ability to reach a definitive collaboration agreement will depend, among other things, upon our assessment of the collaborator’s resources and expertise, the terms and conditions of the proposed collaboration, and the proposed collaborator’s evaluation of several factors. If we license rights to any product candidates we or our collaborators may develop, we may not be able to realize the benefit of such transactions if we are unable to successfully integrate them with our existing operations and company culture.</w:t>
      </w:r>
    </w:p>
    <w:p>
      <w:pPr>
        <w:spacing w:after="0" w:line="283" w:lineRule="exact"/>
        <w:rPr>
          <w:sz w:val="20"/>
          <w:szCs w:val="20"/>
          <w:color w:val="auto"/>
        </w:rPr>
      </w:pPr>
    </w:p>
    <w:p>
      <w:pPr>
        <w:ind w:left="360" w:right="280"/>
        <w:spacing w:after="0" w:line="284" w:lineRule="auto"/>
        <w:rPr>
          <w:sz w:val="20"/>
          <w:szCs w:val="20"/>
          <w:color w:val="auto"/>
        </w:rPr>
      </w:pPr>
      <w:r>
        <w:rPr>
          <w:rFonts w:ascii="Arial" w:cs="Arial" w:eastAsia="Arial" w:hAnsi="Arial"/>
          <w:sz w:val="17"/>
          <w:szCs w:val="17"/>
          <w:b w:val="1"/>
          <w:bCs w:val="1"/>
          <w:i w:val="1"/>
          <w:iCs w:val="1"/>
          <w:color w:val="auto"/>
        </w:rPr>
        <w:t>We may seek to establish additional collaborations. If we are not able to establish collaborations on commercially reasonable terms, we may have to alter our development and commercialization plans.</w:t>
      </w:r>
    </w:p>
    <w:p>
      <w:pPr>
        <w:spacing w:after="0" w:line="56" w:lineRule="exact"/>
        <w:rPr>
          <w:sz w:val="20"/>
          <w:szCs w:val="20"/>
          <w:color w:val="auto"/>
        </w:rPr>
      </w:pPr>
    </w:p>
    <w:p>
      <w:pPr>
        <w:ind w:left="360" w:right="60" w:firstLine="535"/>
        <w:spacing w:after="0" w:line="243" w:lineRule="auto"/>
        <w:rPr>
          <w:sz w:val="20"/>
          <w:szCs w:val="20"/>
          <w:color w:val="auto"/>
        </w:rPr>
      </w:pPr>
      <w:r>
        <w:rPr>
          <w:rFonts w:ascii="Arial" w:cs="Arial" w:eastAsia="Arial" w:hAnsi="Arial"/>
          <w:sz w:val="17"/>
          <w:szCs w:val="17"/>
          <w:color w:val="auto"/>
        </w:rPr>
        <w:t>To realize the full potential of our PROTAC platform and accelerate the development of additional PROTAC programs, we plan to continue to selectively pursue collaborations with leading biopharmaceutical companies with particular experience, including development and commercial expertise and capabilities. We face significant competition in attracting appropriate collaborators to advance the development of any product candidates for which we may seek a collaboration.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other regulatory authorities,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the terms of any existing collaboration agreements, and industry and market conditions generally. The collaborator may also have the opportunity to collaborate on other product candidates or technologies for similar indications and will have to evaluate whether such a collaboration could be more attractive than one with us.</w:t>
      </w:r>
    </w:p>
    <w:p>
      <w:pPr>
        <w:spacing w:after="0" w:line="194" w:lineRule="exact"/>
        <w:rPr>
          <w:sz w:val="20"/>
          <w:szCs w:val="20"/>
          <w:color w:val="auto"/>
        </w:rPr>
      </w:pPr>
    </w:p>
    <w:p>
      <w:pPr>
        <w:ind w:left="360" w:right="20" w:firstLine="535"/>
        <w:spacing w:after="0" w:line="250" w:lineRule="auto"/>
        <w:rPr>
          <w:sz w:val="20"/>
          <w:szCs w:val="20"/>
          <w:color w:val="auto"/>
        </w:rPr>
      </w:pPr>
      <w:r>
        <w:rPr>
          <w:rFonts w:ascii="Arial" w:cs="Arial" w:eastAsia="Arial" w:hAnsi="Arial"/>
          <w:sz w:val="17"/>
          <w:szCs w:val="17"/>
          <w:color w:val="auto"/>
        </w:rPr>
        <w:t>Collaborations are complex and time-consuming to negotiate, document and execute. In addition, consolidation among large pharmaceutical companies has reduced the number of potential future collaborators. Any collaboration we enter into may limit our ability to enter into future agreements on particular terms or covering similar target indications with other potential collaborators.</w:t>
      </w:r>
    </w:p>
    <w:p>
      <w:pPr>
        <w:spacing w:after="0" w:line="189" w:lineRule="exact"/>
        <w:rPr>
          <w:sz w:val="20"/>
          <w:szCs w:val="20"/>
          <w:color w:val="auto"/>
        </w:rPr>
      </w:pPr>
    </w:p>
    <w:p>
      <w:pPr>
        <w:ind w:left="360" w:firstLine="535"/>
        <w:spacing w:after="0" w:line="244" w:lineRule="auto"/>
        <w:rPr>
          <w:sz w:val="20"/>
          <w:szCs w:val="20"/>
          <w:color w:val="auto"/>
        </w:rPr>
      </w:pPr>
      <w:r>
        <w:rPr>
          <w:rFonts w:ascii="Arial" w:cs="Arial" w:eastAsia="Arial" w:hAnsi="Arial"/>
          <w:sz w:val="17"/>
          <w:szCs w:val="17"/>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 from product sales, which could have an adverse effect on our business, prospects, financial condition and results of operations.</w:t>
      </w:r>
    </w:p>
    <w:p>
      <w:pPr>
        <w:spacing w:after="0" w:line="32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060"/>
          </w:cols>
          <w:pgMar w:left="240" w:top="449" w:right="59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360" w:right="60"/>
        <w:spacing w:after="0" w:line="284" w:lineRule="auto"/>
        <w:rPr>
          <w:sz w:val="20"/>
          <w:szCs w:val="20"/>
          <w:color w:val="auto"/>
        </w:rPr>
      </w:pPr>
      <w:r>
        <w:rPr>
          <w:rFonts w:ascii="Arial" w:cs="Arial" w:eastAsia="Arial" w:hAnsi="Arial"/>
          <w:sz w:val="17"/>
          <w:szCs w:val="17"/>
          <w:b w:val="1"/>
          <w:bCs w:val="1"/>
          <w:i w:val="1"/>
          <w:iCs w:val="1"/>
          <w:color w:val="auto"/>
        </w:rPr>
        <w:t>We rely and expect to continue to rely on agreements with Yale University to supplement our internal research and development program. If Yale decides to discontinue or devote less resources to such research, our research efforts could be diminished.</w:t>
      </w:r>
    </w:p>
    <w:p>
      <w:pPr>
        <w:spacing w:after="0" w:line="56" w:lineRule="exact"/>
        <w:rPr>
          <w:sz w:val="20"/>
          <w:szCs w:val="20"/>
          <w:color w:val="auto"/>
        </w:rPr>
      </w:pPr>
    </w:p>
    <w:p>
      <w:pPr>
        <w:ind w:left="360" w:firstLine="535"/>
        <w:spacing w:after="0" w:line="243" w:lineRule="auto"/>
        <w:rPr>
          <w:sz w:val="20"/>
          <w:szCs w:val="20"/>
          <w:color w:val="auto"/>
        </w:rPr>
      </w:pPr>
      <w:r>
        <w:rPr>
          <w:rFonts w:ascii="Arial" w:cs="Arial" w:eastAsia="Arial" w:hAnsi="Arial"/>
          <w:sz w:val="17"/>
          <w:szCs w:val="17"/>
          <w:color w:val="auto"/>
        </w:rPr>
        <w:t>Our set of arrangements with Yale University, or Yale, provide us with access to certain of Yale’s intellectual property and to Professor Crews’ laboratory in a manner that we believe closely aligns our scientific interests with those of Yale. We are a party to both a license agreement and a sponsored research agreement with Yale. While Yale has contractual obligations to us, it is an independent entity and is not under our control or the control of our officers or directors. The license agreement is structured to provide Yale with license maintenance fees, development and regulatory milestone payments, royalties on net sales of products, and a portion of sublicense income that we receive. Upon the scheduled expiration of the Yale research agreement in April 2021, the research agreement may not be renewed, or any renewal could be on terms less favorable to us than those contained in the existing agreement. Furthermore, either we or Yale may terminate the research agreement for convenience following a specified notice period. If Yale decides to not renew or to terminate the Yale research agreement or decides to devote fewer resources to such activities, our research efforts would be diminished, while our royalty obligations to Yale would continue unmodified, which could have a material adverse effect on our business and financial condition.</w:t>
      </w:r>
    </w:p>
    <w:p>
      <w:pPr>
        <w:spacing w:after="0" w:line="394" w:lineRule="exact"/>
        <w:rPr>
          <w:sz w:val="20"/>
          <w:szCs w:val="20"/>
          <w:color w:val="auto"/>
        </w:rPr>
      </w:pPr>
    </w:p>
    <w:p>
      <w:pPr>
        <w:ind w:left="360" w:right="240" w:firstLine="535"/>
        <w:spacing w:after="0" w:line="245" w:lineRule="auto"/>
        <w:rPr>
          <w:sz w:val="20"/>
          <w:szCs w:val="20"/>
          <w:color w:val="auto"/>
        </w:rPr>
      </w:pPr>
      <w:r>
        <w:rPr>
          <w:rFonts w:ascii="Arial" w:cs="Arial" w:eastAsia="Arial" w:hAnsi="Arial"/>
          <w:sz w:val="17"/>
          <w:szCs w:val="17"/>
          <w:color w:val="auto"/>
        </w:rPr>
        <w:t>Our license agreement with Yale also provides that so long as Professor Crews serves as a member of our board of directors or scientific advisory board or has a similar advisory arrangement, has a consulting arrangement with us, or his laboratory is performing sponsored research for us, and so long as he is an employee or faculty member (including emeritus faculty member) at Yale, any future invention by Professor Crews’ laboratory in the license agreement’s field is included in the licensed intellectual property. If Professor Crews were to leave Yale or no longer be meaningfully involved with us, we would no longer have access to future inventions in the license agreement’s field from Yale.</w:t>
      </w:r>
    </w:p>
    <w:p>
      <w:pPr>
        <w:spacing w:after="0" w:line="192" w:lineRule="exact"/>
        <w:rPr>
          <w:sz w:val="20"/>
          <w:szCs w:val="20"/>
          <w:color w:val="auto"/>
        </w:rPr>
      </w:pPr>
    </w:p>
    <w:p>
      <w:pPr>
        <w:ind w:left="360" w:right="100" w:firstLine="535"/>
        <w:spacing w:after="0" w:line="250" w:lineRule="auto"/>
        <w:rPr>
          <w:sz w:val="20"/>
          <w:szCs w:val="20"/>
          <w:color w:val="auto"/>
        </w:rPr>
      </w:pPr>
      <w:r>
        <w:rPr>
          <w:rFonts w:ascii="Arial" w:cs="Arial" w:eastAsia="Arial" w:hAnsi="Arial"/>
          <w:sz w:val="17"/>
          <w:szCs w:val="17"/>
          <w:color w:val="auto"/>
        </w:rPr>
        <w:t>Additionally, the license granted under the license agreement terminates after a specified period following a qualifying change of control, unless we elect or our successor or assignee elects to continue the agreement. If the license is terminated after such a change of control, royalty payments would continue to be paid on certain licensed products.</w:t>
      </w:r>
    </w:p>
    <w:p>
      <w:pPr>
        <w:spacing w:after="0" w:line="274" w:lineRule="exact"/>
        <w:rPr>
          <w:sz w:val="20"/>
          <w:szCs w:val="20"/>
          <w:color w:val="auto"/>
        </w:rPr>
      </w:pPr>
    </w:p>
    <w:p>
      <w:pPr>
        <w:ind w:left="360" w:right="160"/>
        <w:spacing w:after="0" w:line="284" w:lineRule="auto"/>
        <w:rPr>
          <w:sz w:val="20"/>
          <w:szCs w:val="20"/>
          <w:color w:val="auto"/>
        </w:rPr>
      </w:pPr>
      <w:r>
        <w:rPr>
          <w:rFonts w:ascii="Arial" w:cs="Arial" w:eastAsia="Arial" w:hAnsi="Arial"/>
          <w:sz w:val="17"/>
          <w:szCs w:val="17"/>
          <w:b w:val="1"/>
          <w:bCs w:val="1"/>
          <w:i w:val="1"/>
          <w:iCs w:val="1"/>
          <w:color w:val="auto"/>
        </w:rPr>
        <w:t>We expect to rely on third parties to conduct our clinical trials, and those third parties may not perform satisfactorily, including failing to meet deadlines for the completion of such trials.</w:t>
      </w:r>
    </w:p>
    <w:p>
      <w:pPr>
        <w:spacing w:after="0" w:line="56" w:lineRule="exact"/>
        <w:rPr>
          <w:sz w:val="20"/>
          <w:szCs w:val="20"/>
          <w:color w:val="auto"/>
        </w:rPr>
      </w:pPr>
    </w:p>
    <w:p>
      <w:pPr>
        <w:ind w:left="360" w:right="60" w:firstLine="535"/>
        <w:spacing w:after="0" w:line="246" w:lineRule="auto"/>
        <w:rPr>
          <w:sz w:val="20"/>
          <w:szCs w:val="20"/>
          <w:color w:val="auto"/>
        </w:rPr>
      </w:pPr>
      <w:r>
        <w:rPr>
          <w:rFonts w:ascii="Arial" w:cs="Arial" w:eastAsia="Arial" w:hAnsi="Arial"/>
          <w:sz w:val="17"/>
          <w:szCs w:val="17"/>
          <w:color w:val="auto"/>
        </w:rPr>
        <w:t>We expect to rely on third-party clinical research organizations, or CROs, to conduct our planned Phase 1 clinical trial programs for ARV-110 and ARV-471 and any other clinical trials and currently do not plan to independently conduct any clinical trials of ARV-110 and ARV-471 or of our other product candidates. Agreements with these third parties might terminate for a variety of reasons, including a failure to perform by the third parties. If we need to enter into alternative arrangements, that would delay our product development activities.</w:t>
      </w:r>
    </w:p>
    <w:p>
      <w:pPr>
        <w:spacing w:after="0" w:line="392" w:lineRule="exact"/>
        <w:rPr>
          <w:sz w:val="20"/>
          <w:szCs w:val="20"/>
          <w:color w:val="auto"/>
        </w:rPr>
      </w:pPr>
    </w:p>
    <w:p>
      <w:pPr>
        <w:ind w:left="360" w:right="80" w:firstLine="535"/>
        <w:spacing w:after="0" w:line="245" w:lineRule="auto"/>
        <w:rPr>
          <w:sz w:val="20"/>
          <w:szCs w:val="20"/>
          <w:color w:val="auto"/>
        </w:rPr>
      </w:pPr>
      <w:r>
        <w:rPr>
          <w:rFonts w:ascii="Arial" w:cs="Arial" w:eastAsia="Arial" w:hAnsi="Arial"/>
          <w:sz w:val="17"/>
          <w:szCs w:val="17"/>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in the applicable IND. Moreover, the FDA requires compliance with standards,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w:t>
      </w:r>
    </w:p>
    <w:p>
      <w:pPr>
        <w:spacing w:after="0" w:line="392" w:lineRule="exact"/>
        <w:rPr>
          <w:sz w:val="20"/>
          <w:szCs w:val="20"/>
          <w:color w:val="auto"/>
        </w:rPr>
      </w:pPr>
    </w:p>
    <w:p>
      <w:pPr>
        <w:ind w:left="360" w:right="320" w:firstLine="535"/>
        <w:spacing w:after="0" w:line="259" w:lineRule="auto"/>
        <w:rPr>
          <w:sz w:val="20"/>
          <w:szCs w:val="20"/>
          <w:color w:val="auto"/>
        </w:rPr>
      </w:pPr>
      <w:r>
        <w:rPr>
          <w:rFonts w:ascii="Arial" w:cs="Arial" w:eastAsia="Arial" w:hAnsi="Arial"/>
          <w:sz w:val="17"/>
          <w:szCs w:val="17"/>
          <w:color w:val="auto"/>
        </w:rPr>
        <w:t>Furthermore, these third parties may have relationships with other entities, some of which may be our competitors. If these third parties do not successfully carry out their contractual duties, meet</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060"/>
          </w:cols>
          <w:pgMar w:left="240" w:top="449" w:right="59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jc w:val="both"/>
        <w:ind w:left="360" w:right="100"/>
        <w:spacing w:after="0" w:line="250" w:lineRule="auto"/>
        <w:rPr>
          <w:sz w:val="20"/>
          <w:szCs w:val="20"/>
          <w:color w:val="auto"/>
        </w:rPr>
      </w:pPr>
      <w:r>
        <w:rPr>
          <w:rFonts w:ascii="Arial" w:cs="Arial" w:eastAsia="Arial" w:hAnsi="Arial"/>
          <w:sz w:val="17"/>
          <w:szCs w:val="17"/>
          <w:color w:val="auto"/>
        </w:rPr>
        <w:t>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274" w:lineRule="exact"/>
        <w:rPr>
          <w:sz w:val="20"/>
          <w:szCs w:val="20"/>
          <w:color w:val="auto"/>
        </w:rPr>
      </w:pPr>
    </w:p>
    <w:p>
      <w:pPr>
        <w:ind w:left="360" w:right="140"/>
        <w:spacing w:after="0" w:line="252" w:lineRule="auto"/>
        <w:rPr>
          <w:sz w:val="20"/>
          <w:szCs w:val="20"/>
          <w:color w:val="auto"/>
        </w:rPr>
      </w:pPr>
      <w:r>
        <w:rPr>
          <w:rFonts w:ascii="Arial" w:cs="Arial" w:eastAsia="Arial" w:hAnsi="Arial"/>
          <w:sz w:val="17"/>
          <w:szCs w:val="17"/>
          <w:b w:val="1"/>
          <w:bCs w:val="1"/>
          <w:i w:val="1"/>
          <w:iCs w:val="1"/>
          <w:color w:val="auto"/>
        </w:rPr>
        <w:t>We rely on third-party contract manufacturing organizations for the manufacture of both drug substance and finished drug product for our product candidates for preclinical testing and clinical trials and expect to continue to do so for commercialization. This reliance on third parties may increase the risk that we will not have sufficient quantities of our product candidates or products or such quantities at an acceptable cost or quality, which could delay, prevent or impair our development or commercialization efforts.</w:t>
      </w:r>
    </w:p>
    <w:p>
      <w:pPr>
        <w:spacing w:after="0" w:line="82" w:lineRule="exact"/>
        <w:rPr>
          <w:sz w:val="20"/>
          <w:szCs w:val="20"/>
          <w:color w:val="auto"/>
        </w:rPr>
      </w:pPr>
    </w:p>
    <w:p>
      <w:pPr>
        <w:ind w:left="360" w:firstLine="535"/>
        <w:spacing w:after="0" w:line="247" w:lineRule="auto"/>
        <w:rPr>
          <w:sz w:val="20"/>
          <w:szCs w:val="20"/>
          <w:color w:val="auto"/>
        </w:rPr>
      </w:pPr>
      <w:r>
        <w:rPr>
          <w:rFonts w:ascii="Arial" w:cs="Arial" w:eastAsia="Arial" w:hAnsi="Arial"/>
          <w:sz w:val="17"/>
          <w:szCs w:val="17"/>
          <w:color w:val="auto"/>
        </w:rPr>
        <w:t>We do not own or operate, and currently have no plans to establish, any manufacturing facilities. We rely on and expect to continue to rely on third-party contract manufacturing organizations, or CMOs, for both drug substance and finished drug product. This reliance on third parties may increase the risk that we will not have sufficient quantities of our product candidates or products or such quantities at an acceptable cost or quality, which could delay, prevent or impair our development or commercialization efforts.</w:t>
      </w:r>
    </w:p>
    <w:p>
      <w:pPr>
        <w:spacing w:after="0" w:line="192" w:lineRule="exact"/>
        <w:rPr>
          <w:sz w:val="20"/>
          <w:szCs w:val="20"/>
          <w:color w:val="auto"/>
        </w:rPr>
      </w:pPr>
    </w:p>
    <w:p>
      <w:pPr>
        <w:ind w:left="360" w:right="120" w:firstLine="535"/>
        <w:spacing w:after="0" w:line="259" w:lineRule="auto"/>
        <w:rPr>
          <w:sz w:val="20"/>
          <w:szCs w:val="20"/>
          <w:color w:val="auto"/>
        </w:rPr>
      </w:pPr>
      <w:r>
        <w:rPr>
          <w:rFonts w:ascii="Arial" w:cs="Arial" w:eastAsia="Arial" w:hAnsi="Arial"/>
          <w:sz w:val="17"/>
          <w:szCs w:val="17"/>
          <w:color w:val="auto"/>
        </w:rPr>
        <w:t>We may be unable to establish agreements with third-party manufacturers or to do so on acceptable terms. Even if we are able to establish agreements with third-party manufacturers, reliance on third-party manufacturers entails additional risks, including:</w:t>
      </w:r>
    </w:p>
    <w:p>
      <w:pPr>
        <w:spacing w:after="0" w:line="89" w:lineRule="exact"/>
        <w:rPr>
          <w:sz w:val="20"/>
          <w:szCs w:val="20"/>
          <w:color w:val="auto"/>
        </w:rPr>
      </w:pPr>
    </w:p>
    <w:p>
      <w:pPr>
        <w:ind w:left="1100" w:hanging="210"/>
        <w:spacing w:after="0"/>
        <w:tabs>
          <w:tab w:leader="none" w:pos="11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reliance on the third party for regulatory, compliance and quality assurance;</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possible breach of the manufacturing agreement by the third party;</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possible misappropriation of our proprietary information, including our trade secrets and know-how; and</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possible termination or nonrenewal of the agreement by the third party at a time that is costly or inconvenient for us.</w:t>
      </w:r>
    </w:p>
    <w:p>
      <w:pPr>
        <w:spacing w:after="0" w:line="211" w:lineRule="exact"/>
        <w:rPr>
          <w:sz w:val="20"/>
          <w:szCs w:val="20"/>
          <w:color w:val="auto"/>
        </w:rPr>
      </w:pPr>
    </w:p>
    <w:p>
      <w:pPr>
        <w:ind w:left="360" w:right="120" w:firstLine="535"/>
        <w:spacing w:after="0" w:line="247" w:lineRule="auto"/>
        <w:rPr>
          <w:sz w:val="20"/>
          <w:szCs w:val="20"/>
          <w:color w:val="auto"/>
        </w:rPr>
      </w:pPr>
      <w:r>
        <w:rPr>
          <w:rFonts w:ascii="Arial" w:cs="Arial" w:eastAsia="Arial" w:hAnsi="Arial"/>
          <w:sz w:val="17"/>
          <w:szCs w:val="17"/>
          <w:color w:val="auto"/>
        </w:rPr>
        <w:t>We have only limited technology transfer agreements in place with respect to our product candidates, and these arrangements do not extend to commercial supply. We acquire many key materials on a purchase order basis. As a result, we do not have long term committed arrangements with respect to our product candidates and other materials. If we receive marketing approval for any of our product candidates, we will need to establish an agreement for commercial manufacture with a third party.</w:t>
      </w:r>
    </w:p>
    <w:p>
      <w:pPr>
        <w:spacing w:after="0" w:line="192" w:lineRule="exact"/>
        <w:rPr>
          <w:sz w:val="20"/>
          <w:szCs w:val="20"/>
          <w:color w:val="auto"/>
        </w:rPr>
      </w:pPr>
    </w:p>
    <w:p>
      <w:pPr>
        <w:ind w:left="360" w:right="80" w:firstLine="535"/>
        <w:spacing w:after="0" w:line="245" w:lineRule="auto"/>
        <w:rPr>
          <w:sz w:val="20"/>
          <w:szCs w:val="20"/>
          <w:color w:val="auto"/>
        </w:rPr>
      </w:pPr>
      <w:r>
        <w:rPr>
          <w:rFonts w:ascii="Arial" w:cs="Arial" w:eastAsia="Arial" w:hAnsi="Arial"/>
          <w:sz w:val="17"/>
          <w:szCs w:val="17"/>
          <w:color w:val="auto"/>
        </w:rPr>
        <w:t>Third-party manufacturers may not be able to comply with current good manufacturing practices, or cGMP, regulations or similar regulatory requirements outside of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w:t>
      </w:r>
    </w:p>
    <w:p>
      <w:pPr>
        <w:spacing w:after="0" w:line="195" w:lineRule="exact"/>
        <w:rPr>
          <w:sz w:val="20"/>
          <w:szCs w:val="20"/>
          <w:color w:val="auto"/>
        </w:rPr>
      </w:pPr>
    </w:p>
    <w:p>
      <w:pPr>
        <w:ind w:left="360" w:right="120" w:firstLine="535"/>
        <w:spacing w:after="0" w:line="250" w:lineRule="auto"/>
        <w:rPr>
          <w:sz w:val="20"/>
          <w:szCs w:val="20"/>
          <w:color w:val="auto"/>
        </w:rPr>
      </w:pPr>
      <w:r>
        <w:rPr>
          <w:rFonts w:ascii="Arial" w:cs="Arial" w:eastAsia="Arial" w:hAnsi="Arial"/>
          <w:sz w:val="17"/>
          <w:szCs w:val="17"/>
          <w:color w:val="auto"/>
        </w:rPr>
        <w:t>Our product candidates and any products that we may develop may compete with other product candidates and products for access to manufacturing facilities. As a result, we may not obtain access to these facilities on a priority basis or at all. There are a limited number of manufacturers that operate under cGMP regulations and that might be capable of manufacturing for us.</w:t>
      </w:r>
    </w:p>
    <w:p>
      <w:pPr>
        <w:spacing w:after="0" w:line="189" w:lineRule="exact"/>
        <w:rPr>
          <w:sz w:val="20"/>
          <w:szCs w:val="20"/>
          <w:color w:val="auto"/>
        </w:rPr>
      </w:pPr>
    </w:p>
    <w:p>
      <w:pPr>
        <w:ind w:left="360" w:right="40" w:firstLine="535"/>
        <w:spacing w:after="0" w:line="259"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or marketing approval. We do not currently have arrangements in place for redundant</w:t>
      </w:r>
    </w:p>
    <w:p>
      <w:pPr>
        <w:spacing w:after="0" w:line="116"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020"/>
          </w:cols>
          <w:pgMar w:left="240" w:top="449" w:right="63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100"/>
        <w:spacing w:after="0" w:line="247" w:lineRule="auto"/>
        <w:rPr>
          <w:sz w:val="20"/>
          <w:szCs w:val="20"/>
          <w:color w:val="auto"/>
        </w:rPr>
      </w:pPr>
      <w:r>
        <w:rPr>
          <w:rFonts w:ascii="Arial" w:cs="Arial" w:eastAsia="Arial" w:hAnsi="Arial"/>
          <w:sz w:val="17"/>
          <w:szCs w:val="17"/>
          <w:color w:val="auto"/>
        </w:rPr>
        <w:t>supply or a second source for bulk drug substance. If our current contract manufacturers cannot perform as agreed, we may be required to replace such manufacturers. Although we believe that there are several potential alternative manufacturers who could manufacture our product candidates, we may incur added costs and delays in identifying and qualifying any such replacement manufacturer or be able to reach agreement with any alternative manufacturer.</w:t>
      </w:r>
    </w:p>
    <w:p>
      <w:pPr>
        <w:spacing w:after="0" w:line="192" w:lineRule="exact"/>
        <w:rPr>
          <w:sz w:val="20"/>
          <w:szCs w:val="20"/>
          <w:color w:val="auto"/>
        </w:rPr>
      </w:pPr>
    </w:p>
    <w:p>
      <w:pPr>
        <w:ind w:left="360" w:right="300" w:firstLine="535"/>
        <w:spacing w:after="0" w:line="250"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272" w:lineRule="exact"/>
        <w:rPr>
          <w:sz w:val="20"/>
          <w:szCs w:val="20"/>
          <w:color w:val="auto"/>
        </w:rPr>
      </w:pPr>
    </w:p>
    <w:p>
      <w:pPr>
        <w:ind w:left="2940"/>
        <w:spacing w:after="0"/>
        <w:rPr>
          <w:sz w:val="20"/>
          <w:szCs w:val="20"/>
          <w:color w:val="auto"/>
        </w:rPr>
      </w:pPr>
      <w:r>
        <w:rPr>
          <w:rFonts w:ascii="Arial" w:cs="Arial" w:eastAsia="Arial" w:hAnsi="Arial"/>
          <w:sz w:val="17"/>
          <w:szCs w:val="17"/>
          <w:b w:val="1"/>
          <w:bCs w:val="1"/>
          <w:color w:val="auto"/>
        </w:rPr>
        <w:t>Risks Related to the Commercialization of Our Product Candidates</w:t>
      </w:r>
    </w:p>
    <w:p>
      <w:pPr>
        <w:spacing w:after="0" w:line="213" w:lineRule="exact"/>
        <w:rPr>
          <w:sz w:val="20"/>
          <w:szCs w:val="20"/>
          <w:color w:val="auto"/>
        </w:rPr>
      </w:pPr>
    </w:p>
    <w:p>
      <w:pPr>
        <w:ind w:left="360" w:right="340"/>
        <w:spacing w:after="0" w:line="284" w:lineRule="auto"/>
        <w:rPr>
          <w:sz w:val="20"/>
          <w:szCs w:val="20"/>
          <w:color w:val="auto"/>
        </w:rPr>
      </w:pPr>
      <w:r>
        <w:rPr>
          <w:rFonts w:ascii="Arial" w:cs="Arial" w:eastAsia="Arial" w:hAnsi="Arial"/>
          <w:sz w:val="17"/>
          <w:szCs w:val="17"/>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56" w:lineRule="exact"/>
        <w:rPr>
          <w:sz w:val="20"/>
          <w:szCs w:val="20"/>
          <w:color w:val="auto"/>
        </w:rPr>
      </w:pPr>
    </w:p>
    <w:p>
      <w:pPr>
        <w:ind w:left="360" w:firstLine="535"/>
        <w:spacing w:after="0" w:line="245" w:lineRule="auto"/>
        <w:rPr>
          <w:sz w:val="20"/>
          <w:szCs w:val="20"/>
          <w:color w:val="auto"/>
        </w:rPr>
      </w:pPr>
      <w:r>
        <w:rPr>
          <w:rFonts w:ascii="Arial" w:cs="Arial" w:eastAsia="Arial" w:hAnsi="Arial"/>
          <w:sz w:val="17"/>
          <w:szCs w:val="17"/>
          <w:color w:val="auto"/>
        </w:rPr>
        <w:t>If any of our product candidates receives marketing approval, it may nonetheless fail to gain sufficient market acceptance by physicians, patients, third-party payors and others in the medical community. For example, current cancer treatments, such as chemotherapy and radiation therapy, are well established in the medical community, and doctors may continue to rely on these treatments. If our product candidates do not achieve an adequate level of acceptance, we may not generate significant revenue from product sales and we may not become profitable. The degree of market acceptance of our product candidates, if approved for commercial sale, will depend on a number of factors, including:</w:t>
      </w:r>
    </w:p>
    <w:p>
      <w:pPr>
        <w:spacing w:after="0" w:line="101" w:lineRule="exact"/>
        <w:rPr>
          <w:sz w:val="20"/>
          <w:szCs w:val="20"/>
          <w:color w:val="auto"/>
        </w:rPr>
      </w:pPr>
    </w:p>
    <w:p>
      <w:pPr>
        <w:ind w:left="1100" w:hanging="210"/>
        <w:spacing w:after="0"/>
        <w:tabs>
          <w:tab w:leader="none" w:pos="11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efficacy and potential advantages compared to alternative treatments;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prevalence and severity of any side effects, in particular compared to alternative treatments;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ability to offer our products for sale at competitive prices;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convenience and ease of administration compared to alternative treatments;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willingness of the target patient population to try new therapies and of physicians to prescribe these therapies;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strength of marketing, sales and distribution support;</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availability of third-party coverage and adequate reimbursement;</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timing of any marketing approval in relation to other product approvals;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support from patient advocacy groups; and</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restrictions on the use of our products together with other medications.</w:t>
      </w:r>
    </w:p>
    <w:p>
      <w:pPr>
        <w:spacing w:after="0" w:line="296" w:lineRule="exact"/>
        <w:rPr>
          <w:sz w:val="20"/>
          <w:szCs w:val="20"/>
          <w:color w:val="auto"/>
        </w:rPr>
      </w:pPr>
    </w:p>
    <w:p>
      <w:pPr>
        <w:ind w:left="360" w:right="740"/>
        <w:spacing w:after="0" w:line="284" w:lineRule="auto"/>
        <w:rPr>
          <w:sz w:val="20"/>
          <w:szCs w:val="20"/>
          <w:color w:val="auto"/>
        </w:rPr>
      </w:pPr>
      <w:r>
        <w:rPr>
          <w:rFonts w:ascii="Arial" w:cs="Arial" w:eastAsia="Arial" w:hAnsi="Arial"/>
          <w:sz w:val="17"/>
          <w:szCs w:val="17"/>
          <w:b w:val="1"/>
          <w:bCs w:val="1"/>
          <w:i w:val="1"/>
          <w:iCs w:val="1"/>
          <w:color w:val="auto"/>
        </w:rPr>
        <w:t>If we are unable to establish sales and marketing capabilities, we may not be successful in commercializing our product candidates if and when they are approved.</w:t>
      </w:r>
    </w:p>
    <w:p>
      <w:pPr>
        <w:spacing w:after="0" w:line="56" w:lineRule="exact"/>
        <w:rPr>
          <w:sz w:val="20"/>
          <w:szCs w:val="20"/>
          <w:color w:val="auto"/>
        </w:rPr>
      </w:pPr>
    </w:p>
    <w:p>
      <w:pPr>
        <w:ind w:left="360" w:right="180" w:firstLine="535"/>
        <w:spacing w:after="0" w:line="250" w:lineRule="auto"/>
        <w:rPr>
          <w:sz w:val="20"/>
          <w:szCs w:val="20"/>
          <w:color w:val="auto"/>
        </w:rPr>
      </w:pPr>
      <w:r>
        <w:rPr>
          <w:rFonts w:ascii="Arial" w:cs="Arial" w:eastAsia="Arial" w:hAnsi="Arial"/>
          <w:sz w:val="17"/>
          <w:szCs w:val="17"/>
          <w:color w:val="auto"/>
        </w:rPr>
        <w:t>We do not have a sales or marketing infrastructure and have no experience in the sale, marketing or distribution of biopharmaceutical products. To achieve commercial success for any product for which we obtain marketing approval, we will need to establish sales, marketing and distribution capabilities, either ourselves or through collaboration or other arrangements with third parties.</w:t>
      </w:r>
    </w:p>
    <w:p>
      <w:pPr>
        <w:spacing w:after="0" w:line="189" w:lineRule="exact"/>
        <w:rPr>
          <w:sz w:val="20"/>
          <w:szCs w:val="20"/>
          <w:color w:val="auto"/>
        </w:rPr>
      </w:pPr>
    </w:p>
    <w:p>
      <w:pPr>
        <w:ind w:left="360" w:right="320" w:firstLine="535"/>
        <w:spacing w:after="0" w:line="250" w:lineRule="auto"/>
        <w:rPr>
          <w:sz w:val="20"/>
          <w:szCs w:val="20"/>
          <w:color w:val="auto"/>
        </w:rPr>
      </w:pPr>
      <w:r>
        <w:rPr>
          <w:rFonts w:ascii="Arial" w:cs="Arial" w:eastAsia="Arial" w:hAnsi="Arial"/>
          <w:sz w:val="17"/>
          <w:szCs w:val="17"/>
          <w:color w:val="auto"/>
        </w:rPr>
        <w:t>We currently expect that we would build our own focused, specialized sales and marketing organization to support the commercialization in the United States of product candidates for which we receive marketing approval and that can be commercialized with such capabilities. There are risks</w:t>
      </w:r>
    </w:p>
    <w:p>
      <w:pPr>
        <w:spacing w:after="0" w:line="123"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060"/>
          </w:cols>
          <w:pgMar w:left="240" w:top="449" w:right="59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jc w:val="both"/>
        <w:ind w:left="360" w:right="240"/>
        <w:spacing w:after="0" w:line="245" w:lineRule="auto"/>
        <w:rPr>
          <w:sz w:val="20"/>
          <w:szCs w:val="20"/>
          <w:color w:val="auto"/>
        </w:rPr>
      </w:pPr>
      <w:r>
        <w:rPr>
          <w:rFonts w:ascii="Arial" w:cs="Arial" w:eastAsia="Arial" w:hAnsi="Arial"/>
          <w:sz w:val="17"/>
          <w:szCs w:val="17"/>
          <w:color w:val="auto"/>
        </w:rPr>
        <w:t>involved with establishing our own sales and marketing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These efforts may be costly, and our investment would be lost if we cannot retain or reposition our sales and marketing personnel.</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7"/>
          <w:szCs w:val="17"/>
          <w:color w:val="auto"/>
        </w:rPr>
        <w:t>Factors that may inhibit our efforts to commercialize our products on our own include:</w:t>
      </w:r>
    </w:p>
    <w:p>
      <w:pPr>
        <w:spacing w:after="0" w:line="119" w:lineRule="exact"/>
        <w:rPr>
          <w:sz w:val="20"/>
          <w:szCs w:val="20"/>
          <w:color w:val="auto"/>
        </w:rPr>
      </w:pPr>
    </w:p>
    <w:p>
      <w:pPr>
        <w:ind w:left="1100" w:hanging="210"/>
        <w:spacing w:after="0"/>
        <w:tabs>
          <w:tab w:leader="none" w:pos="11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inability to recruit, train and retain adequate numbers of effective sales and marketing personnel;</w:t>
      </w:r>
    </w:p>
    <w:p>
      <w:pPr>
        <w:spacing w:after="0" w:line="119" w:lineRule="exact"/>
        <w:rPr>
          <w:rFonts w:ascii="Arial" w:cs="Arial" w:eastAsia="Arial" w:hAnsi="Arial"/>
          <w:sz w:val="17"/>
          <w:szCs w:val="17"/>
          <w:color w:val="auto"/>
        </w:rPr>
      </w:pPr>
    </w:p>
    <w:p>
      <w:pPr>
        <w:ind w:left="1100" w:right="360" w:hanging="210"/>
        <w:spacing w:after="0" w:line="259" w:lineRule="auto"/>
        <w:tabs>
          <w:tab w:leader="none" w:pos="11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physicians or persuade adequate numbers of physicians to prescribe any future products;</w:t>
      </w:r>
    </w:p>
    <w:p>
      <w:pPr>
        <w:spacing w:after="0" w:line="89" w:lineRule="exact"/>
        <w:rPr>
          <w:rFonts w:ascii="Arial" w:cs="Arial" w:eastAsia="Arial" w:hAnsi="Arial"/>
          <w:sz w:val="17"/>
          <w:szCs w:val="17"/>
          <w:color w:val="auto"/>
        </w:rPr>
      </w:pPr>
    </w:p>
    <w:p>
      <w:pPr>
        <w:ind w:left="1100" w:hanging="210"/>
        <w:spacing w:after="0" w:line="259" w:lineRule="auto"/>
        <w:tabs>
          <w:tab w:leader="none" w:pos="11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lack of complementary products to be offered by sales personnel, which may put us at a competitive disadvantage relative to companies with more extensive product lines; and</w:t>
      </w:r>
    </w:p>
    <w:p>
      <w:pPr>
        <w:spacing w:after="0" w:line="89" w:lineRule="exact"/>
        <w:rPr>
          <w:rFonts w:ascii="Arial" w:cs="Arial" w:eastAsia="Arial" w:hAnsi="Arial"/>
          <w:sz w:val="17"/>
          <w:szCs w:val="17"/>
          <w:color w:val="auto"/>
        </w:rPr>
      </w:pPr>
    </w:p>
    <w:p>
      <w:pPr>
        <w:ind w:left="1100" w:hanging="210"/>
        <w:spacing w:after="0"/>
        <w:tabs>
          <w:tab w:leader="none" w:pos="11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unforeseen costs and expenses associated with creating an independent sales and marketing organization.</w:t>
      </w:r>
    </w:p>
    <w:p>
      <w:pPr>
        <w:spacing w:after="0" w:line="211" w:lineRule="exact"/>
        <w:rPr>
          <w:sz w:val="20"/>
          <w:szCs w:val="20"/>
          <w:color w:val="auto"/>
        </w:rPr>
      </w:pPr>
    </w:p>
    <w:p>
      <w:pPr>
        <w:ind w:left="360" w:right="20" w:firstLine="535"/>
        <w:spacing w:after="0" w:line="244" w:lineRule="auto"/>
        <w:rPr>
          <w:sz w:val="20"/>
          <w:szCs w:val="20"/>
          <w:color w:val="auto"/>
        </w:rPr>
      </w:pPr>
      <w:r>
        <w:rPr>
          <w:rFonts w:ascii="Arial" w:cs="Arial" w:eastAsia="Arial" w:hAnsi="Arial"/>
          <w:sz w:val="17"/>
          <w:szCs w:val="17"/>
          <w:color w:val="auto"/>
        </w:rPr>
        <w:t>If we are unable to establish our own sales and marketing capabilities and enter into arrangements with third parties to perform these services, our revenue from product sales and our profitability, if any, are likely to be lower than if we were to market and sell any products that we develop ourselves. In addition, we may not be successful in entering into arrangements with third parties to market and sell our product candidates or may be unable to do so on terms that are acceptable to us. We likely will have little control over such third parties, and any of these third parties may fail to devote the necessary resources and attention to sell and market our products effectively. If we do not establish sales and marketing capabilities successfully, either on our own or in collaboration with third parties, we will not be successful in commercializing our product candidates.</w:t>
      </w:r>
    </w:p>
    <w:p>
      <w:pPr>
        <w:spacing w:after="0" w:line="280" w:lineRule="exact"/>
        <w:rPr>
          <w:sz w:val="20"/>
          <w:szCs w:val="20"/>
          <w:color w:val="auto"/>
        </w:rPr>
      </w:pPr>
    </w:p>
    <w:p>
      <w:pPr>
        <w:ind w:left="360" w:right="780"/>
        <w:spacing w:after="0" w:line="284" w:lineRule="auto"/>
        <w:rPr>
          <w:sz w:val="20"/>
          <w:szCs w:val="20"/>
          <w:color w:val="auto"/>
        </w:rPr>
      </w:pPr>
      <w:r>
        <w:rPr>
          <w:rFonts w:ascii="Arial" w:cs="Arial" w:eastAsia="Arial" w:hAnsi="Arial"/>
          <w:sz w:val="17"/>
          <w:szCs w:val="17"/>
          <w:b w:val="1"/>
          <w:bCs w:val="1"/>
          <w:i w:val="1"/>
          <w:iCs w:val="1"/>
          <w:color w:val="auto"/>
        </w:rPr>
        <w:t>Even if we are able to commercialize any product candidates, the products may become subject to unfavorable pricing regulations, third-party reimbursement practices or healthcare reform initiatives, which would harm our business.</w:t>
      </w:r>
    </w:p>
    <w:p>
      <w:pPr>
        <w:spacing w:after="0" w:line="56" w:lineRule="exact"/>
        <w:rPr>
          <w:sz w:val="20"/>
          <w:szCs w:val="20"/>
          <w:color w:val="auto"/>
        </w:rPr>
      </w:pPr>
    </w:p>
    <w:p>
      <w:pPr>
        <w:ind w:left="360" w:right="60" w:firstLine="535"/>
        <w:spacing w:after="0" w:line="243" w:lineRule="auto"/>
        <w:rPr>
          <w:sz w:val="20"/>
          <w:szCs w:val="20"/>
          <w:color w:val="auto"/>
        </w:rPr>
      </w:pPr>
      <w:r>
        <w:rPr>
          <w:rFonts w:ascii="Arial" w:cs="Arial" w:eastAsia="Arial" w:hAnsi="Arial"/>
          <w:sz w:val="17"/>
          <w:szCs w:val="17"/>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To obtain reimbursement or pricing approval in some countries, we may be required to conduct a clinical trial that compares the cost-effectiveness of our product candidate to other available therapies.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possibly for lengthy time periods, and negatively impact the revenues, if any, we are able to generate from the sale of the product in that country. Adverse pricing limitations may hinder our ability to recoup our investment in one or more product candidates, even if our product candidates obtain marketing approval.</w:t>
      </w:r>
    </w:p>
    <w:p>
      <w:pPr>
        <w:spacing w:after="0" w:line="394" w:lineRule="exact"/>
        <w:rPr>
          <w:sz w:val="20"/>
          <w:szCs w:val="20"/>
          <w:color w:val="auto"/>
        </w:rPr>
      </w:pPr>
    </w:p>
    <w:p>
      <w:pPr>
        <w:ind w:left="360" w:firstLine="535"/>
        <w:spacing w:after="0" w:line="250" w:lineRule="auto"/>
        <w:rPr>
          <w:sz w:val="20"/>
          <w:szCs w:val="20"/>
          <w:color w:val="auto"/>
        </w:rPr>
      </w:pPr>
      <w:r>
        <w:rPr>
          <w:rFonts w:ascii="Arial" w:cs="Arial" w:eastAsia="Arial" w:hAnsi="Arial"/>
          <w:sz w:val="17"/>
          <w:szCs w:val="17"/>
          <w:color w:val="auto"/>
        </w:rPr>
        <w:t>Our ability to commercialize any product candidates successfully also will depend in part on the extent to which coverage and adequate reimbursement for these products and related treatments will be available from government healthcare programs, private health insurers and other organizations. Government authorities and third-party payors, such as private health insurers and health maintenance</w:t>
      </w:r>
    </w:p>
    <w:p>
      <w:pPr>
        <w:spacing w:after="0" w:line="123"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000"/>
          </w:cols>
          <w:pgMar w:left="240" w:top="449" w:right="65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160"/>
        <w:spacing w:after="0" w:line="243" w:lineRule="auto"/>
        <w:rPr>
          <w:sz w:val="20"/>
          <w:szCs w:val="20"/>
          <w:color w:val="auto"/>
        </w:rPr>
      </w:pPr>
      <w:r>
        <w:rPr>
          <w:rFonts w:ascii="Arial" w:cs="Arial" w:eastAsia="Arial" w:hAnsi="Arial"/>
          <w:sz w:val="17"/>
          <w:szCs w:val="17"/>
          <w:color w:val="auto"/>
        </w:rPr>
        <w:t>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government authorities and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w:t>
      </w:r>
    </w:p>
    <w:p>
      <w:pPr>
        <w:spacing w:after="0" w:line="197" w:lineRule="exact"/>
        <w:rPr>
          <w:sz w:val="20"/>
          <w:szCs w:val="20"/>
          <w:color w:val="auto"/>
        </w:rPr>
      </w:pPr>
    </w:p>
    <w:p>
      <w:pPr>
        <w:ind w:left="360" w:firstLine="535"/>
        <w:spacing w:after="0" w:line="242" w:lineRule="auto"/>
        <w:rPr>
          <w:sz w:val="20"/>
          <w:szCs w:val="20"/>
          <w:color w:val="auto"/>
        </w:rPr>
      </w:pPr>
      <w:r>
        <w:rPr>
          <w:rFonts w:ascii="Arial" w:cs="Arial" w:eastAsia="Arial" w:hAnsi="Arial"/>
          <w:sz w:val="17"/>
          <w:szCs w:val="17"/>
          <w:color w:val="auto"/>
        </w:rPr>
        <w:t>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intellectual property,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200" w:lineRule="exact"/>
        <w:rPr>
          <w:sz w:val="20"/>
          <w:szCs w:val="20"/>
          <w:color w:val="auto"/>
        </w:rPr>
      </w:pPr>
    </w:p>
    <w:p>
      <w:pPr>
        <w:spacing w:after="0" w:line="286" w:lineRule="exact"/>
        <w:rPr>
          <w:sz w:val="20"/>
          <w:szCs w:val="20"/>
          <w:color w:val="auto"/>
        </w:rPr>
      </w:pPr>
    </w:p>
    <w:p>
      <w:pPr>
        <w:ind w:left="360" w:right="40"/>
        <w:spacing w:after="0" w:line="284" w:lineRule="auto"/>
        <w:rPr>
          <w:sz w:val="20"/>
          <w:szCs w:val="20"/>
          <w:color w:val="auto"/>
        </w:rPr>
      </w:pPr>
      <w:r>
        <w:rPr>
          <w:rFonts w:ascii="Arial" w:cs="Arial" w:eastAsia="Arial" w:hAnsi="Arial"/>
          <w:sz w:val="17"/>
          <w:szCs w:val="17"/>
          <w:b w:val="1"/>
          <w:bCs w:val="1"/>
          <w:i w:val="1"/>
          <w:iCs w:val="1"/>
          <w:color w:val="auto"/>
        </w:rPr>
        <w:t>Product liability lawsuits against us could cause us to incur substantial liabilities and to limit commercialization of any products that we may develop.</w:t>
      </w:r>
    </w:p>
    <w:p>
      <w:pPr>
        <w:spacing w:after="0" w:line="56" w:lineRule="exact"/>
        <w:rPr>
          <w:sz w:val="20"/>
          <w:szCs w:val="20"/>
          <w:color w:val="auto"/>
        </w:rPr>
      </w:pPr>
    </w:p>
    <w:p>
      <w:pPr>
        <w:ind w:left="360" w:right="60" w:firstLine="535"/>
        <w:spacing w:after="0" w:line="247" w:lineRule="auto"/>
        <w:rPr>
          <w:sz w:val="20"/>
          <w:szCs w:val="20"/>
          <w:color w:val="auto"/>
        </w:rPr>
      </w:pPr>
      <w:r>
        <w:rPr>
          <w:rFonts w:ascii="Arial" w:cs="Arial" w:eastAsia="Arial" w:hAnsi="Arial"/>
          <w:sz w:val="17"/>
          <w:szCs w:val="17"/>
          <w:color w:val="auto"/>
        </w:rPr>
        <w:t>We face an inherent risk of product liability exposure related to the testing of our product candidates in human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100" w:lineRule="exact"/>
        <w:rPr>
          <w:sz w:val="20"/>
          <w:szCs w:val="20"/>
          <w:color w:val="auto"/>
        </w:rPr>
      </w:pPr>
    </w:p>
    <w:p>
      <w:pPr>
        <w:ind w:left="1100" w:hanging="210"/>
        <w:spacing w:after="0"/>
        <w:tabs>
          <w:tab w:leader="none" w:pos="11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decreased demand for any product candidates or products that we may develop;</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termination of clinical trials;</w:t>
      </w:r>
    </w:p>
    <w:p>
      <w:pPr>
        <w:spacing w:after="0" w:line="119" w:lineRule="exact"/>
        <w:rPr>
          <w:rFonts w:ascii="Arial" w:cs="Arial" w:eastAsia="Arial" w:hAnsi="Arial"/>
          <w:sz w:val="17"/>
          <w:szCs w:val="17"/>
          <w:color w:val="auto"/>
        </w:rPr>
      </w:pPr>
    </w:p>
    <w:p>
      <w:pPr>
        <w:ind w:left="1100" w:right="100" w:hanging="210"/>
        <w:spacing w:after="0" w:line="259" w:lineRule="auto"/>
        <w:tabs>
          <w:tab w:leader="none" w:pos="11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withdrawal of marketing approval, recall, restriction on the approval or a “black box” warning or contraindication for an approved drug;</w:t>
      </w:r>
    </w:p>
    <w:p>
      <w:pPr>
        <w:spacing w:after="0" w:line="89" w:lineRule="exact"/>
        <w:rPr>
          <w:rFonts w:ascii="Arial" w:cs="Arial" w:eastAsia="Arial" w:hAnsi="Arial"/>
          <w:sz w:val="17"/>
          <w:szCs w:val="17"/>
          <w:color w:val="auto"/>
        </w:rPr>
      </w:pPr>
    </w:p>
    <w:p>
      <w:pPr>
        <w:ind w:left="1100" w:hanging="210"/>
        <w:spacing w:after="0"/>
        <w:tabs>
          <w:tab w:leader="none" w:pos="11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withdrawal of clinical trial participants;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significant costs to defend the related litigation;</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substantial monetary awards to trial participants or patients;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loss of revenue;</w:t>
      </w:r>
    </w:p>
    <w:p>
      <w:pPr>
        <w:spacing w:after="0" w:line="14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040"/>
          </w:cols>
          <w:pgMar w:left="240" w:top="449" w:right="61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1100" w:hanging="210"/>
        <w:spacing w:after="0"/>
        <w:tabs>
          <w:tab w:leader="none" w:pos="11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injury to our reputation and significant negative media attention;</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reduced resources of our management to pursue our business strategy; and</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inability to commercialize any products that we may develop.</w:t>
      </w:r>
    </w:p>
    <w:p>
      <w:pPr>
        <w:spacing w:after="0" w:line="211" w:lineRule="exact"/>
        <w:rPr>
          <w:sz w:val="20"/>
          <w:szCs w:val="20"/>
          <w:color w:val="auto"/>
        </w:rPr>
      </w:pPr>
    </w:p>
    <w:p>
      <w:pPr>
        <w:ind w:left="360" w:right="80" w:firstLine="535"/>
        <w:spacing w:after="0" w:line="247" w:lineRule="auto"/>
        <w:rPr>
          <w:sz w:val="20"/>
          <w:szCs w:val="20"/>
          <w:color w:val="auto"/>
        </w:rPr>
      </w:pPr>
      <w:r>
        <w:rPr>
          <w:rFonts w:ascii="Arial" w:cs="Arial" w:eastAsia="Arial" w:hAnsi="Arial"/>
          <w:sz w:val="17"/>
          <w:szCs w:val="17"/>
          <w:color w:val="auto"/>
        </w:rPr>
        <w:t>As a preclinical company, we do not currently hold product liability insurance coverage. We will need to purchase product liability insurance coverage as we initiate our clinical trials, as we expand our clinical trials, and if we commence commercialization of our product candidates. Insurance coverage is increasingly expensive. We may not be able to maintain insurance coverage at a reasonable cost or in an amount adequate to satisfy any liability that may arise.</w:t>
      </w:r>
    </w:p>
    <w:p>
      <w:pPr>
        <w:spacing w:after="0" w:line="274"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Risks Related to Our Intellectual Property</w:t>
      </w:r>
    </w:p>
    <w:p>
      <w:pPr>
        <w:spacing w:after="0" w:line="213" w:lineRule="exact"/>
        <w:rPr>
          <w:sz w:val="20"/>
          <w:szCs w:val="20"/>
          <w:color w:val="auto"/>
        </w:rPr>
      </w:pPr>
    </w:p>
    <w:p>
      <w:pPr>
        <w:ind w:left="360"/>
        <w:spacing w:after="0" w:line="255" w:lineRule="auto"/>
        <w:rPr>
          <w:sz w:val="20"/>
          <w:szCs w:val="20"/>
          <w:color w:val="auto"/>
        </w:rPr>
      </w:pPr>
      <w:r>
        <w:rPr>
          <w:rFonts w:ascii="Arial" w:cs="Arial" w:eastAsia="Arial" w:hAnsi="Arial"/>
          <w:sz w:val="17"/>
          <w:szCs w:val="17"/>
          <w:b w:val="1"/>
          <w:bCs w:val="1"/>
          <w:i w:val="1"/>
          <w:iCs w:val="1"/>
          <w:color w:val="auto"/>
        </w:rPr>
        <w:t>If we are unable to obtain and maintain patent protection for our technology and products or if the scope of the patent protection obtained is not sufficiently broad, our competitors could develop and commercialize technology and products similar or identical to ours, and our ability to successfully commercialize our technology and products may be impaired, and we may not be able to compete effectively in our market.</w:t>
      </w:r>
    </w:p>
    <w:p>
      <w:pPr>
        <w:spacing w:after="0" w:line="81" w:lineRule="exact"/>
        <w:rPr>
          <w:sz w:val="20"/>
          <w:szCs w:val="20"/>
          <w:color w:val="auto"/>
        </w:rPr>
      </w:pPr>
    </w:p>
    <w:p>
      <w:pPr>
        <w:ind w:left="360" w:right="140" w:firstLine="535"/>
        <w:spacing w:after="0" w:line="245" w:lineRule="auto"/>
        <w:rPr>
          <w:sz w:val="20"/>
          <w:szCs w:val="20"/>
          <w:color w:val="auto"/>
        </w:rPr>
      </w:pPr>
      <w:r>
        <w:rPr>
          <w:rFonts w:ascii="Arial" w:cs="Arial" w:eastAsia="Arial" w:hAnsi="Arial"/>
          <w:sz w:val="17"/>
          <w:szCs w:val="17"/>
          <w:color w:val="auto"/>
        </w:rPr>
        <w:t>Our commercial success depends in part on our ability to obtain and maintain patent and other proprietary protection in the United States and other countries with respect to our proprietary technology and products. We seek to protect our proprietary position by filing patent applications in the United States and abroad related to our novel technologies and product candidates. Any disclosure to or misappropriation by third parties of our confidential proprietary information could enable competitors to quickly duplicate or surpass our technological achievements, thus eroding our competitive position in our market. Moreover, the patent applications we own, co-own or license may fail to result in issued patents in the United States or in other foreign countries.</w:t>
      </w:r>
    </w:p>
    <w:p>
      <w:pPr>
        <w:spacing w:after="0" w:line="192" w:lineRule="exact"/>
        <w:rPr>
          <w:sz w:val="20"/>
          <w:szCs w:val="20"/>
          <w:color w:val="auto"/>
        </w:rPr>
      </w:pPr>
    </w:p>
    <w:p>
      <w:pPr>
        <w:ind w:left="360" w:right="80" w:firstLine="535"/>
        <w:spacing w:after="0" w:line="245" w:lineRule="auto"/>
        <w:rPr>
          <w:sz w:val="20"/>
          <w:szCs w:val="20"/>
          <w:color w:val="auto"/>
        </w:rPr>
      </w:pPr>
      <w:r>
        <w:rPr>
          <w:rFonts w:ascii="Arial" w:cs="Arial" w:eastAsia="Arial" w:hAnsi="Arial"/>
          <w:sz w:val="17"/>
          <w:szCs w:val="17"/>
          <w:color w:val="auto"/>
        </w:rPr>
        <w:t>The patent prosecution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w:t>
      </w:r>
    </w:p>
    <w:p>
      <w:pPr>
        <w:spacing w:after="0" w:line="192" w:lineRule="exact"/>
        <w:rPr>
          <w:sz w:val="20"/>
          <w:szCs w:val="20"/>
          <w:color w:val="auto"/>
        </w:rPr>
      </w:pPr>
    </w:p>
    <w:p>
      <w:pPr>
        <w:ind w:left="360" w:right="20" w:firstLine="535"/>
        <w:spacing w:after="0" w:line="243"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in recent years been the subject of much litigation. In addition, the laws of foreign countries may not protect our rights to the same extent as the laws of the United States. For example, European patent law restricts the patentability of methods of treatment of the human body more than United States law does.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co-owned or licensed patents or pending patent applications, or that we were the first inventors to file for patent protection of such inventions. As a result, the issuance, scope, validity, enforceability and commercial value of our patent rights are highly uncertain.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32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060"/>
          </w:cols>
          <w:pgMar w:left="240" w:top="449" w:right="59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140" w:firstLine="535"/>
        <w:spacing w:after="0" w:line="244" w:lineRule="auto"/>
        <w:rPr>
          <w:sz w:val="20"/>
          <w:szCs w:val="20"/>
          <w:color w:val="auto"/>
        </w:rPr>
      </w:pPr>
      <w:r>
        <w:rPr>
          <w:rFonts w:ascii="Arial" w:cs="Arial" w:eastAsia="Arial" w:hAnsi="Arial"/>
          <w:sz w:val="17"/>
          <w:szCs w:val="17"/>
          <w:color w:val="auto"/>
        </w:rPr>
        <w:t xml:space="preserve">Moreover, we may be subject to a third-party preissuance submission of prior art to the USPTO or in addition to interference proceedings, may become involved in opposition, derivation,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or other post-grant proceedings challenging our or our licensors’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93" w:lineRule="exact"/>
        <w:rPr>
          <w:sz w:val="20"/>
          <w:szCs w:val="20"/>
          <w:color w:val="auto"/>
        </w:rPr>
      </w:pPr>
    </w:p>
    <w:p>
      <w:pPr>
        <w:jc w:val="both"/>
        <w:ind w:left="360" w:right="40" w:firstLine="535"/>
        <w:spacing w:after="0" w:line="241" w:lineRule="auto"/>
        <w:rPr>
          <w:sz w:val="20"/>
          <w:szCs w:val="20"/>
          <w:color w:val="auto"/>
        </w:rPr>
      </w:pPr>
      <w:r>
        <w:rPr>
          <w:rFonts w:ascii="Arial" w:cs="Arial" w:eastAsia="Arial" w:hAnsi="Arial"/>
          <w:sz w:val="17"/>
          <w:szCs w:val="17"/>
          <w:color w:val="auto"/>
        </w:rPr>
        <w:t>Our owned, co-owned and licensed patent estate consists principally of patent applications, many of which are at an early stage of prosecution. Even if our owned, co-owned and licensed patent applications issue as patents, they may not issue in a form that will provide us with any meaningful protection, prevent competitors from competing with us or otherwise provide us with any competitive advantage.</w:t>
      </w:r>
    </w:p>
    <w:p>
      <w:pPr>
        <w:spacing w:after="0" w:line="1" w:lineRule="exact"/>
        <w:rPr>
          <w:sz w:val="20"/>
          <w:szCs w:val="20"/>
          <w:color w:val="auto"/>
        </w:rPr>
      </w:pPr>
    </w:p>
    <w:p>
      <w:pPr>
        <w:ind w:left="360" w:right="140"/>
        <w:spacing w:after="0" w:line="259" w:lineRule="auto"/>
        <w:rPr>
          <w:sz w:val="20"/>
          <w:szCs w:val="20"/>
          <w:color w:val="auto"/>
        </w:rPr>
      </w:pPr>
      <w:r>
        <w:rPr>
          <w:rFonts w:ascii="Arial" w:cs="Arial" w:eastAsia="Arial" w:hAnsi="Arial"/>
          <w:sz w:val="17"/>
          <w:szCs w:val="17"/>
          <w:color w:val="auto"/>
        </w:rPr>
        <w:t>Our competitors may be able to circumvent our owned, co-owned or licensed patents by developing similar or alternative technologies or products in a non-infringing manner.</w:t>
      </w:r>
    </w:p>
    <w:p>
      <w:pPr>
        <w:spacing w:after="0" w:line="181" w:lineRule="exact"/>
        <w:rPr>
          <w:sz w:val="20"/>
          <w:szCs w:val="20"/>
          <w:color w:val="auto"/>
        </w:rPr>
      </w:pPr>
    </w:p>
    <w:p>
      <w:pPr>
        <w:ind w:left="360" w:right="80" w:firstLine="535"/>
        <w:spacing w:after="0" w:line="244"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our owned, co-owned and 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candidates might expire before or shortly after such candidates are commercialized. As a result, our owned, co-owned and licensed patent portfolio may not provide us with sufficient rights to exclude others from commercializing products similar or identical to ours.</w:t>
      </w:r>
    </w:p>
    <w:p>
      <w:pPr>
        <w:spacing w:after="0" w:line="278" w:lineRule="exact"/>
        <w:rPr>
          <w:sz w:val="20"/>
          <w:szCs w:val="20"/>
          <w:color w:val="auto"/>
        </w:rPr>
      </w:pPr>
    </w:p>
    <w:p>
      <w:pPr>
        <w:ind w:left="360"/>
        <w:spacing w:after="0" w:line="284" w:lineRule="auto"/>
        <w:rPr>
          <w:sz w:val="20"/>
          <w:szCs w:val="20"/>
          <w:color w:val="auto"/>
        </w:rPr>
      </w:pPr>
      <w:r>
        <w:rPr>
          <w:rFonts w:ascii="Arial" w:cs="Arial" w:eastAsia="Arial" w:hAnsi="Arial"/>
          <w:sz w:val="17"/>
          <w:szCs w:val="17"/>
          <w:b w:val="1"/>
          <w:bCs w:val="1"/>
          <w:i w:val="1"/>
          <w:iCs w:val="1"/>
          <w:color w:val="auto"/>
        </w:rPr>
        <w:t>Changes in patent laws or patent jurisprudence could diminish the value of our patents our patents in general, thereby impairing our ability to protect our product candidates.</w:t>
      </w:r>
    </w:p>
    <w:p>
      <w:pPr>
        <w:spacing w:after="0" w:line="56" w:lineRule="exact"/>
        <w:rPr>
          <w:sz w:val="20"/>
          <w:szCs w:val="20"/>
          <w:color w:val="auto"/>
        </w:rPr>
      </w:pPr>
    </w:p>
    <w:p>
      <w:pPr>
        <w:ind w:left="360" w:right="100" w:firstLine="535"/>
        <w:spacing w:after="0" w:line="243" w:lineRule="auto"/>
        <w:rPr>
          <w:sz w:val="20"/>
          <w:szCs w:val="20"/>
          <w:color w:val="auto"/>
        </w:rPr>
      </w:pPr>
      <w:r>
        <w:rPr>
          <w:rFonts w:ascii="Arial" w:cs="Arial" w:eastAsia="Arial" w:hAnsi="Arial"/>
          <w:sz w:val="17"/>
          <w:szCs w:val="17"/>
          <w:color w:val="auto"/>
        </w:rPr>
        <w:t>Patent reform legislation could increase the uncertainties and costs surrounding the prosecution of our patent applications and the enforcement or defense of our issued patents. On September 16, 2011, the Leahy-Smith America Invents Act, or the Leahy-Smith Act, was signed into law. The Leahy-Smith Act includes a number of significant changes to United States patent law. These changes include provisions that affect the way patent applications are prosecuted and may also affect patent litigation. The USPTO developed new regulations and procedures to govern administration of the Leahy-Smith Act, and many of the substantive changes to patent law associated with the Leahy-Smith Act, and in particular, the first-inventor-to-file provisions,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 Furthermore, for applications in which all claims are entitled to a priority date before March 16, 2013, an interference proceeding can be provoked by a third party or instituted by the USPTO to determine who was the first to invent any of the subject matter covered by the patent claims of our applications.</w:t>
      </w:r>
    </w:p>
    <w:p>
      <w:pPr>
        <w:spacing w:after="0" w:line="194" w:lineRule="exact"/>
        <w:rPr>
          <w:sz w:val="20"/>
          <w:szCs w:val="20"/>
          <w:color w:val="auto"/>
        </w:rPr>
      </w:pPr>
    </w:p>
    <w:p>
      <w:pPr>
        <w:jc w:val="both"/>
        <w:ind w:left="360" w:right="120" w:firstLine="535"/>
        <w:spacing w:after="0" w:line="250" w:lineRule="auto"/>
        <w:rPr>
          <w:sz w:val="20"/>
          <w:szCs w:val="20"/>
          <w:color w:val="auto"/>
        </w:rPr>
      </w:pPr>
      <w:r>
        <w:rPr>
          <w:rFonts w:ascii="Arial" w:cs="Arial" w:eastAsia="Arial" w:hAnsi="Arial"/>
          <w:sz w:val="17"/>
          <w:szCs w:val="17"/>
          <w:color w:val="auto"/>
        </w:rPr>
        <w:t>Additionally, the U.S. Supreme Court has ruled on several patent cases in recent years limiting where a patentee may file a patent infringement suit, narrowing the scope of patent protection available in certain circumstances or weakening the rights of patent owners in certain situations, and there are</w:t>
      </w:r>
    </w:p>
    <w:p>
      <w:pPr>
        <w:spacing w:after="0" w:line="123"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040"/>
          </w:cols>
          <w:pgMar w:left="240" w:top="449" w:right="61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220"/>
        <w:spacing w:after="0" w:line="253" w:lineRule="auto"/>
        <w:rPr>
          <w:sz w:val="20"/>
          <w:szCs w:val="20"/>
          <w:color w:val="auto"/>
        </w:rPr>
      </w:pPr>
      <w:r>
        <w:rPr>
          <w:rFonts w:ascii="Arial" w:cs="Arial" w:eastAsia="Arial" w:hAnsi="Arial"/>
          <w:sz w:val="17"/>
          <w:szCs w:val="17"/>
          <w:color w:val="auto"/>
        </w:rPr>
        <w:t>other open questions under patent law that courts have yet to decisively address. In addition to increasing uncertainty with regard to our ability to obtain patents in the future, this combination of events has created uncertainty with respect to the value of patents, once obtained.</w:t>
      </w:r>
    </w:p>
    <w:p>
      <w:pPr>
        <w:spacing w:after="0" w:line="388" w:lineRule="exact"/>
        <w:rPr>
          <w:sz w:val="20"/>
          <w:szCs w:val="20"/>
          <w:color w:val="auto"/>
        </w:rPr>
      </w:pPr>
    </w:p>
    <w:p>
      <w:pPr>
        <w:ind w:left="360" w:right="40" w:firstLine="535"/>
        <w:spacing w:after="0" w:line="245" w:lineRule="auto"/>
        <w:rPr>
          <w:sz w:val="20"/>
          <w:szCs w:val="20"/>
          <w:color w:val="auto"/>
        </w:rPr>
      </w:pPr>
      <w:r>
        <w:rPr>
          <w:rFonts w:ascii="Arial" w:cs="Arial" w:eastAsia="Arial" w:hAnsi="Arial"/>
          <w:sz w:val="17"/>
          <w:szCs w:val="17"/>
          <w:color w:val="auto"/>
        </w:rPr>
        <w:t>Depending on decisions by Congress, the federal courts and the USPTO, the laws and regulations governing patents could change in unpredictable ways and could weaken our ability to obtain new patents or to enforce our existing patents and patents that we might obtain in the future. In addition, the European patent system is relatively stringent in the type of amendments that are allowed during prosecution, but, the complexity and uncertainty of European patent laws has also increased in recent years. Complying with these laws and regulations could limit our ability to obtain new patents in the future that may be important for our business.</w:t>
      </w:r>
    </w:p>
    <w:p>
      <w:pPr>
        <w:spacing w:after="0" w:line="280" w:lineRule="exact"/>
        <w:rPr>
          <w:sz w:val="20"/>
          <w:szCs w:val="20"/>
          <w:color w:val="auto"/>
        </w:rPr>
      </w:pPr>
    </w:p>
    <w:p>
      <w:pPr>
        <w:ind w:left="360" w:right="760"/>
        <w:spacing w:after="0" w:line="284" w:lineRule="auto"/>
        <w:rPr>
          <w:sz w:val="20"/>
          <w:szCs w:val="20"/>
          <w:color w:val="auto"/>
        </w:rPr>
      </w:pPr>
      <w:r>
        <w:rPr>
          <w:rFonts w:ascii="Arial" w:cs="Arial" w:eastAsia="Arial" w:hAnsi="Arial"/>
          <w:sz w:val="17"/>
          <w:szCs w:val="17"/>
          <w:b w:val="1"/>
          <w:bCs w:val="1"/>
          <w:i w:val="1"/>
          <w:iCs w:val="1"/>
          <w:color w:val="auto"/>
        </w:rPr>
        <w:t>We may become involved in lawsuits to protect or enforce our patents, the patents of our licensors, or other intellectual property, which could be expensive, time-consuming and unsuccessful.</w:t>
      </w:r>
    </w:p>
    <w:p>
      <w:pPr>
        <w:spacing w:after="0" w:line="56" w:lineRule="exact"/>
        <w:rPr>
          <w:sz w:val="20"/>
          <w:szCs w:val="20"/>
          <w:color w:val="auto"/>
        </w:rPr>
      </w:pPr>
    </w:p>
    <w:p>
      <w:pPr>
        <w:ind w:left="360" w:firstLine="535"/>
        <w:spacing w:after="0" w:line="244" w:lineRule="auto"/>
        <w:rPr>
          <w:sz w:val="20"/>
          <w:szCs w:val="20"/>
          <w:color w:val="auto"/>
        </w:rPr>
      </w:pPr>
      <w:r>
        <w:rPr>
          <w:rFonts w:ascii="Arial" w:cs="Arial" w:eastAsia="Arial" w:hAnsi="Arial"/>
          <w:sz w:val="17"/>
          <w:szCs w:val="17"/>
          <w:color w:val="auto"/>
        </w:rPr>
        <w:t>Competitors may infringe our issued patents, the patents of our licensors, or other intellectual property. To counter infringement or unauthorized use, we may be required to file infringement claims, which can be expensive, time-consuming and unpredictable. Any claims we assert against perceived infringers could provoke these parties to assert counterclaims against us alleging that we infringe their patents. In addition, in a patent infringement proceeding, a court may decide that a patent of ours or our licensors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held unenforceable or interpreted narrowly. Even if we successfully assert our patents, a court may not award remedies that sufficiently compensate us for our losses.</w:t>
      </w:r>
    </w:p>
    <w:p>
      <w:pPr>
        <w:spacing w:after="0" w:line="278" w:lineRule="exact"/>
        <w:rPr>
          <w:sz w:val="20"/>
          <w:szCs w:val="20"/>
          <w:color w:val="auto"/>
        </w:rPr>
      </w:pPr>
    </w:p>
    <w:p>
      <w:pPr>
        <w:ind w:left="360" w:right="180"/>
        <w:spacing w:after="0" w:line="284" w:lineRule="auto"/>
        <w:rPr>
          <w:sz w:val="20"/>
          <w:szCs w:val="20"/>
          <w:color w:val="auto"/>
        </w:rPr>
      </w:pPr>
      <w:r>
        <w:rPr>
          <w:rFonts w:ascii="Arial" w:cs="Arial" w:eastAsia="Arial" w:hAnsi="Arial"/>
          <w:sz w:val="17"/>
          <w:szCs w:val="17"/>
          <w:b w:val="1"/>
          <w:bCs w:val="1"/>
          <w:i w:val="1"/>
          <w:iCs w:val="1"/>
          <w:color w:val="auto"/>
        </w:rPr>
        <w:t>We may need to license intellectual property from third parties, and such licenses may not be available or may not be available on commercially reasonable terms.</w:t>
      </w:r>
    </w:p>
    <w:p>
      <w:pPr>
        <w:spacing w:after="0" w:line="56" w:lineRule="exact"/>
        <w:rPr>
          <w:sz w:val="20"/>
          <w:szCs w:val="20"/>
          <w:color w:val="auto"/>
        </w:rPr>
      </w:pPr>
    </w:p>
    <w:p>
      <w:pPr>
        <w:ind w:left="360" w:right="60" w:firstLine="535"/>
        <w:spacing w:after="0" w:line="246" w:lineRule="auto"/>
        <w:rPr>
          <w:sz w:val="20"/>
          <w:szCs w:val="20"/>
          <w:color w:val="auto"/>
        </w:rPr>
      </w:pPr>
      <w:r>
        <w:rPr>
          <w:rFonts w:ascii="Arial" w:cs="Arial" w:eastAsia="Arial" w:hAnsi="Arial"/>
          <w:sz w:val="17"/>
          <w:szCs w:val="17"/>
          <w:color w:val="auto"/>
        </w:rPr>
        <w:t>A third party may hold intellectual property, including patent rights, that are important or necessary to the development of our products. It may be necessary for us to use the patented or proprietary technology of a third party to commercialize our own technology or products, in which case we would be required to obtain a license from such third party. A license to such intellectual property may not be available or may not be available on commercially reasonable terms, which could have a material adverse effect on our business and financial condition.</w:t>
      </w:r>
    </w:p>
    <w:p>
      <w:pPr>
        <w:spacing w:after="0" w:line="392" w:lineRule="exact"/>
        <w:rPr>
          <w:sz w:val="20"/>
          <w:szCs w:val="20"/>
          <w:color w:val="auto"/>
        </w:rPr>
      </w:pPr>
    </w:p>
    <w:p>
      <w:pPr>
        <w:jc w:val="both"/>
        <w:ind w:left="360" w:right="180" w:firstLine="535"/>
        <w:spacing w:after="0" w:line="245" w:lineRule="auto"/>
        <w:rPr>
          <w:sz w:val="20"/>
          <w:szCs w:val="20"/>
          <w:color w:val="auto"/>
        </w:rPr>
      </w:pPr>
      <w:r>
        <w:rPr>
          <w:rFonts w:ascii="Arial" w:cs="Arial" w:eastAsia="Arial" w:hAnsi="Arial"/>
          <w:sz w:val="17"/>
          <w:szCs w:val="17"/>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 We may not be able to successfully complete such negotiations and ultimately acquire the rights to the intellectual property surrounding the additional product candidates that we may seek to acquire.</w:t>
      </w:r>
    </w:p>
    <w:p>
      <w:pPr>
        <w:spacing w:after="0" w:line="277" w:lineRule="exact"/>
        <w:rPr>
          <w:sz w:val="20"/>
          <w:szCs w:val="20"/>
          <w:color w:val="auto"/>
        </w:rPr>
      </w:pPr>
    </w:p>
    <w:p>
      <w:pPr>
        <w:ind w:left="360" w:right="540"/>
        <w:spacing w:after="0" w:line="284" w:lineRule="auto"/>
        <w:rPr>
          <w:sz w:val="20"/>
          <w:szCs w:val="20"/>
          <w:color w:val="auto"/>
        </w:rPr>
      </w:pPr>
      <w:r>
        <w:rPr>
          <w:rFonts w:ascii="Arial" w:cs="Arial" w:eastAsia="Arial" w:hAnsi="Arial"/>
          <w:sz w:val="17"/>
          <w:szCs w:val="17"/>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56" w:lineRule="exact"/>
        <w:rPr>
          <w:sz w:val="20"/>
          <w:szCs w:val="20"/>
          <w:color w:val="auto"/>
        </w:rPr>
      </w:pPr>
    </w:p>
    <w:p>
      <w:pPr>
        <w:ind w:left="360" w:right="40" w:firstLine="535"/>
        <w:spacing w:after="0" w:line="259" w:lineRule="auto"/>
        <w:rPr>
          <w:sz w:val="20"/>
          <w:szCs w:val="20"/>
          <w:color w:val="auto"/>
        </w:rPr>
      </w:pPr>
      <w:r>
        <w:rPr>
          <w:rFonts w:ascii="Arial" w:cs="Arial" w:eastAsia="Arial" w:hAnsi="Arial"/>
          <w:sz w:val="17"/>
          <w:szCs w:val="17"/>
          <w:color w:val="auto"/>
        </w:rPr>
        <w:t>Our commercial success depends upon our ability, and the ability of our collaborators, to develop, manufacture, market and sell our product candidates and use our proprietary technologies without</w:t>
      </w:r>
    </w:p>
    <w:p>
      <w:pPr>
        <w:spacing w:after="0" w:line="11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060"/>
          </w:cols>
          <w:pgMar w:left="240" w:top="449" w:right="59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120"/>
        <w:spacing w:after="0" w:line="250" w:lineRule="auto"/>
        <w:rPr>
          <w:sz w:val="20"/>
          <w:szCs w:val="20"/>
          <w:color w:val="auto"/>
        </w:rPr>
      </w:pPr>
      <w:r>
        <w:rPr>
          <w:rFonts w:ascii="Arial" w:cs="Arial" w:eastAsia="Arial" w:hAnsi="Arial"/>
          <w:sz w:val="17"/>
          <w:szCs w:val="17"/>
          <w:color w:val="auto"/>
        </w:rPr>
        <w:t xml:space="preserve">infringing the proprietary rights of third parties. There is considerable intellectual property litigation in the biotechnology and pharmaceutical industries, as well as administrative proceedings for challenging patents, including interference, reexamination, and </w:t>
      </w:r>
      <w:r>
        <w:rPr>
          <w:rFonts w:ascii="Arial" w:cs="Arial" w:eastAsia="Arial" w:hAnsi="Arial"/>
          <w:sz w:val="17"/>
          <w:szCs w:val="17"/>
          <w:i w:val="1"/>
          <w:iCs w:val="1"/>
          <w:color w:val="auto"/>
        </w:rPr>
        <w:t>inter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partes </w:t>
      </w:r>
      <w:r>
        <w:rPr>
          <w:rFonts w:ascii="Arial" w:cs="Arial" w:eastAsia="Arial" w:hAnsi="Arial"/>
          <w:sz w:val="17"/>
          <w:szCs w:val="17"/>
          <w:color w:val="auto"/>
        </w:rPr>
        <w:t>review proceedings before the USPTO and oppositions and other comparable proceedings in foreign jurisdictions.</w:t>
      </w:r>
    </w:p>
    <w:p>
      <w:pPr>
        <w:spacing w:after="0" w:line="189" w:lineRule="exact"/>
        <w:rPr>
          <w:sz w:val="20"/>
          <w:szCs w:val="20"/>
          <w:color w:val="auto"/>
        </w:rPr>
      </w:pPr>
    </w:p>
    <w:p>
      <w:pPr>
        <w:ind w:left="360" w:right="80" w:firstLine="535"/>
        <w:spacing w:after="0" w:line="243" w:lineRule="auto"/>
        <w:rPr>
          <w:sz w:val="20"/>
          <w:szCs w:val="20"/>
          <w:color w:val="auto"/>
        </w:rPr>
      </w:pPr>
      <w:r>
        <w:rPr>
          <w:rFonts w:ascii="Arial" w:cs="Arial" w:eastAsia="Arial" w:hAnsi="Arial"/>
          <w:sz w:val="17"/>
          <w:szCs w:val="17"/>
          <w:color w:val="auto"/>
        </w:rPr>
        <w:t xml:space="preserve">We may become party to, or threatened with, future adversarial proceedings or litigation regarding intellectual property rights with respect to our products and technology, including interference, derivation, reexamination or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proceedings before the USPTO. Third parties may assert infringement claims against us based on existing patents or patents that may be granted in the future. As the biotechnology and pharmaceutical industries expand and more patents are issued, the risk increases that our product candidates may give rise to claims of infringement of the patent rights of others. There may be third-party patents of which we are currently unaware with claims to materials, formulations, methods of manufacture or methods for treatment related to the use or manufacture of our drug candidates.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w:t>
      </w:r>
    </w:p>
    <w:p>
      <w:pPr>
        <w:spacing w:after="0" w:line="198" w:lineRule="exact"/>
        <w:rPr>
          <w:sz w:val="20"/>
          <w:szCs w:val="20"/>
          <w:color w:val="auto"/>
        </w:rPr>
      </w:pPr>
    </w:p>
    <w:p>
      <w:pPr>
        <w:ind w:left="360" w:firstLine="535"/>
        <w:spacing w:after="0" w:line="243" w:lineRule="auto"/>
        <w:rPr>
          <w:sz w:val="20"/>
          <w:szCs w:val="20"/>
          <w:color w:val="auto"/>
        </w:rPr>
      </w:pPr>
      <w:r>
        <w:rPr>
          <w:rFonts w:ascii="Arial" w:cs="Arial" w:eastAsia="Arial" w:hAnsi="Arial"/>
          <w:sz w:val="17"/>
          <w:szCs w:val="17"/>
          <w:color w:val="auto"/>
        </w:rPr>
        <w:t>If we are found by a court of competent jurisdiction to infringe a third party’s intellectual property rights, we could be required to obtain a license from such third party to continue developing and marketing our products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200" w:lineRule="exact"/>
        <w:rPr>
          <w:sz w:val="20"/>
          <w:szCs w:val="20"/>
          <w:color w:val="auto"/>
        </w:rPr>
      </w:pPr>
    </w:p>
    <w:p>
      <w:pPr>
        <w:spacing w:after="0" w:line="281" w:lineRule="exact"/>
        <w:rPr>
          <w:sz w:val="20"/>
          <w:szCs w:val="20"/>
          <w:color w:val="auto"/>
        </w:rPr>
      </w:pPr>
    </w:p>
    <w:p>
      <w:pPr>
        <w:ind w:left="360" w:right="160"/>
        <w:spacing w:after="0" w:line="284" w:lineRule="auto"/>
        <w:rPr>
          <w:sz w:val="20"/>
          <w:szCs w:val="20"/>
          <w:color w:val="auto"/>
        </w:rPr>
      </w:pPr>
      <w:r>
        <w:rPr>
          <w:rFonts w:ascii="Arial" w:cs="Arial" w:eastAsia="Arial" w:hAnsi="Arial"/>
          <w:sz w:val="17"/>
          <w:szCs w:val="17"/>
          <w:b w:val="1"/>
          <w:bCs w:val="1"/>
          <w:i w:val="1"/>
          <w:iCs w:val="1"/>
          <w:color w:val="auto"/>
        </w:rPr>
        <w:t>If we fail to comply with our obligations in our current and future intellectual property licenses and funding arrangements with third parties, we could lose rights that are important to our business.</w:t>
      </w:r>
    </w:p>
    <w:p>
      <w:pPr>
        <w:spacing w:after="0" w:line="56" w:lineRule="exact"/>
        <w:rPr>
          <w:sz w:val="20"/>
          <w:szCs w:val="20"/>
          <w:color w:val="auto"/>
        </w:rPr>
      </w:pPr>
    </w:p>
    <w:p>
      <w:pPr>
        <w:ind w:left="360" w:right="140" w:firstLine="535"/>
        <w:spacing w:after="0" w:line="244" w:lineRule="auto"/>
        <w:rPr>
          <w:sz w:val="20"/>
          <w:szCs w:val="20"/>
          <w:color w:val="auto"/>
        </w:rPr>
      </w:pPr>
      <w:r>
        <w:rPr>
          <w:rFonts w:ascii="Arial" w:cs="Arial" w:eastAsia="Arial" w:hAnsi="Arial"/>
          <w:sz w:val="17"/>
          <w:szCs w:val="17"/>
          <w:color w:val="auto"/>
        </w:rPr>
        <w:t>We are party to a license agreement with Yale that provides us with the foundational intellectual property rights for our PROTAC protein degradation technology. This license agreement imposes diligence, development and commercialization timelines and milestone payment, royalty, insurance and other obligations on us. If we fail to comply with our obligations, including achieving specified milestone events, Yale may have the right to terminate this license, in which event we might not be able to develop, manufacture or market any product that is covered by the intellectual property we in-license from Yale and may face other penalties. Such an occurrence would materially adversely affect our business prospects. For a variety of purposes, we will likely enter into additional licensing and funding arrangements with third parties that may also impose similar obligations on us.</w:t>
      </w:r>
    </w:p>
    <w:p>
      <w:pPr>
        <w:spacing w:after="0" w:line="195" w:lineRule="exact"/>
        <w:rPr>
          <w:sz w:val="20"/>
          <w:szCs w:val="20"/>
          <w:color w:val="auto"/>
        </w:rPr>
      </w:pPr>
    </w:p>
    <w:p>
      <w:pPr>
        <w:jc w:val="both"/>
        <w:ind w:left="360" w:right="60" w:firstLine="535"/>
        <w:spacing w:after="0" w:line="247" w:lineRule="auto"/>
        <w:rPr>
          <w:sz w:val="20"/>
          <w:szCs w:val="20"/>
          <w:color w:val="auto"/>
        </w:rPr>
      </w:pPr>
      <w:r>
        <w:rPr>
          <w:rFonts w:ascii="Arial" w:cs="Arial" w:eastAsia="Arial" w:hAnsi="Arial"/>
          <w:sz w:val="17"/>
          <w:szCs w:val="17"/>
          <w:color w:val="auto"/>
        </w:rPr>
        <w:t>Termination of any of our current or future in-licenses would reduce or eliminate our rights under these agreements and may result in our having to negotiate new or reinstated agreements with less favorable terms or cause us to lose our rights under these agreements, including our rights to important intellectual property or technology. Any of the foregoing could prevent us from commercializing our other product candidates, which could have a material adverse effect on our operating results and overall financial condition.</w:t>
      </w:r>
    </w:p>
    <w:p>
      <w:pPr>
        <w:spacing w:after="0" w:line="126"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000"/>
          </w:cols>
          <w:pgMar w:left="240" w:top="449" w:right="65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260" w:firstLine="535"/>
        <w:spacing w:after="0" w:line="245" w:lineRule="auto"/>
        <w:rPr>
          <w:sz w:val="20"/>
          <w:szCs w:val="20"/>
          <w:color w:val="auto"/>
        </w:rPr>
      </w:pPr>
      <w:r>
        <w:rPr>
          <w:rFonts w:ascii="Arial" w:cs="Arial" w:eastAsia="Arial" w:hAnsi="Arial"/>
          <w:sz w:val="17"/>
          <w:szCs w:val="17"/>
          <w:color w:val="auto"/>
        </w:rPr>
        <w:t>In addition to the above risks, intellectual property rights that we license in the future may include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such agreements be terminated or amended, our ability to develop and commercialize our product candidates may be materially harmed.</w:t>
      </w:r>
    </w:p>
    <w:p>
      <w:pPr>
        <w:spacing w:after="0" w:line="192" w:lineRule="exact"/>
        <w:rPr>
          <w:sz w:val="20"/>
          <w:szCs w:val="20"/>
          <w:color w:val="auto"/>
        </w:rPr>
      </w:pPr>
    </w:p>
    <w:p>
      <w:pPr>
        <w:ind w:left="360" w:right="240" w:firstLine="535"/>
        <w:spacing w:after="0" w:line="245" w:lineRule="auto"/>
        <w:rPr>
          <w:sz w:val="20"/>
          <w:szCs w:val="20"/>
          <w:color w:val="auto"/>
        </w:rPr>
      </w:pPr>
      <w:r>
        <w:rPr>
          <w:rFonts w:ascii="Arial" w:cs="Arial" w:eastAsia="Arial" w:hAnsi="Arial"/>
          <w:sz w:val="17"/>
          <w:szCs w:val="17"/>
          <w:color w:val="auto"/>
        </w:rPr>
        <w:t>Further, we do not have the right to control the prosecution, maintenance and enforcement of all of our licensed and sublicensed intellectual property, and even when we do have such rights, we may require the cooperation of our licensors and upstream licensors, which may not be forthcoming. For example, under the Yale license, any patent applications and issued patents under the agreement remain the property of Yale, and Yale has the right to choose patent counsel. Our business could be adversely affected if we or our licensors are unable to prosecute, maintain and enforce our licensed and sublicensed intellectual property effectively.</w:t>
      </w:r>
    </w:p>
    <w:p>
      <w:pPr>
        <w:spacing w:after="0" w:line="280" w:lineRule="exact"/>
        <w:rPr>
          <w:sz w:val="20"/>
          <w:szCs w:val="20"/>
          <w:color w:val="auto"/>
        </w:rPr>
      </w:pPr>
    </w:p>
    <w:p>
      <w:pPr>
        <w:ind w:left="360"/>
        <w:spacing w:after="0" w:line="284" w:lineRule="auto"/>
        <w:rPr>
          <w:sz w:val="20"/>
          <w:szCs w:val="20"/>
          <w:color w:val="auto"/>
        </w:rPr>
      </w:pPr>
      <w:r>
        <w:rPr>
          <w:rFonts w:ascii="Arial" w:cs="Arial" w:eastAsia="Arial" w:hAnsi="Arial"/>
          <w:sz w:val="17"/>
          <w:szCs w:val="17"/>
          <w:b w:val="1"/>
          <w:bCs w:val="1"/>
          <w:i w:val="1"/>
          <w:iCs w:val="1"/>
          <w:color w:val="auto"/>
        </w:rPr>
        <w:t>We may be subject to claims by third parties asserting that our employees, consultants, contractors or we have misappropriated their intellectual property, or claiming ownership of what we regard as our own intellectual property.</w:t>
      </w:r>
    </w:p>
    <w:p>
      <w:pPr>
        <w:spacing w:after="0" w:line="56" w:lineRule="exact"/>
        <w:rPr>
          <w:sz w:val="20"/>
          <w:szCs w:val="20"/>
          <w:color w:val="auto"/>
        </w:rPr>
      </w:pPr>
    </w:p>
    <w:p>
      <w:pPr>
        <w:ind w:left="360" w:right="80" w:firstLine="535"/>
        <w:spacing w:after="0" w:line="243" w:lineRule="auto"/>
        <w:rPr>
          <w:sz w:val="20"/>
          <w:szCs w:val="20"/>
          <w:color w:val="auto"/>
        </w:rPr>
      </w:pPr>
      <w:r>
        <w:rPr>
          <w:rFonts w:ascii="Arial" w:cs="Arial" w:eastAsia="Arial" w:hAnsi="Arial"/>
          <w:sz w:val="17"/>
          <w:szCs w:val="17"/>
          <w:color w:val="auto"/>
        </w:rPr>
        <w:t>We employ individuals who were previously employed at universities as well as other biotechnology or pharmaceutical companies, including our competitors or potential competitors. We have received confidential and proprietary information from collaborators, prospective licensees and other third parties. Although we try to ensure that our employees do not use the proprietary information or know-how of others in their work for us, we may be subject to claims that these employees or we have used or disclosed intellectual property, including trade secrets or other proprietary information, of any such employee’s former employer. We may also be subject to claims that former employers or other third parties have an ownership interest in our patents. Litigation may be necessary to defend against these claims. We may not be successful in defending these claims, and if we fail in defending any such claims, in addition to paying monetary damages, we may lose valuable intellectual property rights, such as exclusive ownership of, or right to use, valuable intellectual property. Even if we are successful, litigation could result in substantial cost and reputational loss and be a distraction to our management and other employees.</w:t>
      </w:r>
    </w:p>
    <w:p>
      <w:pPr>
        <w:spacing w:after="0" w:line="395" w:lineRule="exact"/>
        <w:rPr>
          <w:sz w:val="20"/>
          <w:szCs w:val="20"/>
          <w:color w:val="auto"/>
        </w:rPr>
      </w:pPr>
    </w:p>
    <w:p>
      <w:pPr>
        <w:ind w:left="360" w:right="20" w:firstLine="535"/>
        <w:spacing w:after="0" w:line="245" w:lineRule="auto"/>
        <w:rPr>
          <w:sz w:val="20"/>
          <w:szCs w:val="20"/>
          <w:color w:val="auto"/>
        </w:rPr>
      </w:pPr>
      <w:r>
        <w:rPr>
          <w:rFonts w:ascii="Arial" w:cs="Arial" w:eastAsia="Arial" w:hAnsi="Arial"/>
          <w:sz w:val="17"/>
          <w:szCs w:val="17"/>
          <w:color w:val="auto"/>
        </w:rPr>
        <w:t>In addition, while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Such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280" w:lineRule="exact"/>
        <w:rPr>
          <w:sz w:val="20"/>
          <w:szCs w:val="20"/>
          <w:color w:val="auto"/>
        </w:rPr>
      </w:pPr>
    </w:p>
    <w:p>
      <w:pPr>
        <w:ind w:left="360" w:right="540"/>
        <w:spacing w:after="0" w:line="284" w:lineRule="auto"/>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56" w:lineRule="exact"/>
        <w:rPr>
          <w:sz w:val="20"/>
          <w:szCs w:val="20"/>
          <w:color w:val="auto"/>
        </w:rPr>
      </w:pPr>
    </w:p>
    <w:p>
      <w:pPr>
        <w:ind w:left="360" w:right="20" w:firstLine="535"/>
        <w:spacing w:after="0" w:line="245" w:lineRule="auto"/>
        <w:rPr>
          <w:sz w:val="20"/>
          <w:szCs w:val="20"/>
          <w:color w:val="auto"/>
        </w:rPr>
      </w:pPr>
      <w:r>
        <w:rPr>
          <w:rFonts w:ascii="Arial" w:cs="Arial" w:eastAsia="Arial" w:hAnsi="Arial"/>
          <w:sz w:val="17"/>
          <w:szCs w:val="17"/>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w:t>
      </w:r>
    </w:p>
    <w:p>
      <w:pPr>
        <w:spacing w:after="0" w:line="13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040"/>
          </w:cols>
          <w:pgMar w:left="240" w:top="449" w:right="61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spacing w:after="0" w:line="247" w:lineRule="auto"/>
        <w:rPr>
          <w:sz w:val="20"/>
          <w:szCs w:val="20"/>
          <w:color w:val="auto"/>
        </w:rPr>
      </w:pPr>
      <w:r>
        <w:rPr>
          <w:rFonts w:ascii="Arial" w:cs="Arial" w:eastAsia="Arial" w:hAnsi="Arial"/>
          <w:sz w:val="17"/>
          <w:szCs w:val="17"/>
          <w:color w:val="auto"/>
        </w:rPr>
        <w:t>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276" w:lineRule="exact"/>
        <w:rPr>
          <w:sz w:val="20"/>
          <w:szCs w:val="20"/>
          <w:color w:val="auto"/>
        </w:rPr>
      </w:pPr>
    </w:p>
    <w:p>
      <w:pPr>
        <w:ind w:left="360" w:right="220"/>
        <w:spacing w:after="0" w:line="262" w:lineRule="auto"/>
        <w:rPr>
          <w:sz w:val="20"/>
          <w:szCs w:val="20"/>
          <w:color w:val="auto"/>
        </w:rPr>
      </w:pPr>
      <w:r>
        <w:rPr>
          <w:rFonts w:ascii="Arial" w:cs="Arial" w:eastAsia="Arial" w:hAnsi="Arial"/>
          <w:sz w:val="17"/>
          <w:szCs w:val="17"/>
          <w:b w:val="1"/>
          <w:bCs w:val="1"/>
          <w:i w:val="1"/>
          <w:iCs w:val="1"/>
          <w:color w:val="auto"/>
        </w:rPr>
        <w:t>Obtaining and maintaining our patent protection depends on compliance with various procedural, documentary, fee payment and other requirements imposed by governmental patent offices, and our patent protection could be reduced or eliminated for non-compliance with these requirements.</w:t>
      </w:r>
    </w:p>
    <w:p>
      <w:pPr>
        <w:spacing w:after="0" w:line="75" w:lineRule="exact"/>
        <w:rPr>
          <w:sz w:val="20"/>
          <w:szCs w:val="20"/>
          <w:color w:val="auto"/>
        </w:rPr>
      </w:pPr>
    </w:p>
    <w:p>
      <w:pPr>
        <w:ind w:left="360" w:right="20" w:firstLine="535"/>
        <w:spacing w:after="0" w:line="243" w:lineRule="auto"/>
        <w:rPr>
          <w:sz w:val="20"/>
          <w:szCs w:val="20"/>
          <w:color w:val="auto"/>
        </w:rPr>
      </w:pPr>
      <w:r>
        <w:rPr>
          <w:rFonts w:ascii="Arial" w:cs="Arial" w:eastAsia="Arial" w:hAnsi="Arial"/>
          <w:sz w:val="17"/>
          <w:szCs w:val="17"/>
          <w:color w:val="auto"/>
        </w:rPr>
        <w:t>Periodic maintenance fees on any issued patent are due to be paid to the USPTO and patent offices in foreign countries in several stages over the lifetime of the patent. The USPTO and patent offices in foreign countries require compliance with a number of procedural, documentary, fee payment and other requirements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283"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If we are unable to protect the confidentiality of our trade secrets, our business and competitive position would be harmed.</w:t>
      </w:r>
    </w:p>
    <w:p>
      <w:pPr>
        <w:spacing w:after="0" w:line="126" w:lineRule="exact"/>
        <w:rPr>
          <w:sz w:val="20"/>
          <w:szCs w:val="20"/>
          <w:color w:val="auto"/>
        </w:rPr>
      </w:pPr>
    </w:p>
    <w:p>
      <w:pPr>
        <w:ind w:left="360" w:right="60" w:firstLine="535"/>
        <w:spacing w:after="0" w:line="243" w:lineRule="auto"/>
        <w:rPr>
          <w:sz w:val="20"/>
          <w:szCs w:val="20"/>
          <w:color w:val="auto"/>
        </w:rPr>
      </w:pPr>
      <w:r>
        <w:rPr>
          <w:rFonts w:ascii="Arial" w:cs="Arial" w:eastAsia="Arial" w:hAnsi="Arial"/>
          <w:sz w:val="17"/>
          <w:szCs w:val="17"/>
          <w:color w:val="auto"/>
        </w:rPr>
        <w:t>In addition to seeking patents for some of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of the United States are less willing or unwilling to protect trade secrets.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279" w:lineRule="exact"/>
        <w:rPr>
          <w:sz w:val="20"/>
          <w:szCs w:val="20"/>
          <w:color w:val="auto"/>
        </w:rPr>
      </w:pPr>
    </w:p>
    <w:p>
      <w:pPr>
        <w:jc w:val="both"/>
        <w:ind w:left="360" w:right="320"/>
        <w:spacing w:after="0" w:line="262" w:lineRule="auto"/>
        <w:rPr>
          <w:sz w:val="20"/>
          <w:szCs w:val="20"/>
          <w:color w:val="auto"/>
        </w:rPr>
      </w:pPr>
      <w:r>
        <w:rPr>
          <w:rFonts w:ascii="Arial" w:cs="Arial" w:eastAsia="Arial" w:hAnsi="Arial"/>
          <w:sz w:val="17"/>
          <w:szCs w:val="17"/>
          <w:b w:val="1"/>
          <w:bCs w:val="1"/>
          <w:i w:val="1"/>
          <w:iCs w:val="1"/>
          <w:color w:val="auto"/>
        </w:rPr>
        <w:t>If we are not able to obtain patent term extensions in the United States under the Hatch-Waxman Act and in foreign countries under similar legislation, thereby potentially extending the term of our marketing exclusivity for our product candidates, our business may be impaired.</w:t>
      </w:r>
    </w:p>
    <w:p>
      <w:pPr>
        <w:spacing w:after="0" w:line="75" w:lineRule="exact"/>
        <w:rPr>
          <w:sz w:val="20"/>
          <w:szCs w:val="20"/>
          <w:color w:val="auto"/>
        </w:rPr>
      </w:pPr>
    </w:p>
    <w:p>
      <w:pPr>
        <w:ind w:left="360" w:right="260" w:firstLine="535"/>
        <w:spacing w:after="0" w:line="259" w:lineRule="auto"/>
        <w:rPr>
          <w:sz w:val="20"/>
          <w:szCs w:val="20"/>
          <w:color w:val="auto"/>
        </w:rPr>
      </w:pPr>
      <w:r>
        <w:rPr>
          <w:rFonts w:ascii="Arial" w:cs="Arial" w:eastAsia="Arial" w:hAnsi="Arial"/>
          <w:sz w:val="17"/>
          <w:szCs w:val="17"/>
          <w:color w:val="auto"/>
        </w:rPr>
        <w:t>Depending upon the timing, duration and specifics of FDA marketing approval of our product candidates, one of the U.S. patents covering each of such product candidates or the use thereof may</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060"/>
          </w:cols>
          <w:pgMar w:left="240" w:top="449" w:right="59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60"/>
        <w:spacing w:after="0" w:line="244" w:lineRule="auto"/>
        <w:rPr>
          <w:sz w:val="20"/>
          <w:szCs w:val="20"/>
          <w:color w:val="auto"/>
        </w:rPr>
      </w:pPr>
      <w:r>
        <w:rPr>
          <w:rFonts w:ascii="Arial" w:cs="Arial" w:eastAsia="Arial" w:hAnsi="Arial"/>
          <w:sz w:val="17"/>
          <w:szCs w:val="17"/>
          <w:color w:val="auto"/>
        </w:rPr>
        <w:t>be eligible for a patent term extension under the Drug Price Competition and Patent Term Restoration Act of 1984, or Hatch-Waxman Act. The period of extension may be up to five years beyond the expiration date of a patent, but cannot extend the remaining term of a patent beyond a total of 14 years from the date of product approval. The Hatch-Waxman Act allows a maximum of one patent to be extended per FDA-approved product. Similar patent term extension also may be available in certain foreign countries upon regulatory approval of our product candidates. Nevertheless, we may not be granted patent term extension either in the United States or in any foreign country because of, for example,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w:t>
      </w:r>
    </w:p>
    <w:p>
      <w:pPr>
        <w:spacing w:after="0" w:line="193" w:lineRule="exact"/>
        <w:rPr>
          <w:sz w:val="20"/>
          <w:szCs w:val="20"/>
          <w:color w:val="auto"/>
        </w:rPr>
      </w:pPr>
    </w:p>
    <w:p>
      <w:pPr>
        <w:ind w:left="360" w:right="20" w:firstLine="535"/>
        <w:spacing w:after="0" w:line="250" w:lineRule="auto"/>
        <w:rPr>
          <w:sz w:val="20"/>
          <w:szCs w:val="20"/>
          <w:color w:val="auto"/>
        </w:rPr>
      </w:pPr>
      <w:r>
        <w:rPr>
          <w:rFonts w:ascii="Arial" w:cs="Arial" w:eastAsia="Arial" w:hAnsi="Arial"/>
          <w:sz w:val="17"/>
          <w:szCs w:val="17"/>
          <w:color w:val="auto"/>
        </w:rPr>
        <w:t>If we are unable to obtain patent term extension or restoration, or the term of any such extension is less than we request, the period during which we will have the right to exclusively market our product may be shortened and our competitors may obtain approval of competing products following our patent expiration sooner, and our revenue could be reduced, possibly materially.</w:t>
      </w:r>
    </w:p>
    <w:p>
      <w:pPr>
        <w:spacing w:after="0" w:line="274" w:lineRule="exact"/>
        <w:rPr>
          <w:sz w:val="20"/>
          <w:szCs w:val="20"/>
          <w:color w:val="auto"/>
        </w:rPr>
      </w:pPr>
    </w:p>
    <w:p>
      <w:pPr>
        <w:ind w:left="360" w:right="200"/>
        <w:spacing w:after="0" w:line="284" w:lineRule="auto"/>
        <w:rPr>
          <w:sz w:val="20"/>
          <w:szCs w:val="20"/>
          <w:color w:val="auto"/>
        </w:rPr>
      </w:pPr>
      <w:r>
        <w:rPr>
          <w:rFonts w:ascii="Arial" w:cs="Arial" w:eastAsia="Arial" w:hAnsi="Arial"/>
          <w:sz w:val="17"/>
          <w:szCs w:val="17"/>
          <w:b w:val="1"/>
          <w:bCs w:val="1"/>
          <w:i w:val="1"/>
          <w:iCs w:val="1"/>
          <w:color w:val="auto"/>
        </w:rPr>
        <w:t>We only have limited geographical protection with respect to certain patents and we may not be able to protect our intellectual property rights throughout the world.</w:t>
      </w:r>
    </w:p>
    <w:p>
      <w:pPr>
        <w:spacing w:after="0" w:line="56" w:lineRule="exact"/>
        <w:rPr>
          <w:sz w:val="20"/>
          <w:szCs w:val="20"/>
          <w:color w:val="auto"/>
        </w:rPr>
      </w:pPr>
    </w:p>
    <w:p>
      <w:pPr>
        <w:ind w:left="360" w:right="20" w:firstLine="535"/>
        <w:spacing w:after="0" w:line="243" w:lineRule="auto"/>
        <w:rPr>
          <w:sz w:val="20"/>
          <w:szCs w:val="20"/>
          <w:color w:val="auto"/>
        </w:rPr>
      </w:pPr>
      <w:r>
        <w:rPr>
          <w:rFonts w:ascii="Arial" w:cs="Arial" w:eastAsia="Arial" w:hAnsi="Arial"/>
          <w:sz w:val="17"/>
          <w:szCs w:val="17"/>
          <w:color w:val="auto"/>
        </w:rPr>
        <w:t>Filing, prosecuting and defending patents covering our product candidates in all countries throughout the world would be prohibitively expensive, and our intellectual property rights in some countries outside the United States can be less extensive than those in the United States. In-licensing patents covering our product candidates in all countries throughout the world may similarly be prohibitively expensive, if such opportunities are available at all. And in-licensing or filing, prosecuting and defending patents even in only those jurisdictions in which we develop or commercialize our product candidates may be prohibitively expensive or impractical. Competitors may use our and our licensors’ technologies in jurisdictions where we have not obtained patent protection or licensed patents to develop their own products and, further, may export otherwise infringing products to territories where we and our licensors have patent protection, but enforcement is not as strong as that in the United States or the European Union. These products may compete with our product candidates, and our or our licensors’ patents or other intellectual property rights may not be effective or sufficient to prevent them from competing.</w:t>
      </w:r>
    </w:p>
    <w:p>
      <w:pPr>
        <w:spacing w:after="0" w:line="395" w:lineRule="exact"/>
        <w:rPr>
          <w:sz w:val="20"/>
          <w:szCs w:val="20"/>
          <w:color w:val="auto"/>
        </w:rPr>
      </w:pPr>
    </w:p>
    <w:p>
      <w:pPr>
        <w:ind w:left="360" w:firstLine="535"/>
        <w:spacing w:after="0" w:line="244" w:lineRule="auto"/>
        <w:rPr>
          <w:sz w:val="20"/>
          <w:szCs w:val="20"/>
          <w:color w:val="auto"/>
        </w:rPr>
      </w:pPr>
      <w:r>
        <w:rPr>
          <w:rFonts w:ascii="Arial" w:cs="Arial" w:eastAsia="Arial" w:hAnsi="Arial"/>
          <w:sz w:val="17"/>
          <w:szCs w:val="17"/>
          <w:color w:val="auto"/>
        </w:rPr>
        <w:t>In addition, we may decide to abandon national and regional patent applications while they are still pending. The grant proceeding of each national or regional patent is an independent proceeding which may lead to situations in which applications may be rejected by the relevant patent office, while substantively similar applications are granted by others. For example, relative to other countries, China has a heightened detailed description requirement for patentability. Furthermore,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It is also quite common that depending on the country, the scope of patent protection may vary for the same product candidate or technology.</w:t>
      </w:r>
    </w:p>
    <w:p>
      <w:pPr>
        <w:spacing w:after="0" w:line="392" w:lineRule="exact"/>
        <w:rPr>
          <w:sz w:val="20"/>
          <w:szCs w:val="20"/>
          <w:color w:val="auto"/>
        </w:rPr>
      </w:pPr>
    </w:p>
    <w:p>
      <w:pPr>
        <w:ind w:left="360" w:right="120" w:firstLine="535"/>
        <w:spacing w:after="0" w:line="245" w:lineRule="auto"/>
        <w:rPr>
          <w:sz w:val="20"/>
          <w:szCs w:val="20"/>
          <w:color w:val="auto"/>
        </w:rPr>
      </w:pPr>
      <w:r>
        <w:rPr>
          <w:rFonts w:ascii="Arial" w:cs="Arial" w:eastAsia="Arial" w:hAnsi="Arial"/>
          <w:sz w:val="17"/>
          <w:szCs w:val="17"/>
          <w:color w:val="auto"/>
        </w:rPr>
        <w:t>The laws of some jurisdictions do not protect intellectual property rights to the same extent as the laws or regulations in the United States and the European Union, and many companies have encountered significant difficulties in protecting and defending proprietary rights in such jurisdictions. Moreover, the legal systems of certain countries, particularly certain developing countries, do not favor the enforcement of patents, trade secrets or other forms of intellectual property, which could make it difficult for us to prevent competitors in some jurisdictions from marketing competing products in violation of our proprietary rights generally.</w:t>
      </w:r>
    </w:p>
    <w:p>
      <w:pPr>
        <w:spacing w:after="0" w:line="13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060"/>
          </w:cols>
          <w:pgMar w:left="240" w:top="449" w:right="59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firstLine="535"/>
        <w:spacing w:after="0" w:line="242" w:lineRule="auto"/>
        <w:rPr>
          <w:sz w:val="20"/>
          <w:szCs w:val="20"/>
          <w:color w:val="auto"/>
        </w:rPr>
      </w:pPr>
      <w:r>
        <w:rPr>
          <w:rFonts w:ascii="Arial" w:cs="Arial" w:eastAsia="Arial" w:hAnsi="Arial"/>
          <w:sz w:val="17"/>
          <w:szCs w:val="17"/>
          <w:color w:val="auto"/>
        </w:rPr>
        <w:t>Proceedings to enforce our patent rights in foreign jurisdictions, whether or not successful, are likely to result in substantial costs and divert our efforts and attention from other aspects of our business, and additionally could put our or our licensors’ patents at risk of being invalidated or interpreted narrowly, could increase the risk of our or our licensors’ patent applications not issuing, or could provoke third parties to assert claims against us. We may not prevail in any lawsuits that we initiate, while damages or other remedies may be awarded to the adverse party, which may be commercially significant. If we prevail, damages or other remedies awarded to us, if any, may not be commercially meaningful. Accordingly, our efforts to enforce our intellectual property rights around the world may be inadequate to obtain a significant commercial advantage from the intellectual property that we develop or license.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in those jurisdictions.</w:t>
      </w:r>
    </w:p>
    <w:p>
      <w:pPr>
        <w:spacing w:after="0" w:line="204" w:lineRule="exact"/>
        <w:rPr>
          <w:sz w:val="20"/>
          <w:szCs w:val="20"/>
          <w:color w:val="auto"/>
        </w:rPr>
      </w:pPr>
    </w:p>
    <w:p>
      <w:pPr>
        <w:ind w:left="360" w:firstLine="535"/>
        <w:spacing w:after="0" w:line="245" w:lineRule="auto"/>
        <w:rPr>
          <w:sz w:val="20"/>
          <w:szCs w:val="20"/>
          <w:color w:val="auto"/>
        </w:rPr>
      </w:pPr>
      <w:r>
        <w:rPr>
          <w:rFonts w:ascii="Arial" w:cs="Arial" w:eastAsia="Arial" w:hAnsi="Arial"/>
          <w:sz w:val="17"/>
          <w:szCs w:val="17"/>
          <w:color w:val="auto"/>
        </w:rPr>
        <w:t>In some jurisdictions, compulsory licensing laws compel patent owners to grant licenses to third parties. In addition, some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under patents relevant to our business, or if we or our licensors are prevented from enforcing patent rights against third parties, our competitive position may be substantially impaired in such jurisdictions.</w:t>
      </w:r>
    </w:p>
    <w:p>
      <w:pPr>
        <w:spacing w:after="0" w:line="278" w:lineRule="exact"/>
        <w:rPr>
          <w:sz w:val="20"/>
          <w:szCs w:val="20"/>
          <w:color w:val="auto"/>
        </w:rPr>
      </w:pPr>
    </w:p>
    <w:p>
      <w:pPr>
        <w:ind w:left="860"/>
        <w:spacing w:after="0"/>
        <w:rPr>
          <w:sz w:val="20"/>
          <w:szCs w:val="20"/>
          <w:color w:val="auto"/>
        </w:rPr>
      </w:pPr>
      <w:r>
        <w:rPr>
          <w:rFonts w:ascii="Arial" w:cs="Arial" w:eastAsia="Arial" w:hAnsi="Arial"/>
          <w:sz w:val="17"/>
          <w:szCs w:val="17"/>
          <w:b w:val="1"/>
          <w:bCs w:val="1"/>
          <w:color w:val="auto"/>
        </w:rPr>
        <w:t>Risks Related to Regulatory Approval and Marketing of Our Product Candidates and Other Legal Compliance Matters</w:t>
      </w:r>
    </w:p>
    <w:p>
      <w:pPr>
        <w:spacing w:after="0" w:line="213" w:lineRule="exact"/>
        <w:rPr>
          <w:sz w:val="20"/>
          <w:szCs w:val="20"/>
          <w:color w:val="auto"/>
        </w:rPr>
      </w:pPr>
    </w:p>
    <w:p>
      <w:pPr>
        <w:ind w:left="360" w:right="260"/>
        <w:spacing w:after="0" w:line="284" w:lineRule="auto"/>
        <w:rPr>
          <w:sz w:val="20"/>
          <w:szCs w:val="20"/>
          <w:color w:val="auto"/>
        </w:rPr>
      </w:pPr>
      <w:r>
        <w:rPr>
          <w:rFonts w:ascii="Arial" w:cs="Arial" w:eastAsia="Arial" w:hAnsi="Arial"/>
          <w:sz w:val="17"/>
          <w:szCs w:val="17"/>
          <w:b w:val="1"/>
          <w:bCs w:val="1"/>
          <w:i w:val="1"/>
          <w:iCs w:val="1"/>
          <w:color w:val="auto"/>
        </w:rPr>
        <w:t>The regulatory approval process of the FDA is lengthy, time-consuming and inherently unpredictable, and if we are ultimately unable to obtain marketing approval for our product candidates, our business will be substantially harmed.</w:t>
      </w:r>
    </w:p>
    <w:p>
      <w:pPr>
        <w:spacing w:after="0" w:line="56" w:lineRule="exact"/>
        <w:rPr>
          <w:sz w:val="20"/>
          <w:szCs w:val="20"/>
          <w:color w:val="auto"/>
        </w:rPr>
      </w:pPr>
    </w:p>
    <w:p>
      <w:pPr>
        <w:ind w:left="360" w:right="160" w:firstLine="535"/>
        <w:spacing w:after="0" w:line="245" w:lineRule="auto"/>
        <w:rPr>
          <w:sz w:val="20"/>
          <w:szCs w:val="20"/>
          <w:color w:val="auto"/>
        </w:rPr>
      </w:pPr>
      <w:r>
        <w:rPr>
          <w:rFonts w:ascii="Arial" w:cs="Arial" w:eastAsia="Arial" w:hAnsi="Arial"/>
          <w:sz w:val="17"/>
          <w:szCs w:val="17"/>
          <w:color w:val="auto"/>
        </w:rPr>
        <w:t>The time required to obtain approval by the FDA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marketing approval for any product candidate and it is possible that none of our existing product candidates, or any product candidates we may seek to develop in the future will ever obtain marketing approval.</w:t>
      </w:r>
    </w:p>
    <w:p>
      <w:pPr>
        <w:spacing w:after="0" w:line="19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Our product candidates could fail to receive marketing approval for many reasons, including the following:</w:t>
      </w:r>
    </w:p>
    <w:p>
      <w:pPr>
        <w:spacing w:after="0" w:line="119" w:lineRule="exact"/>
        <w:rPr>
          <w:sz w:val="20"/>
          <w:szCs w:val="20"/>
          <w:color w:val="auto"/>
        </w:rPr>
      </w:pPr>
    </w:p>
    <w:p>
      <w:pPr>
        <w:ind w:left="1100" w:hanging="210"/>
        <w:spacing w:after="0"/>
        <w:tabs>
          <w:tab w:leader="none" w:pos="11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FDA may disagree with the design or implementation of our clinical trials;</w:t>
      </w:r>
    </w:p>
    <w:p>
      <w:pPr>
        <w:spacing w:after="0" w:line="119" w:lineRule="exact"/>
        <w:rPr>
          <w:rFonts w:ascii="Arial" w:cs="Arial" w:eastAsia="Arial" w:hAnsi="Arial"/>
          <w:sz w:val="17"/>
          <w:szCs w:val="17"/>
          <w:color w:val="auto"/>
        </w:rPr>
      </w:pPr>
    </w:p>
    <w:p>
      <w:pPr>
        <w:ind w:left="1100" w:right="240" w:hanging="210"/>
        <w:spacing w:after="0" w:line="259" w:lineRule="auto"/>
        <w:tabs>
          <w:tab w:leader="none" w:pos="11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may be unable to demonstrate to the satisfaction of the FDA that a product candidate is safe and effective for its proposed indication;</w:t>
      </w:r>
    </w:p>
    <w:p>
      <w:pPr>
        <w:spacing w:after="0" w:line="89" w:lineRule="exact"/>
        <w:rPr>
          <w:rFonts w:ascii="Arial" w:cs="Arial" w:eastAsia="Arial" w:hAnsi="Arial"/>
          <w:sz w:val="17"/>
          <w:szCs w:val="17"/>
          <w:color w:val="auto"/>
        </w:rPr>
      </w:pPr>
    </w:p>
    <w:p>
      <w:pPr>
        <w:ind w:left="1100" w:hanging="210"/>
        <w:spacing w:after="0"/>
        <w:tabs>
          <w:tab w:leader="none" w:pos="11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results of clinical trials may not meet the level of statistical significance required by the FDA for approval;</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may be unable to demonstrate that a product candidate’s clinical and other benefits outweigh its safety risks;</w:t>
      </w:r>
    </w:p>
    <w:p>
      <w:pPr>
        <w:spacing w:after="0" w:line="145"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020"/>
          </w:cols>
          <w:pgMar w:left="240" w:top="449" w:right="63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1100" w:hanging="210"/>
        <w:spacing w:after="0"/>
        <w:tabs>
          <w:tab w:leader="none" w:pos="11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FDA may disagree with our interpretation of data from preclinical studies or clinical trials;</w:t>
      </w:r>
    </w:p>
    <w:p>
      <w:pPr>
        <w:spacing w:after="0" w:line="119" w:lineRule="exact"/>
        <w:rPr>
          <w:rFonts w:ascii="Arial" w:cs="Arial" w:eastAsia="Arial" w:hAnsi="Arial"/>
          <w:sz w:val="17"/>
          <w:szCs w:val="17"/>
          <w:color w:val="auto"/>
        </w:rPr>
      </w:pPr>
    </w:p>
    <w:p>
      <w:pPr>
        <w:ind w:left="1100" w:right="20" w:hanging="210"/>
        <w:spacing w:after="0" w:line="259" w:lineRule="auto"/>
        <w:tabs>
          <w:tab w:leader="none" w:pos="11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data collected from clinical trials of our product candidates may not be sufficient to support the submission of an NDA to the FDA or other submission or to obtain marketing approval in the United States;</w:t>
      </w:r>
    </w:p>
    <w:p>
      <w:pPr>
        <w:spacing w:after="0" w:line="89" w:lineRule="exact"/>
        <w:rPr>
          <w:rFonts w:ascii="Arial" w:cs="Arial" w:eastAsia="Arial" w:hAnsi="Arial"/>
          <w:sz w:val="17"/>
          <w:szCs w:val="17"/>
          <w:color w:val="auto"/>
        </w:rPr>
      </w:pPr>
    </w:p>
    <w:p>
      <w:pPr>
        <w:ind w:left="1100" w:right="200" w:hanging="210"/>
        <w:spacing w:after="0" w:line="259" w:lineRule="auto"/>
        <w:tabs>
          <w:tab w:leader="none" w:pos="11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FDA may find deficiencies with or fail to approve the manufacturing processes or facilities of third-party manufacturers with which we contract for clinical and commercial supplies; and</w:t>
      </w:r>
    </w:p>
    <w:p>
      <w:pPr>
        <w:spacing w:after="0" w:line="89" w:lineRule="exact"/>
        <w:rPr>
          <w:rFonts w:ascii="Arial" w:cs="Arial" w:eastAsia="Arial" w:hAnsi="Arial"/>
          <w:sz w:val="17"/>
          <w:szCs w:val="17"/>
          <w:color w:val="auto"/>
        </w:rPr>
      </w:pPr>
    </w:p>
    <w:p>
      <w:pPr>
        <w:ind w:left="1100" w:right="260" w:hanging="210"/>
        <w:spacing w:after="0" w:line="259" w:lineRule="auto"/>
        <w:tabs>
          <w:tab w:leader="none" w:pos="11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approval policies or regulations of the FDA may significantly change in a manner rendering our clinical data insufficient for approval.</w:t>
      </w:r>
    </w:p>
    <w:p>
      <w:pPr>
        <w:spacing w:after="0" w:line="181" w:lineRule="exact"/>
        <w:rPr>
          <w:sz w:val="20"/>
          <w:szCs w:val="20"/>
          <w:color w:val="auto"/>
        </w:rPr>
      </w:pPr>
    </w:p>
    <w:p>
      <w:pPr>
        <w:ind w:left="360" w:right="480" w:firstLine="535"/>
        <w:spacing w:after="0" w:line="245" w:lineRule="auto"/>
        <w:rPr>
          <w:sz w:val="20"/>
          <w:szCs w:val="20"/>
          <w:color w:val="auto"/>
        </w:rPr>
      </w:pPr>
      <w:r>
        <w:rPr>
          <w:rFonts w:ascii="Arial" w:cs="Arial" w:eastAsia="Arial" w:hAnsi="Arial"/>
          <w:sz w:val="17"/>
          <w:szCs w:val="17"/>
          <w:color w:val="auto"/>
        </w:rPr>
        <w:t>This lengthy approval process as well as the unpredictability of future clinical trial results may result in our failing to obtain regulatory approval to market any of our product candidates, which would significantly harm our business, results of operations and prospects. The FDA has substantial discretion in the approval process, and determining when or whether regulatory approval will be obtained for any of our product candidates. Even if we believe the data collected from clinical trials of our product candidates are promising, such data may not be sufficient to support approval by the FDA.</w:t>
      </w:r>
    </w:p>
    <w:p>
      <w:pPr>
        <w:spacing w:after="0" w:line="195" w:lineRule="exact"/>
        <w:rPr>
          <w:sz w:val="20"/>
          <w:szCs w:val="20"/>
          <w:color w:val="auto"/>
        </w:rPr>
      </w:pPr>
    </w:p>
    <w:p>
      <w:pPr>
        <w:ind w:left="360" w:right="60" w:firstLine="535"/>
        <w:spacing w:after="0" w:line="245" w:lineRule="auto"/>
        <w:rPr>
          <w:sz w:val="20"/>
          <w:szCs w:val="20"/>
          <w:color w:val="auto"/>
        </w:rPr>
      </w:pPr>
      <w:r>
        <w:rPr>
          <w:rFonts w:ascii="Arial" w:cs="Arial" w:eastAsia="Arial" w:hAnsi="Arial"/>
          <w:sz w:val="17"/>
          <w:szCs w:val="17"/>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280" w:lineRule="exact"/>
        <w:rPr>
          <w:sz w:val="20"/>
          <w:szCs w:val="20"/>
          <w:color w:val="auto"/>
        </w:rPr>
      </w:pPr>
    </w:p>
    <w:p>
      <w:pPr>
        <w:ind w:left="360" w:right="120"/>
        <w:spacing w:after="0" w:line="255" w:lineRule="auto"/>
        <w:rPr>
          <w:sz w:val="20"/>
          <w:szCs w:val="20"/>
          <w:color w:val="auto"/>
        </w:rPr>
      </w:pPr>
      <w:r>
        <w:rPr>
          <w:rFonts w:ascii="Arial" w:cs="Arial" w:eastAsia="Arial" w:hAnsi="Arial"/>
          <w:sz w:val="17"/>
          <w:szCs w:val="17"/>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some or all of our product candidates. If we are not able to obtain, or if there are delays in obtaining, required regulatory approvals, we will not be able to commercialize our product candidates, and our ability to generate revenue will be materially impaired.</w:t>
      </w:r>
    </w:p>
    <w:p>
      <w:pPr>
        <w:spacing w:after="0" w:line="81" w:lineRule="exact"/>
        <w:rPr>
          <w:sz w:val="20"/>
          <w:szCs w:val="20"/>
          <w:color w:val="auto"/>
        </w:rPr>
      </w:pPr>
    </w:p>
    <w:p>
      <w:pPr>
        <w:ind w:left="360" w:right="100" w:firstLine="535"/>
        <w:spacing w:after="0" w:line="245" w:lineRule="auto"/>
        <w:rPr>
          <w:sz w:val="20"/>
          <w:szCs w:val="20"/>
          <w:color w:val="auto"/>
        </w:rPr>
      </w:pPr>
      <w:r>
        <w:rPr>
          <w:rFonts w:ascii="Arial" w:cs="Arial" w:eastAsia="Arial" w:hAnsi="Arial"/>
          <w:sz w:val="17"/>
          <w:szCs w:val="17"/>
          <w:color w:val="auto"/>
        </w:rPr>
        <w:t>Our product candidates and the activities associated with their development and commercialization, including their design, testing, manufacture, safety, efficacy, recordkeeping, labeling, storage, approval, advertising, promotion, sale and distribution, export and import are subject to comprehensive regulation by the FDA and other regulatory agencies in the United States and by the EMA and similar regulatory authorities outside of the United States. Failure to obtain marketing approval for a product candidate will prevent us from commercializing the product candidate. We have not submitted an application for or received marketing approval for any of our product candidates in the United States or in any other jurisdiction.</w:t>
      </w:r>
    </w:p>
    <w:p>
      <w:pPr>
        <w:spacing w:after="0" w:line="192" w:lineRule="exact"/>
        <w:rPr>
          <w:sz w:val="20"/>
          <w:szCs w:val="20"/>
          <w:color w:val="auto"/>
        </w:rPr>
      </w:pPr>
    </w:p>
    <w:p>
      <w:pPr>
        <w:ind w:left="360" w:firstLine="535"/>
        <w:spacing w:after="0" w:line="243" w:lineRule="auto"/>
        <w:rPr>
          <w:sz w:val="20"/>
          <w:szCs w:val="20"/>
          <w:color w:val="auto"/>
        </w:rPr>
      </w:pPr>
      <w:r>
        <w:rPr>
          <w:rFonts w:ascii="Arial" w:cs="Arial" w:eastAsia="Arial" w:hAnsi="Arial"/>
          <w:sz w:val="17"/>
          <w:szCs w:val="17"/>
          <w:color w:val="auto"/>
        </w:rPr>
        <w:t>As a company, we do not have experience in filing and supporting the applications necessary to gain marketing approvals and expect to rely on third-party clinical research organizations or other third-party consultants or vendors to assist us in this process.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 New cancer drugs frequently are indicated only for patient populations that have not responded to an existing therapy or have relapsed.</w:t>
      </w:r>
    </w:p>
    <w:p>
      <w:pPr>
        <w:spacing w:after="0" w:line="331"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040"/>
          </w:cols>
          <w:pgMar w:left="240" w:top="449" w:right="61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firstLine="535"/>
        <w:spacing w:after="0" w:line="243" w:lineRule="auto"/>
        <w:rPr>
          <w:sz w:val="20"/>
          <w:szCs w:val="20"/>
          <w:color w:val="auto"/>
        </w:rPr>
      </w:pPr>
      <w:r>
        <w:rPr>
          <w:rFonts w:ascii="Arial" w:cs="Arial" w:eastAsia="Arial" w:hAnsi="Arial"/>
          <w:sz w:val="17"/>
          <w:szCs w:val="17"/>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98" w:lineRule="exact"/>
        <w:rPr>
          <w:sz w:val="20"/>
          <w:szCs w:val="20"/>
          <w:color w:val="auto"/>
        </w:rPr>
      </w:pPr>
    </w:p>
    <w:p>
      <w:pPr>
        <w:ind w:left="360" w:right="220" w:firstLine="535"/>
        <w:spacing w:after="0" w:line="259" w:lineRule="auto"/>
        <w:rPr>
          <w:sz w:val="20"/>
          <w:szCs w:val="20"/>
          <w:color w:val="auto"/>
        </w:rPr>
      </w:pPr>
      <w:r>
        <w:rPr>
          <w:rFonts w:ascii="Arial" w:cs="Arial" w:eastAsia="Arial" w:hAnsi="Arial"/>
          <w:sz w:val="17"/>
          <w:szCs w:val="17"/>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266" w:lineRule="exact"/>
        <w:rPr>
          <w:sz w:val="20"/>
          <w:szCs w:val="20"/>
          <w:color w:val="auto"/>
        </w:rPr>
      </w:pPr>
    </w:p>
    <w:p>
      <w:pPr>
        <w:ind w:left="360" w:right="100"/>
        <w:spacing w:after="0" w:line="284" w:lineRule="auto"/>
        <w:rPr>
          <w:sz w:val="20"/>
          <w:szCs w:val="20"/>
          <w:color w:val="auto"/>
        </w:rPr>
      </w:pPr>
      <w:r>
        <w:rPr>
          <w:rFonts w:ascii="Arial" w:cs="Arial" w:eastAsia="Arial" w:hAnsi="Arial"/>
          <w:sz w:val="17"/>
          <w:szCs w:val="17"/>
          <w:b w:val="1"/>
          <w:bCs w:val="1"/>
          <w:i w:val="1"/>
          <w:iCs w:val="1"/>
          <w:color w:val="auto"/>
        </w:rPr>
        <w:t>Failure to obtain marketing approval in foreign jurisdictions would prevent our product candidates from being marketed abroad and may limit our ability to generate revenue from product sales.</w:t>
      </w:r>
    </w:p>
    <w:p>
      <w:pPr>
        <w:spacing w:after="0" w:line="56" w:lineRule="exact"/>
        <w:rPr>
          <w:sz w:val="20"/>
          <w:szCs w:val="20"/>
          <w:color w:val="auto"/>
        </w:rPr>
      </w:pPr>
    </w:p>
    <w:p>
      <w:pPr>
        <w:ind w:left="360" w:firstLine="535"/>
        <w:spacing w:after="0" w:line="244" w:lineRule="auto"/>
        <w:rPr>
          <w:sz w:val="20"/>
          <w:szCs w:val="20"/>
          <w:color w:val="auto"/>
        </w:rPr>
      </w:pPr>
      <w:r>
        <w:rPr>
          <w:rFonts w:ascii="Arial" w:cs="Arial" w:eastAsia="Arial" w:hAnsi="Arial"/>
          <w:sz w:val="17"/>
          <w:szCs w:val="17"/>
          <w:color w:val="auto"/>
        </w:rPr>
        <w:t>In order to market and sell our products in the European Union and many other jurisdictions, we, and any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the United States generally includes all of the risks associated with obtaining FDA approval. We, and any collaborators,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w:t>
      </w:r>
    </w:p>
    <w:p>
      <w:pPr>
        <w:spacing w:after="0" w:line="392" w:lineRule="exact"/>
        <w:rPr>
          <w:sz w:val="20"/>
          <w:szCs w:val="20"/>
          <w:color w:val="auto"/>
        </w:rPr>
      </w:pPr>
    </w:p>
    <w:p>
      <w:pPr>
        <w:ind w:left="360" w:right="40" w:firstLine="535"/>
        <w:spacing w:after="0" w:line="244" w:lineRule="auto"/>
        <w:rPr>
          <w:sz w:val="20"/>
          <w:szCs w:val="20"/>
          <w:color w:val="auto"/>
        </w:rPr>
      </w:pPr>
      <w:r>
        <w:rPr>
          <w:rFonts w:ascii="Arial" w:cs="Arial" w:eastAsia="Arial" w:hAnsi="Arial"/>
          <w:sz w:val="17"/>
          <w:szCs w:val="17"/>
          <w:color w:val="auto"/>
        </w:rPr>
        <w:t>In many countries outside the United States, a product candidate must also be approved for reimbursement before it can be sold in that country. In some cases, the price that we intend to charge for our products, if approved, is also subject to approval. Obtaining non-U.S. regulatory approvals and compliance with non-U.S. regulatory requirements could result in significant delays, difficulties and costs for us and any collaborators and could delay or prevent the introduction of our product candidates in certain countries. In addition, if we or any collaborators fail to obtain the non-U.S. approvals required to market our product candidates outside the United States or if we or any collaborators fail to comply with applicable non-U.S. regulatory requirements, our target market will be reduced and our ability to realize the full market potential of our product candidates will be harmed and our business, financial condition, results of operations and prospects may be adversely affected.</w:t>
      </w:r>
    </w:p>
    <w:p>
      <w:pPr>
        <w:spacing w:after="0" w:line="193" w:lineRule="exact"/>
        <w:rPr>
          <w:sz w:val="20"/>
          <w:szCs w:val="20"/>
          <w:color w:val="auto"/>
        </w:rPr>
      </w:pPr>
    </w:p>
    <w:p>
      <w:pPr>
        <w:ind w:left="360" w:right="60" w:firstLine="535"/>
        <w:spacing w:after="0" w:line="244" w:lineRule="auto"/>
        <w:rPr>
          <w:sz w:val="20"/>
          <w:szCs w:val="20"/>
          <w:color w:val="auto"/>
        </w:rPr>
      </w:pPr>
      <w:r>
        <w:rPr>
          <w:rFonts w:ascii="Arial" w:cs="Arial" w:eastAsia="Arial" w:hAnsi="Arial"/>
          <w:sz w:val="17"/>
          <w:szCs w:val="17"/>
          <w:color w:val="auto"/>
        </w:rPr>
        <w:t>Additionally, on June 23, 2016, the electorate in the United Kingdom voted in favor of leaving the European Union, commonly referred to as Brexit. On March 29, 2017, the United Kingdom formally notified the European Union of its intention to withdraw pursuant to Article 50 of the Lisbon Treaty. Since a significant proportion of the regulatory framework in the United Kingdom is derived from European Union directives and regulations, the withdrawal could materially impact the regulatory regime with respect to the approval of our product candidates in the United Kingdom or the European Union.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w:t>
      </w:r>
    </w:p>
    <w:p>
      <w:pPr>
        <w:spacing w:after="0" w:line="13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040"/>
          </w:cols>
          <w:pgMar w:left="240" w:top="449" w:right="61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400"/>
        <w:spacing w:after="0" w:line="259" w:lineRule="auto"/>
        <w:rPr>
          <w:sz w:val="20"/>
          <w:szCs w:val="20"/>
          <w:color w:val="auto"/>
        </w:rPr>
      </w:pPr>
      <w:r>
        <w:rPr>
          <w:rFonts w:ascii="Arial" w:cs="Arial" w:eastAsia="Arial" w:hAnsi="Arial"/>
          <w:sz w:val="17"/>
          <w:szCs w:val="17"/>
          <w:color w:val="auto"/>
        </w:rPr>
        <w:t>If any of these outcomes occur, we may be forced to restrict or delay efforts to seek regulatory approval in the United Kingdom and/or European Union for our product candidates, which could significantly and materially harm our business.</w:t>
      </w:r>
    </w:p>
    <w:p>
      <w:pPr>
        <w:spacing w:after="0" w:line="266" w:lineRule="exact"/>
        <w:rPr>
          <w:sz w:val="20"/>
          <w:szCs w:val="20"/>
          <w:color w:val="auto"/>
        </w:rPr>
      </w:pPr>
    </w:p>
    <w:p>
      <w:pPr>
        <w:ind w:left="360" w:right="200"/>
        <w:spacing w:after="0" w:line="262" w:lineRule="auto"/>
        <w:rPr>
          <w:sz w:val="20"/>
          <w:szCs w:val="20"/>
          <w:color w:val="auto"/>
        </w:rPr>
      </w:pPr>
      <w:r>
        <w:rPr>
          <w:rFonts w:ascii="Arial" w:cs="Arial" w:eastAsia="Arial" w:hAnsi="Arial"/>
          <w:sz w:val="17"/>
          <w:szCs w:val="17"/>
          <w:b w:val="1"/>
          <w:bCs w:val="1"/>
          <w:i w:val="1"/>
          <w:iCs w:val="1"/>
          <w:color w:val="auto"/>
        </w:rPr>
        <w:t>Even if we, or any collaborators, obtain marketing approvals for our product candidates, the terms of approvals and ongoing regulation of our products may limit how we, or they, manufacture and market our products, which could materially impair our ability to generate revenue.</w:t>
      </w:r>
    </w:p>
    <w:p>
      <w:pPr>
        <w:spacing w:after="0" w:line="75" w:lineRule="exact"/>
        <w:rPr>
          <w:sz w:val="20"/>
          <w:szCs w:val="20"/>
          <w:color w:val="auto"/>
        </w:rPr>
      </w:pPr>
    </w:p>
    <w:p>
      <w:pPr>
        <w:ind w:left="360" w:right="40" w:firstLine="535"/>
        <w:spacing w:after="0" w:line="245" w:lineRule="auto"/>
        <w:rPr>
          <w:sz w:val="20"/>
          <w:szCs w:val="20"/>
          <w:color w:val="auto"/>
        </w:rPr>
      </w:pPr>
      <w:r>
        <w:rPr>
          <w:rFonts w:ascii="Arial" w:cs="Arial" w:eastAsia="Arial" w:hAnsi="Arial"/>
          <w:sz w:val="17"/>
          <w:szCs w:val="17"/>
          <w:color w:val="auto"/>
        </w:rPr>
        <w:t>Once marketing approval has been granted, an approved product and its manufacturer and marketer are subject to ongoing review and extensive regulation. We, and any collaborators, must therefore comply with requirements concerning advertising and promotion for any of our product candidates for which we or they obtain marketing approval. Promotional communications with respect to prescription drugs are subject to a variety of legal and regulatory restrictions and must be consistent with the information in the product’s approved labeling. Thus, we, and any collaborators will not be able to promote any products we develop for indications or uses for which they are not approved.</w:t>
      </w:r>
    </w:p>
    <w:p>
      <w:pPr>
        <w:spacing w:after="0" w:line="392" w:lineRule="exact"/>
        <w:rPr>
          <w:sz w:val="20"/>
          <w:szCs w:val="20"/>
          <w:color w:val="auto"/>
        </w:rPr>
      </w:pPr>
    </w:p>
    <w:p>
      <w:pPr>
        <w:ind w:left="360" w:right="280" w:firstLine="535"/>
        <w:spacing w:after="0" w:line="245" w:lineRule="auto"/>
        <w:rPr>
          <w:sz w:val="20"/>
          <w:szCs w:val="20"/>
          <w:color w:val="auto"/>
        </w:rPr>
      </w:pPr>
      <w:r>
        <w:rPr>
          <w:rFonts w:ascii="Arial" w:cs="Arial" w:eastAsia="Arial" w:hAnsi="Arial"/>
          <w:sz w:val="17"/>
          <w:szCs w:val="17"/>
          <w:color w:val="auto"/>
        </w:rPr>
        <w:t>In addition, manufacturers of approved products and those manufacturers’ facilities are required to comply with extensive FDA requirements, including ensuring that quality control and manufacturing procedures conform to cGMPs, which include requirements relating to quality control and quality assurance as well as the corresponding maintenance of records and documentation and reporting requirements. We, our third-party manufacturers, any collaborators and their third-party manufacturers could be subject to periodic unannounced inspections by the FDA to monitor and ensure compliance with cGMPs.</w:t>
      </w:r>
    </w:p>
    <w:p>
      <w:pPr>
        <w:spacing w:after="0" w:line="195" w:lineRule="exact"/>
        <w:rPr>
          <w:sz w:val="20"/>
          <w:szCs w:val="20"/>
          <w:color w:val="auto"/>
        </w:rPr>
      </w:pPr>
    </w:p>
    <w:p>
      <w:pPr>
        <w:ind w:left="360" w:firstLine="535"/>
        <w:spacing w:after="0" w:line="250" w:lineRule="auto"/>
        <w:rPr>
          <w:sz w:val="20"/>
          <w:szCs w:val="20"/>
          <w:color w:val="auto"/>
        </w:rPr>
      </w:pPr>
      <w:r>
        <w:rPr>
          <w:rFonts w:ascii="Arial" w:cs="Arial" w:eastAsia="Arial" w:hAnsi="Arial"/>
          <w:sz w:val="17"/>
          <w:szCs w:val="17"/>
          <w:color w:val="auto"/>
        </w:rPr>
        <w:t>Accordingly, assuming we, or any collaborators, receive marketing approval for one or more of our product candidates, we, and any collaborators, and our respective third-party manufacturers will continue to expend time, money and effort in all areas of regulatory compliance, including manufacturing, production, product surveillance and quality control.</w:t>
      </w:r>
    </w:p>
    <w:p>
      <w:pPr>
        <w:spacing w:after="0" w:line="189" w:lineRule="exact"/>
        <w:rPr>
          <w:sz w:val="20"/>
          <w:szCs w:val="20"/>
          <w:color w:val="auto"/>
        </w:rPr>
      </w:pPr>
    </w:p>
    <w:p>
      <w:pPr>
        <w:ind w:left="360" w:right="160" w:firstLine="535"/>
        <w:spacing w:after="0" w:line="247" w:lineRule="auto"/>
        <w:rPr>
          <w:sz w:val="20"/>
          <w:szCs w:val="20"/>
          <w:color w:val="auto"/>
        </w:rPr>
      </w:pPr>
      <w:r>
        <w:rPr>
          <w:rFonts w:ascii="Arial" w:cs="Arial" w:eastAsia="Arial" w:hAnsi="Arial"/>
          <w:sz w:val="17"/>
          <w:szCs w:val="17"/>
          <w:color w:val="auto"/>
        </w:rPr>
        <w:t>If we, and any collaborators, are not able to comply with post-approval regulatory requirements, we, and any collaborators, could have the marketing approvals for our products withdrawn by regulatory authorities and our, or any collaborators’, ability to market any future products could be limited, which could adversely affect our ability to achieve or sustain profitability. Further, the cost of compliance with post-approval regulations may have a negative effect on our operating results and financial condition.</w:t>
      </w:r>
    </w:p>
    <w:p>
      <w:pPr>
        <w:spacing w:after="0" w:line="276" w:lineRule="exact"/>
        <w:rPr>
          <w:sz w:val="20"/>
          <w:szCs w:val="20"/>
          <w:color w:val="auto"/>
        </w:rPr>
      </w:pPr>
    </w:p>
    <w:p>
      <w:pPr>
        <w:ind w:left="360" w:right="200"/>
        <w:spacing w:after="0" w:line="255" w:lineRule="auto"/>
        <w:rPr>
          <w:sz w:val="20"/>
          <w:szCs w:val="20"/>
          <w:color w:val="auto"/>
        </w:rPr>
      </w:pPr>
      <w:r>
        <w:rPr>
          <w:rFonts w:ascii="Arial" w:cs="Arial" w:eastAsia="Arial" w:hAnsi="Arial"/>
          <w:sz w:val="17"/>
          <w:szCs w:val="17"/>
          <w:b w:val="1"/>
          <w:bCs w:val="1"/>
          <w:i w:val="1"/>
          <w:iCs w:val="1"/>
          <w:color w:val="auto"/>
        </w:rPr>
        <w:t>Any product candidate for which we, or any collaborators, obtain marketing approval could be subject to post-marketing restrictions or withdrawal from the market and we, or any collaborators, may be subject to substantial penalties if we, or they, fail to comply with regulatory requirements or if we, or they, experience unanticipated problems with our products when and if any of them are approved.</w:t>
      </w:r>
    </w:p>
    <w:p>
      <w:pPr>
        <w:spacing w:after="0" w:line="81" w:lineRule="exact"/>
        <w:rPr>
          <w:sz w:val="20"/>
          <w:szCs w:val="20"/>
          <w:color w:val="auto"/>
        </w:rPr>
      </w:pPr>
    </w:p>
    <w:p>
      <w:pPr>
        <w:ind w:left="360" w:firstLine="535"/>
        <w:spacing w:after="0" w:line="244" w:lineRule="auto"/>
        <w:rPr>
          <w:sz w:val="20"/>
          <w:szCs w:val="20"/>
          <w:color w:val="auto"/>
        </w:rPr>
      </w:pPr>
      <w:r>
        <w:rPr>
          <w:rFonts w:ascii="Arial" w:cs="Arial" w:eastAsia="Arial" w:hAnsi="Arial"/>
          <w:sz w:val="17"/>
          <w:szCs w:val="17"/>
          <w:color w:val="auto"/>
        </w:rPr>
        <w:t>Any product candidate for which we, or any collaborators, obtain marketing approval, as well as the manufacturing processes, post-approval clinical data, labeling, advertising and promotional activities for such product, will be subject to continual requirements of and review by the FDA, EMA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to the conditions of approval, including</w:t>
      </w:r>
    </w:p>
    <w:p>
      <w:pPr>
        <w:spacing w:after="0" w:line="13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040"/>
          </w:cols>
          <w:pgMar w:left="240" w:top="450" w:right="61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jc w:val="both"/>
        <w:ind w:left="360" w:right="700"/>
        <w:spacing w:after="0" w:line="250" w:lineRule="auto"/>
        <w:rPr>
          <w:sz w:val="20"/>
          <w:szCs w:val="20"/>
          <w:color w:val="auto"/>
        </w:rPr>
      </w:pPr>
      <w:r>
        <w:rPr>
          <w:rFonts w:ascii="Arial" w:cs="Arial" w:eastAsia="Arial" w:hAnsi="Arial"/>
          <w:sz w:val="17"/>
          <w:szCs w:val="17"/>
          <w:color w:val="auto"/>
        </w:rPr>
        <w:t>the requirement to implement a risk evaluation and mitigation strategy. New cancer drugs frequently are indicated only for patient populations that have not responded to an existing therapy or have relapsed. If any of our product candidates receives marketing approval, the accompanying label may limit the approved use of our drug in this way, which could limit sales of the product.</w:t>
      </w:r>
    </w:p>
    <w:p>
      <w:pPr>
        <w:spacing w:after="0" w:line="189" w:lineRule="exact"/>
        <w:rPr>
          <w:sz w:val="20"/>
          <w:szCs w:val="20"/>
          <w:color w:val="auto"/>
        </w:rPr>
      </w:pPr>
    </w:p>
    <w:p>
      <w:pPr>
        <w:ind w:left="360" w:firstLine="535"/>
        <w:spacing w:after="0" w:line="243" w:lineRule="auto"/>
        <w:rPr>
          <w:sz w:val="20"/>
          <w:szCs w:val="20"/>
          <w:color w:val="auto"/>
        </w:rPr>
      </w:pPr>
      <w:r>
        <w:rPr>
          <w:rFonts w:ascii="Arial" w:cs="Arial" w:eastAsia="Arial" w:hAnsi="Arial"/>
          <w:sz w:val="17"/>
          <w:szCs w:val="17"/>
          <w:color w:val="auto"/>
        </w:rPr>
        <w:t>The FDA may also impose requirements for costly post-marketing studies or clinical trials and surveillance to monitor the safety or efficacy of the product, including the adoption and implementation of risk evaluation and mitigation strategies. The FDA and other agencies, including the Department of Justice, or the DOJ, closely regulate and monitor the post-approval marketing and promotion of drugs to ensure they are marketed and distributed only for the approved indications and in accordance with the provisions of the approved labeling. The FDA and DOJ impose stringent restrictions on manufacturers’ communications regarding off-label use, and if we do not market our products for their approved indications, we may be subject to enforcement action for off-label marketing. Violations of the Federal Food, Drug, and Cosmetic Act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w:t>
      </w:r>
    </w:p>
    <w:p>
      <w:pPr>
        <w:spacing w:after="0" w:line="198" w:lineRule="exact"/>
        <w:rPr>
          <w:sz w:val="20"/>
          <w:szCs w:val="20"/>
          <w:color w:val="auto"/>
        </w:rPr>
      </w:pPr>
    </w:p>
    <w:p>
      <w:pPr>
        <w:ind w:left="360" w:right="620" w:firstLine="535"/>
        <w:spacing w:after="0" w:line="259" w:lineRule="auto"/>
        <w:rPr>
          <w:sz w:val="20"/>
          <w:szCs w:val="20"/>
          <w:color w:val="auto"/>
        </w:rPr>
      </w:pPr>
      <w:r>
        <w:rPr>
          <w:rFonts w:ascii="Arial" w:cs="Arial" w:eastAsia="Arial" w:hAnsi="Arial"/>
          <w:sz w:val="17"/>
          <w:szCs w:val="17"/>
          <w:color w:val="auto"/>
        </w:rPr>
        <w:t>In addition, later discovery of previously unknown side effects or other problems with our products or their manufacturers or manufacturing processes, or failure to comply with regulatory requirements, may yield various results, including:</w:t>
      </w:r>
    </w:p>
    <w:p>
      <w:pPr>
        <w:spacing w:after="0" w:line="89" w:lineRule="exact"/>
        <w:rPr>
          <w:sz w:val="20"/>
          <w:szCs w:val="20"/>
          <w:color w:val="auto"/>
        </w:rPr>
      </w:pPr>
    </w:p>
    <w:p>
      <w:pPr>
        <w:ind w:left="1100" w:hanging="210"/>
        <w:spacing w:after="0"/>
        <w:tabs>
          <w:tab w:leader="none" w:pos="11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restrictions on such products, manufacturers or manufacturing processes;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restrictions and warnings on the labeling or marketing of a product;</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restrictions on product distribution or use;</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requirements to conduct post-marketing studies or clinical trials;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warning letters or untitled letters;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withdrawal of the products from the market;</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refusal to approve pending applications or supplements to approved applications that we submit;</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recall of products;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fines, restitution or disgorgement of profits or revenues;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suspension or withdrawal of marketing approvals;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damage to relationships with any potential collaborators;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unfavorable press coverage and damage to our reputation;</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refusal to permit the import or export of our products;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product seizure;</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 or</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litigation involving patients using our products.</w:t>
      </w:r>
    </w:p>
    <w:p>
      <w:pPr>
        <w:spacing w:after="0" w:line="211" w:lineRule="exact"/>
        <w:rPr>
          <w:sz w:val="20"/>
          <w:szCs w:val="20"/>
          <w:color w:val="auto"/>
        </w:rPr>
      </w:pPr>
    </w:p>
    <w:p>
      <w:pPr>
        <w:ind w:left="360" w:right="40" w:firstLine="535"/>
        <w:spacing w:after="0" w:line="248" w:lineRule="auto"/>
        <w:rPr>
          <w:sz w:val="20"/>
          <w:szCs w:val="20"/>
          <w:color w:val="auto"/>
        </w:rPr>
      </w:pPr>
      <w:r>
        <w:rPr>
          <w:rFonts w:ascii="Arial" w:cs="Arial" w:eastAsia="Arial" w:hAnsi="Arial"/>
          <w:sz w:val="17"/>
          <w:szCs w:val="17"/>
          <w:color w:val="auto"/>
        </w:rPr>
        <w:t>Non-compliance with European Union requirements regarding safety monitoring or pharmacovigilance, and with requirements related to the development of products for the pediatric population, can also result in significant financial penalties. Similarly, failure to comply with the European Union’s requirements regarding the protection of personal information can also lead to significant penalties and sanctions.</w:t>
      </w:r>
    </w:p>
    <w:p>
      <w:pPr>
        <w:spacing w:after="0" w:line="325"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020"/>
          </w:cols>
          <w:pgMar w:left="240" w:top="449" w:right="63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40" w:firstLine="535"/>
        <w:spacing w:after="0" w:line="244" w:lineRule="auto"/>
        <w:rPr>
          <w:sz w:val="20"/>
          <w:szCs w:val="20"/>
          <w:color w:val="auto"/>
        </w:rPr>
      </w:pPr>
      <w:r>
        <w:rPr>
          <w:rFonts w:ascii="Arial" w:cs="Arial" w:eastAsia="Arial" w:hAnsi="Arial"/>
          <w:sz w:val="17"/>
          <w:szCs w:val="17"/>
          <w:color w:val="auto"/>
        </w:rPr>
        <w:t>In addition, manufacturers of approved products and those manufacturers’ facilities are required to comply with extensive FDA requirements, including ensuring that quality control and manufacturing procedures conform to cGMPs applicable to drug manufacturers or quality assurance standards applicable to medical device manufacturers, which include requirements relating to quality control and quality assurance as well as the corresponding maintenance of records and documentation and reporting requirements. We, any contract manufacturers we may engage in the future, our collaborators and their contract manufacturers will also be subject to other regulatory requirements, including submissions of safety and other post-marketing information and reports, registration and listing requirements, requirements regarding the distribution of samples to clinicians, recordkeeping, and costly post-marketing studies or clinical trials and surveillance to monitor the safety or efficacy of the product such as the requirement to implement a risk evaluation and mitigation strategy.</w:t>
      </w:r>
    </w:p>
    <w:p>
      <w:pPr>
        <w:spacing w:after="0" w:line="278" w:lineRule="exact"/>
        <w:rPr>
          <w:sz w:val="20"/>
          <w:szCs w:val="20"/>
          <w:color w:val="auto"/>
        </w:rPr>
      </w:pPr>
    </w:p>
    <w:p>
      <w:pPr>
        <w:ind w:left="360"/>
        <w:spacing w:after="0" w:line="284" w:lineRule="auto"/>
        <w:rPr>
          <w:sz w:val="20"/>
          <w:szCs w:val="20"/>
          <w:color w:val="auto"/>
        </w:rPr>
      </w:pPr>
      <w:r>
        <w:rPr>
          <w:rFonts w:ascii="Arial" w:cs="Arial" w:eastAsia="Arial" w:hAnsi="Arial"/>
          <w:sz w:val="17"/>
          <w:szCs w:val="17"/>
          <w:b w:val="1"/>
          <w:bCs w:val="1"/>
          <w:i w:val="1"/>
          <w:iCs w:val="1"/>
          <w:color w:val="auto"/>
        </w:rPr>
        <w:t>Regulatory reform may limit the FDA’s ability to engage in oversight and implementation activities in the normal course, and that could negatively impact our business.</w:t>
      </w:r>
    </w:p>
    <w:p>
      <w:pPr>
        <w:spacing w:after="0" w:line="56" w:lineRule="exact"/>
        <w:rPr>
          <w:sz w:val="20"/>
          <w:szCs w:val="20"/>
          <w:color w:val="auto"/>
        </w:rPr>
      </w:pPr>
    </w:p>
    <w:p>
      <w:pPr>
        <w:ind w:left="360" w:right="40" w:firstLine="535"/>
        <w:spacing w:after="0" w:line="242" w:lineRule="auto"/>
        <w:rPr>
          <w:sz w:val="20"/>
          <w:szCs w:val="20"/>
          <w:color w:val="auto"/>
        </w:rPr>
      </w:pPr>
      <w:r>
        <w:rPr>
          <w:rFonts w:ascii="Arial" w:cs="Arial" w:eastAsia="Arial" w:hAnsi="Arial"/>
          <w:sz w:val="17"/>
          <w:szCs w:val="17"/>
          <w:color w:val="auto"/>
        </w:rPr>
        <w:t>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On January 30, 2017, President Trump issued an executive order, applicable to all executive agencies, including the FDA, that requires that for each notice of proposed rulemaking or final regulation to be issued in fiscal year 2017, the agency shall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In interim guidance issued by the Office of Information and Regulatory Affairs within the Office of Management and Budget on February 2, 2017, the administration indicates that the “two-for-one” provisions may apply not only to agency regulations, but also to significant agency guidance documents. It is difficult to predict how these requirements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288" w:lineRule="exact"/>
        <w:rPr>
          <w:sz w:val="20"/>
          <w:szCs w:val="20"/>
          <w:color w:val="auto"/>
        </w:rPr>
      </w:pPr>
    </w:p>
    <w:p>
      <w:pPr>
        <w:ind w:left="360" w:right="60"/>
        <w:spacing w:after="0" w:line="262" w:lineRule="auto"/>
        <w:rPr>
          <w:sz w:val="20"/>
          <w:szCs w:val="20"/>
          <w:color w:val="auto"/>
        </w:rPr>
      </w:pPr>
      <w:r>
        <w:rPr>
          <w:rFonts w:ascii="Arial" w:cs="Arial" w:eastAsia="Arial" w:hAnsi="Arial"/>
          <w:sz w:val="17"/>
          <w:szCs w:val="17"/>
          <w:b w:val="1"/>
          <w:bCs w:val="1"/>
          <w:i w:val="1"/>
          <w:iCs w:val="1"/>
          <w:color w:val="auto"/>
        </w:rPr>
        <w:t>Our relationships with health care providers, physicians and third-party payors will be subject to applicable anti-kickback, fraud and abuse and other health care laws and regulations, which could expose us to civil, criminal and administrative sanctions, contractual damages, reputational harm and diminished future profits and earnings.</w:t>
      </w:r>
    </w:p>
    <w:p>
      <w:pPr>
        <w:spacing w:after="0" w:line="75" w:lineRule="exact"/>
        <w:rPr>
          <w:sz w:val="20"/>
          <w:szCs w:val="20"/>
          <w:color w:val="auto"/>
        </w:rPr>
      </w:pPr>
    </w:p>
    <w:p>
      <w:pPr>
        <w:ind w:left="360" w:right="60" w:firstLine="535"/>
        <w:spacing w:after="0" w:line="245" w:lineRule="auto"/>
        <w:rPr>
          <w:sz w:val="20"/>
          <w:szCs w:val="20"/>
          <w:color w:val="auto"/>
        </w:rPr>
      </w:pPr>
      <w:r>
        <w:rPr>
          <w:rFonts w:ascii="Arial" w:cs="Arial" w:eastAsia="Arial" w:hAnsi="Arial"/>
          <w:sz w:val="17"/>
          <w:szCs w:val="17"/>
          <w:color w:val="auto"/>
        </w:rPr>
        <w:t>Health care providers, physicians and third-party payors will play a primary role in the recommendation and prescription of any drugs for which we obtain marketing approval. Our future arrangements with third-party payors, health care providers and physicians may expose us to broadly applicable state and federal fraud and abuse and other health care laws and regulations that may constrain the business or financial arrangements and relationships through which we market, sell and distribute any drugs for which we obtain marketing approval. These include the following:</w:t>
      </w:r>
    </w:p>
    <w:p>
      <w:pPr>
        <w:spacing w:after="0" w:line="85" w:lineRule="exact"/>
        <w:rPr>
          <w:sz w:val="20"/>
          <w:szCs w:val="20"/>
          <w:color w:val="auto"/>
        </w:rPr>
      </w:pPr>
    </w:p>
    <w:p>
      <w:pPr>
        <w:ind w:left="1100" w:right="40" w:hanging="210"/>
        <w:spacing w:after="0" w:line="254" w:lineRule="auto"/>
        <w:tabs>
          <w:tab w:leader="none" w:pos="110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 xml:space="preserve">Anti-Kickback Statute, </w:t>
      </w:r>
      <w:r>
        <w:rPr>
          <w:rFonts w:ascii="Arial" w:cs="Arial" w:eastAsia="Arial" w:hAnsi="Arial"/>
          <w:sz w:val="17"/>
          <w:szCs w:val="17"/>
          <w:color w:val="auto"/>
        </w:rPr>
        <w:t>which prohibits, among other things, persons and entities from knowingly and willfully soliciting, offering,</w:t>
      </w:r>
      <w:r>
        <w:rPr>
          <w:rFonts w:ascii="Arial" w:cs="Arial" w:eastAsia="Arial" w:hAnsi="Arial"/>
          <w:sz w:val="17"/>
          <w:szCs w:val="17"/>
          <w:i w:val="1"/>
          <w:iCs w:val="1"/>
          <w:color w:val="auto"/>
        </w:rPr>
        <w:t xml:space="preserve"> </w:t>
      </w:r>
      <w:r>
        <w:rPr>
          <w:rFonts w:ascii="Arial" w:cs="Arial" w:eastAsia="Arial" w:hAnsi="Arial"/>
          <w:sz w:val="17"/>
          <w:szCs w:val="17"/>
          <w:color w:val="auto"/>
        </w:rPr>
        <w:t>paying, or receiving remuneration, directly or indirectly, in cash or in kind, to induce or reward either the referral of an individual for, or the purchasing, ordering, leasing, arranging for, or recommending the purchasing, ordering, or leasing of, any good or service for which payment may be made, in whole or in part, under a federal health care program such as Medicare or Medicaid;</w:t>
      </w:r>
    </w:p>
    <w:p>
      <w:pPr>
        <w:spacing w:after="0" w:line="121"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040"/>
          </w:cols>
          <w:pgMar w:left="240" w:top="449" w:right="61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1100" w:right="40" w:hanging="210"/>
        <w:spacing w:after="0" w:line="249" w:lineRule="auto"/>
        <w:tabs>
          <w:tab w:leader="none" w:pos="110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False Claims Act</w:t>
      </w:r>
      <w:r>
        <w:rPr>
          <w:rFonts w:ascii="Arial" w:cs="Arial" w:eastAsia="Arial" w:hAnsi="Arial"/>
          <w:sz w:val="17"/>
          <w:szCs w:val="17"/>
          <w:color w:val="auto"/>
        </w:rPr>
        <w:t>—the federal civil and criminal false claims laws, including the civil False Claims Act, and Civil Monetary</w:t>
      </w:r>
      <w:r>
        <w:rPr>
          <w:rFonts w:ascii="Arial" w:cs="Arial" w:eastAsia="Arial" w:hAnsi="Arial"/>
          <w:sz w:val="17"/>
          <w:szCs w:val="17"/>
          <w:i w:val="1"/>
          <w:iCs w:val="1"/>
          <w:color w:val="auto"/>
        </w:rPr>
        <w:t xml:space="preserve"> </w:t>
      </w:r>
      <w:r>
        <w:rPr>
          <w:rFonts w:ascii="Arial" w:cs="Arial" w:eastAsia="Arial" w:hAnsi="Arial"/>
          <w:sz w:val="17"/>
          <w:szCs w:val="17"/>
          <w:color w:val="auto"/>
        </w:rPr>
        <w:t>Penalties Law, which prohibit individuals or entities from, among other things, knowingly presenting, or causing to be presented, to the federal government, false or fraudulent claims for payment or knowingly making, using or causing to made or used a false record or statement material to a false or fraudulent claim or to avoid, decrease or conceal an obligation to pay money to the federal government, or knowingly concealing or knowingly and improperly avoiding or decreasing an obligation to pay money to the federal government;</w:t>
      </w:r>
    </w:p>
    <w:p>
      <w:pPr>
        <w:spacing w:after="0" w:line="81" w:lineRule="exact"/>
        <w:rPr>
          <w:rFonts w:ascii="Arial" w:cs="Arial" w:eastAsia="Arial" w:hAnsi="Arial"/>
          <w:sz w:val="17"/>
          <w:szCs w:val="17"/>
          <w:color w:val="auto"/>
        </w:rPr>
      </w:pPr>
    </w:p>
    <w:p>
      <w:pPr>
        <w:ind w:left="1100" w:right="280" w:hanging="210"/>
        <w:spacing w:after="0" w:line="261" w:lineRule="auto"/>
        <w:tabs>
          <w:tab w:leader="none" w:pos="110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HIPAA</w:t>
      </w:r>
      <w:r>
        <w:rPr>
          <w:rFonts w:ascii="Arial" w:cs="Arial" w:eastAsia="Arial" w:hAnsi="Arial"/>
          <w:sz w:val="17"/>
          <w:szCs w:val="17"/>
          <w:color w:val="auto"/>
        </w:rPr>
        <w:t>—the federal Health Insurance Portability and Accountability Act of 1996, or HIPAA, which created additional federal</w:t>
      </w:r>
      <w:r>
        <w:rPr>
          <w:rFonts w:ascii="Arial" w:cs="Arial" w:eastAsia="Arial" w:hAnsi="Arial"/>
          <w:sz w:val="17"/>
          <w:szCs w:val="17"/>
          <w:i w:val="1"/>
          <w:iCs w:val="1"/>
          <w:color w:val="auto"/>
        </w:rPr>
        <w:t xml:space="preserve"> </w:t>
      </w:r>
      <w:r>
        <w:rPr>
          <w:rFonts w:ascii="Arial" w:cs="Arial" w:eastAsia="Arial" w:hAnsi="Arial"/>
          <w:sz w:val="17"/>
          <w:szCs w:val="17"/>
          <w:color w:val="auto"/>
        </w:rPr>
        <w:t>criminal statutes that prohibit, among other things, executing a scheme to defraud any health care benefit program or making false statements relating to health care matters, and apply regardless of the payor (e.g., public or private);</w:t>
      </w:r>
    </w:p>
    <w:p>
      <w:pPr>
        <w:spacing w:after="0" w:line="70" w:lineRule="exact"/>
        <w:rPr>
          <w:rFonts w:ascii="Arial" w:cs="Arial" w:eastAsia="Arial" w:hAnsi="Arial"/>
          <w:sz w:val="17"/>
          <w:szCs w:val="17"/>
          <w:color w:val="auto"/>
        </w:rPr>
      </w:pPr>
    </w:p>
    <w:p>
      <w:pPr>
        <w:ind w:left="1100" w:hanging="210"/>
        <w:spacing w:after="0" w:line="254" w:lineRule="auto"/>
        <w:tabs>
          <w:tab w:leader="none" w:pos="110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HIPAA and HITECH</w:t>
      </w:r>
      <w:r>
        <w:rPr>
          <w:rFonts w:ascii="Arial" w:cs="Arial" w:eastAsia="Arial" w:hAnsi="Arial"/>
          <w:sz w:val="17"/>
          <w:szCs w:val="17"/>
          <w:color w:val="auto"/>
        </w:rPr>
        <w:t>—HIPAA, as amended by the Health Information Technology for Economic and Clinical Health Act, or</w:t>
      </w:r>
      <w:r>
        <w:rPr>
          <w:rFonts w:ascii="Arial" w:cs="Arial" w:eastAsia="Arial" w:hAnsi="Arial"/>
          <w:sz w:val="17"/>
          <w:szCs w:val="17"/>
          <w:i w:val="1"/>
          <w:iCs w:val="1"/>
          <w:color w:val="auto"/>
        </w:rPr>
        <w:t xml:space="preserve"> </w:t>
      </w:r>
      <w:r>
        <w:rPr>
          <w:rFonts w:ascii="Arial" w:cs="Arial" w:eastAsia="Arial" w:hAnsi="Arial"/>
          <w:sz w:val="17"/>
          <w:szCs w:val="17"/>
          <w:color w:val="auto"/>
        </w:rPr>
        <w:t>HITECH, and their implementing regulations, which impose obligations on HIPAA covered entities and their business associates, including mandatory contractual terms and required implementation of administrative, physical and technical safeguards to maintain the privacy and security of individually identifiable health information;</w:t>
      </w:r>
    </w:p>
    <w:p>
      <w:pPr>
        <w:spacing w:after="0" w:line="77" w:lineRule="exact"/>
        <w:rPr>
          <w:rFonts w:ascii="Arial" w:cs="Arial" w:eastAsia="Arial" w:hAnsi="Arial"/>
          <w:sz w:val="17"/>
          <w:szCs w:val="17"/>
          <w:color w:val="auto"/>
        </w:rPr>
      </w:pPr>
    </w:p>
    <w:p>
      <w:pPr>
        <w:ind w:left="1100" w:hanging="210"/>
        <w:spacing w:after="0" w:line="248" w:lineRule="auto"/>
        <w:tabs>
          <w:tab w:leader="none" w:pos="110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Transparency Requirements</w:t>
      </w:r>
      <w:r>
        <w:rPr>
          <w:rFonts w:ascii="Arial" w:cs="Arial" w:eastAsia="Arial" w:hAnsi="Arial"/>
          <w:sz w:val="17"/>
          <w:szCs w:val="17"/>
          <w:color w:val="auto"/>
        </w:rPr>
        <w:t>—the federal physician transparency requirements known as the Physician Payments Sunshine Act,</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Patient Protection and Affordable Care Act, as amended by the Health Care Education Reconciliation Act, or the Affordable Care Act (ACA), which requires manufacturers of drugs, medical devices, biological and medical supplies covered by Medicare, Medicaid, or State Children’s Health Insurance Program (CHIP) to report annually to the Centers for Medicare &amp; Medicaid Services, or CMS, within the United States Department of Health and Human Services, information related to payments and other transfers of value made by that entity to physicians and teaching hospitals, as well as ownership and investment interests held by physicians and their immediate family members; and</w:t>
      </w:r>
    </w:p>
    <w:p>
      <w:pPr>
        <w:spacing w:after="0" w:line="80" w:lineRule="exact"/>
        <w:rPr>
          <w:rFonts w:ascii="Arial" w:cs="Arial" w:eastAsia="Arial" w:hAnsi="Arial"/>
          <w:sz w:val="17"/>
          <w:szCs w:val="17"/>
          <w:color w:val="auto"/>
        </w:rPr>
      </w:pPr>
    </w:p>
    <w:p>
      <w:pPr>
        <w:ind w:left="1100" w:right="200" w:hanging="210"/>
        <w:spacing w:after="0" w:line="254" w:lineRule="auto"/>
        <w:tabs>
          <w:tab w:leader="none" w:pos="110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Analogous State, Local and Foreign Laws</w:t>
      </w:r>
      <w:r>
        <w:rPr>
          <w:rFonts w:ascii="Arial" w:cs="Arial" w:eastAsia="Arial" w:hAnsi="Arial"/>
          <w:sz w:val="17"/>
          <w:szCs w:val="17"/>
          <w:color w:val="auto"/>
        </w:rPr>
        <w:t>—analogous state, local and foreign fraud and abuse laws and regulations, such as</w:t>
      </w:r>
      <w:r>
        <w:rPr>
          <w:rFonts w:ascii="Arial" w:cs="Arial" w:eastAsia="Arial" w:hAnsi="Arial"/>
          <w:sz w:val="17"/>
          <w:szCs w:val="17"/>
          <w:i w:val="1"/>
          <w:iCs w:val="1"/>
          <w:color w:val="auto"/>
        </w:rPr>
        <w:t xml:space="preserve"> </w:t>
      </w:r>
      <w:r>
        <w:rPr>
          <w:rFonts w:ascii="Arial" w:cs="Arial" w:eastAsia="Arial" w:hAnsi="Arial"/>
          <w:sz w:val="17"/>
          <w:szCs w:val="17"/>
          <w:color w:val="auto"/>
        </w:rPr>
        <w:t>state anti-kickback and false claims laws, which may be broader than similar federal laws, can apply to claims involving health care items or services regardless of payor, and are enforced by many different federal and state agencies as well as through private actions.</w:t>
      </w:r>
    </w:p>
    <w:p>
      <w:pPr>
        <w:spacing w:after="0" w:line="187" w:lineRule="exact"/>
        <w:rPr>
          <w:sz w:val="20"/>
          <w:szCs w:val="20"/>
          <w:color w:val="auto"/>
        </w:rPr>
      </w:pPr>
    </w:p>
    <w:p>
      <w:pPr>
        <w:ind w:left="360" w:right="120" w:firstLine="535"/>
        <w:spacing w:after="0" w:line="245" w:lineRule="auto"/>
        <w:rPr>
          <w:sz w:val="20"/>
          <w:szCs w:val="20"/>
          <w:color w:val="auto"/>
        </w:rPr>
      </w:pPr>
      <w:r>
        <w:rPr>
          <w:rFonts w:ascii="Arial" w:cs="Arial" w:eastAsia="Arial" w:hAnsi="Arial"/>
          <w:sz w:val="17"/>
          <w:szCs w:val="17"/>
          <w:color w:val="auto"/>
        </w:rPr>
        <w:t>Some state laws require pharmaceutical companies to comply with the pharmaceutical industry’s voluntary compliance guidelines and the relevant compliance guidance promulgated by the federal government and require drug manufacturers to report information related to payments and other transfers of value to physicians and other health 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95" w:lineRule="exact"/>
        <w:rPr>
          <w:sz w:val="20"/>
          <w:szCs w:val="20"/>
          <w:color w:val="auto"/>
        </w:rPr>
      </w:pPr>
    </w:p>
    <w:p>
      <w:pPr>
        <w:ind w:left="360" w:right="20" w:firstLine="535"/>
        <w:spacing w:after="0" w:line="244"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 care laws and regulations will involve substantial costs. It is possible that governmental authorities will conclude that our business practices may not comply with current or future statutes, regulations or case law involving applicable fraud and abuse or other health care laws and regulations. If our operations are found to be in violation of any of these laws or any other governmental regulations that may apply to us, we may be subject to significant civil, criminal and/or administrative penalties, damages, fines, individual imprisonment, disgorgement, exclusion from government funded health care programs, such as Medicare and Medicaid, contractual damages, reputational harm, administrative burdens, diminished profits and future earnings, additional reporting obligations and oversight if we</w:t>
      </w:r>
    </w:p>
    <w:p>
      <w:pPr>
        <w:spacing w:after="0" w:line="13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020"/>
          </w:cols>
          <w:pgMar w:left="240" w:top="450" w:right="63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jc w:val="both"/>
        <w:ind w:left="360" w:right="80"/>
        <w:spacing w:after="0" w:line="247" w:lineRule="auto"/>
        <w:rPr>
          <w:sz w:val="20"/>
          <w:szCs w:val="20"/>
          <w:color w:val="auto"/>
        </w:rPr>
      </w:pPr>
      <w:r>
        <w:rPr>
          <w:rFonts w:ascii="Arial" w:cs="Arial" w:eastAsia="Arial" w:hAnsi="Arial"/>
          <w:sz w:val="17"/>
          <w:szCs w:val="17"/>
          <w:color w:val="auto"/>
        </w:rPr>
        <w:t>become subject to a corporate integrity agreement or similar agreement to resolve allegations of non-compliance with these laws and the curtailment or restructuring of our operations. If any of the physicians or other health care providers or entities with whom we expect to do business is found to be not in compliance with applicable laws, they may be subject to criminal, civil or administrative sanctions, including exclusions from government funded health care programs.</w:t>
      </w:r>
    </w:p>
    <w:p>
      <w:pPr>
        <w:spacing w:after="0" w:line="192" w:lineRule="exact"/>
        <w:rPr>
          <w:sz w:val="20"/>
          <w:szCs w:val="20"/>
          <w:color w:val="auto"/>
        </w:rPr>
      </w:pPr>
    </w:p>
    <w:p>
      <w:pPr>
        <w:ind w:left="360" w:right="120" w:firstLine="535"/>
        <w:spacing w:after="0" w:line="247" w:lineRule="auto"/>
        <w:rPr>
          <w:sz w:val="20"/>
          <w:szCs w:val="20"/>
          <w:color w:val="auto"/>
        </w:rPr>
      </w:pPr>
      <w:r>
        <w:rPr>
          <w:rFonts w:ascii="Arial" w:cs="Arial" w:eastAsia="Arial" w:hAnsi="Arial"/>
          <w:sz w:val="17"/>
          <w:szCs w:val="17"/>
          <w:color w:val="auto"/>
        </w:rPr>
        <w:t>The provision of benefits or advantages to physicians to induce or encourage the prescription, recommendation, endorsement, purchase, supply, order or use of medicinal products is also prohibited in the European Union. The provision of benefits or advantages to physicians is governed by the national anti-bribery laws of European Union Member States, such as the U.K. Bribery Act 2010, or the Bribery Act. Infringement of these laws could result in substantial fines and imprisonment.</w:t>
      </w:r>
    </w:p>
    <w:p>
      <w:pPr>
        <w:spacing w:after="0" w:line="192" w:lineRule="exact"/>
        <w:rPr>
          <w:sz w:val="20"/>
          <w:szCs w:val="20"/>
          <w:color w:val="auto"/>
        </w:rPr>
      </w:pPr>
    </w:p>
    <w:p>
      <w:pPr>
        <w:ind w:left="360" w:right="180" w:firstLine="535"/>
        <w:spacing w:after="0" w:line="245" w:lineRule="auto"/>
        <w:rPr>
          <w:sz w:val="20"/>
          <w:szCs w:val="20"/>
          <w:color w:val="auto"/>
        </w:rPr>
      </w:pPr>
      <w:r>
        <w:rPr>
          <w:rFonts w:ascii="Arial" w:cs="Arial" w:eastAsia="Arial" w:hAnsi="Arial"/>
          <w:sz w:val="17"/>
          <w:szCs w:val="17"/>
          <w:color w:val="auto"/>
        </w:rPr>
        <w:t>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spacing w:after="0" w:line="195" w:lineRule="exact"/>
        <w:rPr>
          <w:sz w:val="20"/>
          <w:szCs w:val="20"/>
          <w:color w:val="auto"/>
        </w:rPr>
      </w:pPr>
    </w:p>
    <w:p>
      <w:pPr>
        <w:ind w:left="360" w:firstLine="535"/>
        <w:spacing w:after="0" w:line="244" w:lineRule="auto"/>
        <w:rPr>
          <w:sz w:val="20"/>
          <w:szCs w:val="20"/>
          <w:color w:val="auto"/>
        </w:rPr>
      </w:pPr>
      <w:r>
        <w:rPr>
          <w:rFonts w:ascii="Arial" w:cs="Arial" w:eastAsia="Arial" w:hAnsi="Arial"/>
          <w:sz w:val="17"/>
          <w:szCs w:val="17"/>
          <w:color w:val="auto"/>
        </w:rPr>
        <w:t>The collection, use, disclosure, transfer, or other processing of personal data regarding individuals in the EU, including personal health data, is subject to the EU General Data Protection Regulation, or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any European activities.</w:t>
      </w:r>
    </w:p>
    <w:p>
      <w:pPr>
        <w:spacing w:after="0" w:line="281" w:lineRule="exact"/>
        <w:rPr>
          <w:sz w:val="20"/>
          <w:szCs w:val="20"/>
          <w:color w:val="auto"/>
        </w:rPr>
      </w:pPr>
    </w:p>
    <w:p>
      <w:pPr>
        <w:ind w:left="360" w:right="160"/>
        <w:spacing w:after="0" w:line="284" w:lineRule="auto"/>
        <w:rPr>
          <w:sz w:val="20"/>
          <w:szCs w:val="20"/>
          <w:color w:val="auto"/>
        </w:rPr>
      </w:pPr>
      <w:r>
        <w:rPr>
          <w:rFonts w:ascii="Arial" w:cs="Arial" w:eastAsia="Arial" w:hAnsi="Arial"/>
          <w:sz w:val="17"/>
          <w:szCs w:val="17"/>
          <w:b w:val="1"/>
          <w:bCs w:val="1"/>
          <w:i w:val="1"/>
          <w:iCs w:val="1"/>
          <w:color w:val="auto"/>
        </w:rPr>
        <w:t>Current and future legislation may increase the difficulty and cost for us and any collaborators to obtain marketing approval of and commercialize our product candidates and affect the prices we, or they, may obtain.</w:t>
      </w:r>
    </w:p>
    <w:p>
      <w:pPr>
        <w:spacing w:after="0" w:line="56" w:lineRule="exact"/>
        <w:rPr>
          <w:sz w:val="20"/>
          <w:szCs w:val="20"/>
          <w:color w:val="auto"/>
        </w:rPr>
      </w:pPr>
    </w:p>
    <w:p>
      <w:pPr>
        <w:ind w:left="360" w:right="80" w:firstLine="535"/>
        <w:spacing w:after="0" w:line="245" w:lineRule="auto"/>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 approved product.</w:t>
      </w:r>
    </w:p>
    <w:p>
      <w:pPr>
        <w:spacing w:after="0" w:line="192" w:lineRule="exact"/>
        <w:rPr>
          <w:sz w:val="20"/>
          <w:szCs w:val="20"/>
          <w:color w:val="auto"/>
        </w:rPr>
      </w:pPr>
    </w:p>
    <w:p>
      <w:pPr>
        <w:ind w:left="360" w:right="100" w:firstLine="535"/>
        <w:spacing w:after="0" w:line="259" w:lineRule="auto"/>
        <w:rPr>
          <w:sz w:val="20"/>
          <w:szCs w:val="20"/>
          <w:color w:val="auto"/>
        </w:rPr>
      </w:pPr>
      <w:r>
        <w:rPr>
          <w:rFonts w:ascii="Arial" w:cs="Arial" w:eastAsia="Arial" w:hAnsi="Arial"/>
          <w:sz w:val="17"/>
          <w:szCs w:val="17"/>
          <w:color w:val="auto"/>
        </w:rPr>
        <w:t>In the United States, the Medicare Prescription Drug, Improvement, and Modernization Act of 2003, or the MMA, changed the way Medicare covers and pays for pharmaceutical products. The</w:t>
      </w:r>
    </w:p>
    <w:p>
      <w:pPr>
        <w:spacing w:after="0" w:line="11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040"/>
          </w:cols>
          <w:pgMar w:left="240" w:top="449" w:right="61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20"/>
        <w:spacing w:after="0" w:line="245" w:lineRule="auto"/>
        <w:rPr>
          <w:sz w:val="20"/>
          <w:szCs w:val="20"/>
          <w:color w:val="auto"/>
        </w:rPr>
      </w:pPr>
      <w:r>
        <w:rPr>
          <w:rFonts w:ascii="Arial" w:cs="Arial" w:eastAsia="Arial" w:hAnsi="Arial"/>
          <w:sz w:val="17"/>
          <w:szCs w:val="17"/>
          <w:color w:val="auto"/>
        </w:rPr>
        <w:t>legislation expanded Medicare coverage for drug purchases by the elderly and introduced a new reimbursement methodology based on average sales prices for physician-administered drugs. In addition, this legislation provided authority for limiting the number of drugs that will be covered in any therapeutic class. Cost reduction initiatives and other provisions of this legislation could decrease the coverage and price that we receive for any approved products. While the MMA applies only to drug benefits for Medicare beneficiaries, private payors often follow Medicare coverage policy and payment limitations in setting their own reimbursement rates. Therefore, any reduction in reimbursement that results from the MMA may result in a similar reduction in payments from private payors.</w:t>
      </w:r>
    </w:p>
    <w:p>
      <w:pPr>
        <w:spacing w:after="0" w:line="192" w:lineRule="exact"/>
        <w:rPr>
          <w:sz w:val="20"/>
          <w:szCs w:val="20"/>
          <w:color w:val="auto"/>
        </w:rPr>
      </w:pPr>
    </w:p>
    <w:p>
      <w:pPr>
        <w:ind w:left="360" w:right="220" w:firstLine="535"/>
        <w:spacing w:after="0" w:line="259" w:lineRule="auto"/>
        <w:rPr>
          <w:sz w:val="20"/>
          <w:szCs w:val="20"/>
          <w:color w:val="auto"/>
        </w:rPr>
      </w:pPr>
      <w:r>
        <w:rPr>
          <w:rFonts w:ascii="Arial" w:cs="Arial" w:eastAsia="Arial" w:hAnsi="Arial"/>
          <w:sz w:val="17"/>
          <w:szCs w:val="17"/>
          <w:color w:val="auto"/>
        </w:rPr>
        <w:t>In March 2010, then-President Obama signed into law the ACA. Among the provisions of the ACA of importance to our business and our product candidates are the following:</w:t>
      </w:r>
    </w:p>
    <w:p>
      <w:pPr>
        <w:spacing w:after="0" w:line="89" w:lineRule="exact"/>
        <w:rPr>
          <w:sz w:val="20"/>
          <w:szCs w:val="20"/>
          <w:color w:val="auto"/>
        </w:rPr>
      </w:pPr>
    </w:p>
    <w:p>
      <w:pPr>
        <w:ind w:left="1100" w:right="440" w:hanging="210"/>
        <w:spacing w:after="0" w:line="259" w:lineRule="auto"/>
        <w:tabs>
          <w:tab w:leader="none" w:pos="11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specified branded prescription drugs and biologic agents;</w:t>
      </w:r>
    </w:p>
    <w:p>
      <w:pPr>
        <w:spacing w:after="0" w:line="89" w:lineRule="exact"/>
        <w:rPr>
          <w:rFonts w:ascii="Arial" w:cs="Arial" w:eastAsia="Arial" w:hAnsi="Arial"/>
          <w:sz w:val="17"/>
          <w:szCs w:val="17"/>
          <w:color w:val="auto"/>
        </w:rPr>
      </w:pPr>
    </w:p>
    <w:p>
      <w:pPr>
        <w:ind w:left="1100" w:hanging="210"/>
        <w:spacing w:after="0"/>
        <w:tabs>
          <w:tab w:leader="none" w:pos="11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 increase in the statutory minimum rebates a manufacturer must pay under the Medicaid Drug Rebate Program;</w:t>
      </w:r>
    </w:p>
    <w:p>
      <w:pPr>
        <w:spacing w:after="0" w:line="119" w:lineRule="exact"/>
        <w:rPr>
          <w:rFonts w:ascii="Arial" w:cs="Arial" w:eastAsia="Arial" w:hAnsi="Arial"/>
          <w:sz w:val="17"/>
          <w:szCs w:val="17"/>
          <w:color w:val="auto"/>
        </w:rPr>
      </w:pPr>
    </w:p>
    <w:p>
      <w:pPr>
        <w:ind w:left="1100" w:hanging="210"/>
        <w:spacing w:after="0" w:line="259" w:lineRule="auto"/>
        <w:tabs>
          <w:tab w:leader="none" w:pos="11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expansion of federal healthcare fraud and abuse laws, including the civil False Claims Act and the federal Anti-Kickback Statute, new government investigative powers and enhanced penalties for noncompliance;</w:t>
      </w:r>
    </w:p>
    <w:p>
      <w:pPr>
        <w:spacing w:after="0" w:line="89" w:lineRule="exact"/>
        <w:rPr>
          <w:rFonts w:ascii="Arial" w:cs="Arial" w:eastAsia="Arial" w:hAnsi="Arial"/>
          <w:sz w:val="17"/>
          <w:szCs w:val="17"/>
          <w:color w:val="auto"/>
        </w:rPr>
      </w:pPr>
    </w:p>
    <w:p>
      <w:pPr>
        <w:ind w:left="1100" w:right="400" w:hanging="210"/>
        <w:spacing w:after="0" w:line="259" w:lineRule="auto"/>
        <w:tabs>
          <w:tab w:leader="none" w:pos="11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 new Medicare Part D coverage gap discount program, in which manufacturers must agree to offer 50% (and 70% starting January 1, 2019) point-of-sale discounts off negotiated prices;</w:t>
      </w:r>
    </w:p>
    <w:p>
      <w:pPr>
        <w:spacing w:after="0" w:line="89" w:lineRule="exact"/>
        <w:rPr>
          <w:rFonts w:ascii="Arial" w:cs="Arial" w:eastAsia="Arial" w:hAnsi="Arial"/>
          <w:sz w:val="17"/>
          <w:szCs w:val="17"/>
          <w:color w:val="auto"/>
        </w:rPr>
      </w:pPr>
    </w:p>
    <w:p>
      <w:pPr>
        <w:ind w:left="1100" w:hanging="210"/>
        <w:spacing w:after="0"/>
        <w:tabs>
          <w:tab w:leader="none" w:pos="11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extension of manufacturers’ Medicaid rebate liability;</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expansion of eligibility criteria for Medicaid programs;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expansion of the entities eligible for discounts under the Public Health Service pharmaceutical pricing program;</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new requirements to report certain financial arrangements with physicians and teaching hospitals;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 new requirement to annually report drug samples that manufacturers and distributors provide to physicians; and</w:t>
      </w:r>
    </w:p>
    <w:p>
      <w:pPr>
        <w:spacing w:after="0" w:line="119" w:lineRule="exact"/>
        <w:rPr>
          <w:rFonts w:ascii="Arial" w:cs="Arial" w:eastAsia="Arial" w:hAnsi="Arial"/>
          <w:sz w:val="17"/>
          <w:szCs w:val="17"/>
          <w:color w:val="auto"/>
        </w:rPr>
      </w:pPr>
    </w:p>
    <w:p>
      <w:pPr>
        <w:ind w:left="1100" w:right="740" w:hanging="210"/>
        <w:spacing w:after="0" w:line="259" w:lineRule="auto"/>
        <w:tabs>
          <w:tab w:leader="none" w:pos="11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 new Patient-Centered Outcomes Research Institute to oversee, identify priorities in, and conduct comparative clinical effectiveness research, along with funding for such research.</w:t>
      </w:r>
    </w:p>
    <w:p>
      <w:pPr>
        <w:spacing w:after="0" w:line="181" w:lineRule="exact"/>
        <w:rPr>
          <w:sz w:val="20"/>
          <w:szCs w:val="20"/>
          <w:color w:val="auto"/>
        </w:rPr>
      </w:pPr>
    </w:p>
    <w:p>
      <w:pPr>
        <w:ind w:left="360" w:right="60" w:firstLine="535"/>
        <w:spacing w:after="0" w:line="243" w:lineRule="auto"/>
        <w:rPr>
          <w:sz w:val="20"/>
          <w:szCs w:val="20"/>
          <w:color w:val="auto"/>
        </w:rPr>
      </w:pPr>
      <w:r>
        <w:rPr>
          <w:rFonts w:ascii="Arial" w:cs="Arial" w:eastAsia="Arial" w:hAnsi="Arial"/>
          <w:sz w:val="17"/>
          <w:szCs w:val="17"/>
          <w:color w:val="auto"/>
        </w:rPr>
        <w:t>In addition, other legislative changes have been proposed and adopted since the ACA was enacted. These changes include the Budget Control Act of 2011, which, among other things, led to aggregate reductions to Medicare payments to providers of up to 2% per fiscal year that started in 2013 and, due to subsequent legislative amendments to the statute, will stay in effect through 2027 unless additional congressional action is taken, and the American Taxpayer Relief Act of 2012, which, among other things, reduced Medicare payments to several types of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of our product candidates for which we may obtain marketing approval or the frequency with which any such product candidate is prescribed or used. Further, there have been several recent U.S. congressional inquiries and proposed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w:t>
      </w:r>
    </w:p>
    <w:p>
      <w:pPr>
        <w:spacing w:after="0" w:line="196" w:lineRule="exact"/>
        <w:rPr>
          <w:sz w:val="20"/>
          <w:szCs w:val="20"/>
          <w:color w:val="auto"/>
        </w:rPr>
      </w:pPr>
    </w:p>
    <w:p>
      <w:pPr>
        <w:ind w:left="360" w:right="380" w:firstLine="535"/>
        <w:spacing w:after="0" w:line="259" w:lineRule="auto"/>
        <w:rPr>
          <w:sz w:val="20"/>
          <w:szCs w:val="20"/>
          <w:color w:val="auto"/>
        </w:rPr>
      </w:pPr>
      <w:r>
        <w:rPr>
          <w:rFonts w:ascii="Arial" w:cs="Arial" w:eastAsia="Arial" w:hAnsi="Arial"/>
          <w:sz w:val="17"/>
          <w:szCs w:val="17"/>
          <w:color w:val="auto"/>
        </w:rPr>
        <w:t>We expect that these healthcare reforms, as well as other healthcare reform measures that may be adopted in the future, may result in additional reductions in Medicare and other healthcare funding,</w:t>
      </w:r>
    </w:p>
    <w:p>
      <w:pPr>
        <w:spacing w:after="0" w:line="11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000"/>
          </w:cols>
          <w:pgMar w:left="240" w:top="450" w:right="65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80"/>
        <w:spacing w:after="0" w:line="245" w:lineRule="auto"/>
        <w:rPr>
          <w:sz w:val="20"/>
          <w:szCs w:val="20"/>
          <w:color w:val="auto"/>
        </w:rPr>
      </w:pPr>
      <w:r>
        <w:rPr>
          <w:rFonts w:ascii="Arial" w:cs="Arial" w:eastAsia="Arial" w:hAnsi="Arial"/>
          <w:sz w:val="17"/>
          <w:szCs w:val="17"/>
          <w:color w:val="auto"/>
        </w:rPr>
        <w:t>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195" w:lineRule="exact"/>
        <w:rPr>
          <w:sz w:val="20"/>
          <w:szCs w:val="20"/>
          <w:color w:val="auto"/>
        </w:rPr>
      </w:pPr>
    </w:p>
    <w:p>
      <w:pPr>
        <w:ind w:left="360" w:firstLine="535"/>
        <w:spacing w:after="0" w:line="242" w:lineRule="auto"/>
        <w:rPr>
          <w:sz w:val="20"/>
          <w:szCs w:val="20"/>
          <w:color w:val="auto"/>
        </w:rPr>
      </w:pPr>
      <w:r>
        <w:rPr>
          <w:rFonts w:ascii="Arial" w:cs="Arial" w:eastAsia="Arial" w:hAnsi="Arial"/>
          <w:sz w:val="17"/>
          <w:szCs w:val="17"/>
          <w:color w:val="auto"/>
        </w:rPr>
        <w:t>With enactment of the Tax Cuts and Jobs Act of 2017, which was signed by the President on December 22, 2017, Congress repealed the “individual mandate.” The repeal of this provision, which requires most Americans to carry a minimal level of health insurance, will become effective in 2019. According to the Congressional Budget Office, the repeal of the individual mandate will cause 13 million fewer Americans to be insured in 2027 and premiums in insurance markets may rise. Additionally, on January 22, 2018, President Trump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among other things, amends the ACA, effective January 1, 2019, to increase from 50 percent to 70 percent the point-of-sale discount that is owed by pharmaceutical manufacturers who participate in Medicare Part D and to reduce the coverage gap in most Medicare drug plans, commonly referred to as the “donut hole.” Further, each chamber of the Congress has put forth multiple bills designed to repeal or repeal and replace portions of the ACA. Although none of these measures has been enacted by Congress to date, Congress may consider other legislation to repeal and replace elements of the ACA. The Congress will likely consider other legislation to replace elements of the ACA, during the next Congressional session.</w:t>
      </w:r>
    </w:p>
    <w:p>
      <w:pPr>
        <w:spacing w:after="0" w:line="204" w:lineRule="exact"/>
        <w:rPr>
          <w:sz w:val="20"/>
          <w:szCs w:val="20"/>
          <w:color w:val="auto"/>
        </w:rPr>
      </w:pPr>
    </w:p>
    <w:p>
      <w:pPr>
        <w:ind w:left="360" w:right="40" w:firstLine="535"/>
        <w:spacing w:after="0" w:line="243" w:lineRule="auto"/>
        <w:rPr>
          <w:sz w:val="20"/>
          <w:szCs w:val="20"/>
          <w:color w:val="auto"/>
        </w:rPr>
      </w:pPr>
      <w:r>
        <w:rPr>
          <w:rFonts w:ascii="Arial" w:cs="Arial" w:eastAsia="Arial" w:hAnsi="Arial"/>
          <w:sz w:val="17"/>
          <w:szCs w:val="17"/>
          <w:color w:val="auto"/>
        </w:rPr>
        <w:t>The Trump Administration has also taken executive actions to undermine or delay implementation of the ACA. In January 2017, President Trump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In October 2017, the President signed a second Executive Order allowing for the use of association health plans and short-term health insurance, which may provide fewer health benefits than the plans sold through the ACA exchanges. At the same time, the Trump Administration announced that it will discontinue the payment of cost-sharing reduction, or CSR, payments to insurance companies until Congress approves the appropriation of funds for such CSR payments. The loss of the CSR payments is expected to increase premiums on certain policies issued by qualified health plans under the ACA. A bipartisan bill to appropriate funds for CSR payments was introduced in the Senate, but the future of that bill is uncertain. We will continue to evaluate the effect that the ACA and its possible repeal and replacement could have on our business.</w:t>
      </w:r>
    </w:p>
    <w:p>
      <w:pPr>
        <w:spacing w:after="0" w:line="197" w:lineRule="exact"/>
        <w:rPr>
          <w:sz w:val="20"/>
          <w:szCs w:val="20"/>
          <w:color w:val="auto"/>
        </w:rPr>
      </w:pPr>
    </w:p>
    <w:p>
      <w:pPr>
        <w:ind w:left="360" w:firstLine="535"/>
        <w:spacing w:after="0" w:line="243" w:lineRule="auto"/>
        <w:rPr>
          <w:sz w:val="20"/>
          <w:szCs w:val="20"/>
          <w:color w:val="auto"/>
        </w:rPr>
      </w:pPr>
      <w:r>
        <w:rPr>
          <w:rFonts w:ascii="Arial" w:cs="Arial" w:eastAsia="Arial" w:hAnsi="Arial"/>
          <w:sz w:val="17"/>
          <w:szCs w:val="17"/>
          <w:color w:val="auto"/>
        </w:rPr>
        <w:t>The costs of prescription pharmaceuticals has also been the subject of considerable discussion in the United States, and members of Congress and the Trump Administration have stated that they will address such costs through new legislative and administrative measures. To date, there have been several recent U.S. congressional inquiries and proposed and enacted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the Trump Administration’s budget proposal for fiscal year 2019 contains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While any proposed measures will</w:t>
      </w:r>
    </w:p>
    <w:p>
      <w:pPr>
        <w:spacing w:after="0" w:line="133"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040"/>
          </w:cols>
          <w:pgMar w:left="240" w:top="449" w:right="61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spacing w:after="0" w:line="259" w:lineRule="auto"/>
        <w:rPr>
          <w:sz w:val="20"/>
          <w:szCs w:val="20"/>
          <w:color w:val="auto"/>
        </w:rPr>
      </w:pPr>
      <w:r>
        <w:rPr>
          <w:rFonts w:ascii="Arial" w:cs="Arial" w:eastAsia="Arial" w:hAnsi="Arial"/>
          <w:sz w:val="17"/>
          <w:szCs w:val="17"/>
          <w:color w:val="auto"/>
        </w:rPr>
        <w:t>require authorization through additional legislation to become effective, Congress and the Trump Administration have each indicated that it will continue to seek new legislative and/or administrative measures to control drug costs.</w:t>
      </w:r>
    </w:p>
    <w:p>
      <w:pPr>
        <w:spacing w:after="0" w:line="181" w:lineRule="exact"/>
        <w:rPr>
          <w:sz w:val="20"/>
          <w:szCs w:val="20"/>
          <w:color w:val="auto"/>
        </w:rPr>
      </w:pPr>
    </w:p>
    <w:p>
      <w:pPr>
        <w:ind w:left="360" w:right="20" w:firstLine="535"/>
        <w:spacing w:after="0" w:line="243" w:lineRule="auto"/>
        <w:rPr>
          <w:sz w:val="20"/>
          <w:szCs w:val="20"/>
          <w:color w:val="auto"/>
        </w:rPr>
      </w:pPr>
      <w:r>
        <w:rPr>
          <w:rFonts w:ascii="Arial" w:cs="Arial" w:eastAsia="Arial" w:hAnsi="Arial"/>
          <w:sz w:val="17"/>
          <w:szCs w:val="17"/>
          <w:color w:val="auto"/>
        </w:rPr>
        <w:t>In addition, on May 11, 2018, the Trump Administration issued a plan to lower drug prices. Under this blueprint for action, the Trump Administration indicated that the Department of Health and Human Services (HHS) will: take steps to end the gaming of regulatory and patent processes by drug makers to unfairly protect monopolies; advance biosimilars and generics to boost price competition; evaluate the inclusion of prices in drug makers’ ads to enhance price competition; speed access to and lower the cost of new drugs by clarifying policies for sharing information between insurers and drug makers; avoid excessive pricing by relying more on value-based pricing by expanding outcome-based payments in Medicare and Medicaid; work to give Part D plan sponsors more negotiation power with drug makers; examine which Medicare Part B drugs could be negotiated for a lower price by Part D plans, and improving the design of the Part B Competitive Acquisition Program; update Medicare’s drug-pricing dashboard to increase transparency; prohibit Part D contracts that include “gag rules” that prevent pharmacists from informing patients when they could pay less out-of-pocket by not using insurance; and require that Part D plan members be provided with an annual statement of plan payments, out-of-pocket spending, and drug price increases.</w:t>
      </w:r>
    </w:p>
    <w:p>
      <w:pPr>
        <w:spacing w:after="0" w:line="394" w:lineRule="exact"/>
        <w:rPr>
          <w:sz w:val="20"/>
          <w:szCs w:val="20"/>
          <w:color w:val="auto"/>
        </w:rPr>
      </w:pPr>
    </w:p>
    <w:p>
      <w:pPr>
        <w:ind w:left="360" w:right="80" w:firstLine="535"/>
        <w:spacing w:after="0" w:line="244" w:lineRule="auto"/>
        <w:rPr>
          <w:sz w:val="20"/>
          <w:szCs w:val="20"/>
          <w:color w:val="auto"/>
        </w:rPr>
      </w:pPr>
      <w:r>
        <w:rPr>
          <w:rFonts w:ascii="Arial" w:cs="Arial" w:eastAsia="Arial" w:hAnsi="Arial"/>
          <w:sz w:val="17"/>
          <w:szCs w:val="17"/>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p>
    <w:p>
      <w:pPr>
        <w:spacing w:after="0" w:line="394" w:lineRule="exact"/>
        <w:rPr>
          <w:sz w:val="20"/>
          <w:szCs w:val="20"/>
          <w:color w:val="auto"/>
        </w:rPr>
      </w:pPr>
    </w:p>
    <w:p>
      <w:pPr>
        <w:ind w:left="360" w:right="280" w:firstLine="535"/>
        <w:spacing w:after="0" w:line="245" w:lineRule="auto"/>
        <w:rPr>
          <w:sz w:val="20"/>
          <w:szCs w:val="20"/>
          <w:color w:val="auto"/>
        </w:rPr>
      </w:pPr>
      <w:r>
        <w:rPr>
          <w:rFonts w:ascii="Arial" w:cs="Arial" w:eastAsia="Arial" w:hAnsi="Arial"/>
          <w:sz w:val="17"/>
          <w:szCs w:val="17"/>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Increased scrutiny by the U.S. Congress of the FDA’s approval process may significantly delay or prevent marketing approval, as well as subject us to more stringent product labeling and post-marketing testing and other requirements.</w:t>
      </w:r>
    </w:p>
    <w:p>
      <w:pPr>
        <w:spacing w:after="0" w:line="280" w:lineRule="exact"/>
        <w:rPr>
          <w:sz w:val="20"/>
          <w:szCs w:val="20"/>
          <w:color w:val="auto"/>
        </w:rPr>
      </w:pPr>
    </w:p>
    <w:p>
      <w:pPr>
        <w:ind w:left="360" w:right="280"/>
        <w:spacing w:after="0" w:line="284" w:lineRule="auto"/>
        <w:rPr>
          <w:sz w:val="20"/>
          <w:szCs w:val="20"/>
          <w:color w:val="auto"/>
        </w:rPr>
      </w:pPr>
      <w:r>
        <w:rPr>
          <w:rFonts w:ascii="Arial" w:cs="Arial" w:eastAsia="Arial" w:hAnsi="Arial"/>
          <w:sz w:val="17"/>
          <w:szCs w:val="17"/>
          <w:b w:val="1"/>
          <w:bCs w:val="1"/>
          <w:i w:val="1"/>
          <w:iCs w:val="1"/>
          <w:color w:val="auto"/>
        </w:rPr>
        <w:t>Governments outside of the United States tend to impose strict price controls, which may adversely affect our revenues from the sales of drugs, if any.</w:t>
      </w:r>
    </w:p>
    <w:p>
      <w:pPr>
        <w:spacing w:after="0" w:line="160" w:lineRule="exact"/>
        <w:rPr>
          <w:sz w:val="20"/>
          <w:szCs w:val="20"/>
          <w:color w:val="auto"/>
        </w:rPr>
      </w:pPr>
    </w:p>
    <w:p>
      <w:pPr>
        <w:ind w:left="360" w:firstLine="535"/>
        <w:spacing w:after="0" w:line="245" w:lineRule="auto"/>
        <w:rPr>
          <w:sz w:val="20"/>
          <w:szCs w:val="20"/>
          <w:color w:val="auto"/>
        </w:rPr>
      </w:pPr>
      <w:r>
        <w:rPr>
          <w:rFonts w:ascii="Arial" w:cs="Arial" w:eastAsia="Arial" w:hAnsi="Arial"/>
          <w:sz w:val="17"/>
          <w:szCs w:val="17"/>
          <w:color w:val="auto"/>
        </w:rPr>
        <w:t>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or our collaborators, may be required to conduct a clinical trial that compares the cost-effectiveness of our drug to other available therapies. If reimbursement of our drugs is unavailable or limited in scope or amount, or if pricing is set at unsatisfactory levels, our business could be materially harmed.</w:t>
      </w:r>
    </w:p>
    <w:p>
      <w:pPr>
        <w:spacing w:after="0" w:line="13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040"/>
          </w:cols>
          <w:pgMar w:left="240" w:top="449" w:right="61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jc w:val="both"/>
        <w:ind w:left="360" w:right="180"/>
        <w:spacing w:after="0" w:line="262" w:lineRule="auto"/>
        <w:rPr>
          <w:sz w:val="20"/>
          <w:szCs w:val="20"/>
          <w:color w:val="auto"/>
        </w:rPr>
      </w:pPr>
      <w:r>
        <w:rPr>
          <w:rFonts w:ascii="Arial" w:cs="Arial" w:eastAsia="Arial" w:hAnsi="Arial"/>
          <w:sz w:val="17"/>
          <w:szCs w:val="17"/>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 which could adversely affect our business, results of operations and financial condition.</w:t>
      </w:r>
    </w:p>
    <w:p>
      <w:pPr>
        <w:spacing w:after="0" w:line="75" w:lineRule="exact"/>
        <w:rPr>
          <w:sz w:val="20"/>
          <w:szCs w:val="20"/>
          <w:color w:val="auto"/>
        </w:rPr>
      </w:pPr>
    </w:p>
    <w:p>
      <w:pPr>
        <w:ind w:left="360" w:firstLine="535"/>
        <w:spacing w:after="0" w:line="244" w:lineRule="auto"/>
        <w:rPr>
          <w:sz w:val="20"/>
          <w:szCs w:val="20"/>
          <w:color w:val="auto"/>
        </w:rPr>
      </w:pPr>
      <w:r>
        <w:rPr>
          <w:rFonts w:ascii="Arial" w:cs="Arial" w:eastAsia="Arial" w:hAnsi="Arial"/>
          <w:sz w:val="17"/>
          <w:szCs w:val="17"/>
          <w:color w:val="auto"/>
        </w:rPr>
        <w:t>Our operations are subject to anti-corruption laws, including the FCPA, the Bribery Act, and other anticorruption laws that apply in countries where we do business and may do business in the future. The FCPA, the Bribery Act, and these other laws generally prohibit us, our officers and our employees and intermediaries from bribing, being bribed or making other prohibited payments to government officials or other persons to obtain or retain business or gain some other business advantage. We may in the future operate in jurisdictions that pose a high risk of potential FCPA or Bribery Act violations, and we may participate in collaborations and relationships with third parties whose actions could potentially subject us to liability under the FCPA, the Bribery Act, or local anti-corruption laws. In addition, we cannot predict the nature, scope or effect of future regulatory requirements to which our international operations might be subject or the manner in which existing laws might be administered or interpreted.</w:t>
      </w:r>
    </w:p>
    <w:p>
      <w:pPr>
        <w:spacing w:after="0" w:line="193" w:lineRule="exact"/>
        <w:rPr>
          <w:sz w:val="20"/>
          <w:szCs w:val="20"/>
          <w:color w:val="auto"/>
        </w:rPr>
      </w:pPr>
    </w:p>
    <w:p>
      <w:pPr>
        <w:jc w:val="both"/>
        <w:ind w:left="360" w:firstLine="535"/>
        <w:spacing w:after="0" w:line="247" w:lineRule="auto"/>
        <w:rPr>
          <w:sz w:val="20"/>
          <w:szCs w:val="20"/>
          <w:color w:val="auto"/>
        </w:rPr>
      </w:pPr>
      <w:r>
        <w:rPr>
          <w:rFonts w:ascii="Arial" w:cs="Arial" w:eastAsia="Arial" w:hAnsi="Arial"/>
          <w:sz w:val="17"/>
          <w:szCs w:val="17"/>
          <w:color w:val="auto"/>
        </w:rPr>
        <w:t>We are also subject to other laws and regulations governing our international operations, including regulations administered by the governments of the United States, United Kingdom, and authorities in the European Union, including applicable export control regulations, economic sanctions on countries and persons, customs requirements and currency exchange regulations, which we collectively refer to as Trade Control Laws.</w:t>
      </w:r>
    </w:p>
    <w:p>
      <w:pPr>
        <w:spacing w:after="0" w:line="192" w:lineRule="exact"/>
        <w:rPr>
          <w:sz w:val="20"/>
          <w:szCs w:val="20"/>
          <w:color w:val="auto"/>
        </w:rPr>
      </w:pPr>
    </w:p>
    <w:p>
      <w:pPr>
        <w:ind w:left="360" w:right="40" w:firstLine="535"/>
        <w:spacing w:after="0" w:line="244" w:lineRule="auto"/>
        <w:rPr>
          <w:sz w:val="20"/>
          <w:szCs w:val="20"/>
          <w:color w:val="auto"/>
        </w:rPr>
      </w:pPr>
      <w:r>
        <w:rPr>
          <w:rFonts w:ascii="Arial" w:cs="Arial" w:eastAsia="Arial" w:hAnsi="Arial"/>
          <w:sz w:val="17"/>
          <w:szCs w:val="17"/>
          <w:color w:val="auto"/>
        </w:rPr>
        <w:t>There is no assurance that we will be completely effective in ensuring our compliance with all applicable anti-corruption laws, including the FCPA, the Bribery Act, or other legal requirements, including Trade Control Laws. If we are not in compliance with the FCPA, the Bribery Act,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The Securities and Exchange Commission, or SEC, also may suspend or bar issuers from trading securities on U.S. exchanges for violations of the FCPA’s accounting provisions. Likewise, any investigation of any potential violations of the FCPA, the Bribery Act, other anti-corruption laws or Trade Control Laws by U.S., U.K. or other authorities could also have an adverse impact on our reputation, our business, results of operations and financial condition.</w:t>
      </w:r>
    </w:p>
    <w:p>
      <w:pPr>
        <w:spacing w:after="0" w:line="278" w:lineRule="exact"/>
        <w:rPr>
          <w:sz w:val="20"/>
          <w:szCs w:val="20"/>
          <w:color w:val="auto"/>
        </w:rPr>
      </w:pPr>
    </w:p>
    <w:p>
      <w:pPr>
        <w:ind w:left="360" w:right="40"/>
        <w:spacing w:after="0" w:line="284" w:lineRule="auto"/>
        <w:rPr>
          <w:sz w:val="20"/>
          <w:szCs w:val="20"/>
          <w:color w:val="auto"/>
        </w:rPr>
      </w:pPr>
      <w:r>
        <w:rPr>
          <w:rFonts w:ascii="Arial" w:cs="Arial" w:eastAsia="Arial" w:hAnsi="Arial"/>
          <w:sz w:val="17"/>
          <w:szCs w:val="17"/>
          <w:b w:val="1"/>
          <w:bCs w:val="1"/>
          <w:i w:val="1"/>
          <w:iCs w:val="1"/>
          <w:color w:val="auto"/>
        </w:rPr>
        <w:t>If we fail to comply with environmental, health and safety laws and regulations, we could become subject to fines or penalties or incur costs that could significantly harm our business.</w:t>
      </w:r>
    </w:p>
    <w:p>
      <w:pPr>
        <w:spacing w:after="0" w:line="56" w:lineRule="exact"/>
        <w:rPr>
          <w:sz w:val="20"/>
          <w:szCs w:val="20"/>
          <w:color w:val="auto"/>
        </w:rPr>
      </w:pPr>
    </w:p>
    <w:p>
      <w:pPr>
        <w:ind w:left="360" w:firstLine="535"/>
        <w:spacing w:after="0" w:line="244"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Although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392" w:lineRule="exact"/>
        <w:rPr>
          <w:sz w:val="20"/>
          <w:szCs w:val="20"/>
          <w:color w:val="auto"/>
        </w:rPr>
      </w:pPr>
    </w:p>
    <w:p>
      <w:pPr>
        <w:ind w:left="360" w:right="240" w:firstLine="535"/>
        <w:spacing w:after="0" w:line="250" w:lineRule="auto"/>
        <w:rPr>
          <w:sz w:val="20"/>
          <w:szCs w:val="20"/>
          <w:color w:val="auto"/>
        </w:rPr>
      </w:pPr>
      <w:r>
        <w:rPr>
          <w:rFonts w:ascii="Arial" w:cs="Arial" w:eastAsia="Arial" w:hAnsi="Arial"/>
          <w:sz w:val="17"/>
          <w:szCs w:val="17"/>
          <w:color w:val="auto"/>
        </w:rPr>
        <w:t>We maintain workers’ compensation insurance to cover costs and expenses we may incur due to injuries to our employees resulting from the use of hazardous materials, but this insurance may not provide adequate coverage against potential liabilities. We do not maintain insurance for environmental</w:t>
      </w:r>
    </w:p>
    <w:p>
      <w:pPr>
        <w:spacing w:after="0" w:line="123"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040"/>
          </w:cols>
          <w:pgMar w:left="240" w:top="449" w:right="61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200"/>
        <w:spacing w:after="0" w:line="247" w:lineRule="auto"/>
        <w:rPr>
          <w:sz w:val="20"/>
          <w:szCs w:val="20"/>
          <w:color w:val="auto"/>
        </w:rPr>
      </w:pPr>
      <w:r>
        <w:rPr>
          <w:rFonts w:ascii="Arial" w:cs="Arial" w:eastAsia="Arial" w:hAnsi="Arial"/>
          <w:sz w:val="17"/>
          <w:szCs w:val="17"/>
          <w:color w:val="auto"/>
        </w:rPr>
        <w:t>liability or toxic tort claims that may be asserted against us. In addition, we may incur substantial costs in order to comply with current or future environmental, health and safety laws and regulations. Current or future environmental laws and regulations may impair our research, development or production efforts, which could adversely affect our business, financial condition, results of operations or prospects. In addition, failure to comply with these laws and regulations may result in substantial fines, penalties or other sanctions.</w:t>
      </w:r>
    </w:p>
    <w:p>
      <w:pPr>
        <w:spacing w:after="0" w:line="274" w:lineRule="exact"/>
        <w:rPr>
          <w:sz w:val="20"/>
          <w:szCs w:val="20"/>
          <w:color w:val="auto"/>
        </w:rPr>
      </w:pPr>
    </w:p>
    <w:p>
      <w:pPr>
        <w:ind w:left="3320"/>
        <w:spacing w:after="0"/>
        <w:rPr>
          <w:sz w:val="20"/>
          <w:szCs w:val="20"/>
          <w:color w:val="auto"/>
        </w:rPr>
      </w:pPr>
      <w:r>
        <w:rPr>
          <w:rFonts w:ascii="Arial" w:cs="Arial" w:eastAsia="Arial" w:hAnsi="Arial"/>
          <w:sz w:val="17"/>
          <w:szCs w:val="17"/>
          <w:b w:val="1"/>
          <w:bCs w:val="1"/>
          <w:color w:val="auto"/>
        </w:rPr>
        <w:t>Risks Related to Employee Matters and Managing Growth</w:t>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Our future success depends on our ability to retain key executives and to attract, retain and motivate qualified personnel.</w:t>
      </w:r>
    </w:p>
    <w:p>
      <w:pPr>
        <w:spacing w:after="0" w:line="126" w:lineRule="exact"/>
        <w:rPr>
          <w:sz w:val="20"/>
          <w:szCs w:val="20"/>
          <w:color w:val="auto"/>
        </w:rPr>
      </w:pPr>
    </w:p>
    <w:p>
      <w:pPr>
        <w:jc w:val="both"/>
        <w:ind w:left="360" w:right="240" w:firstLine="535"/>
        <w:spacing w:after="0" w:line="241" w:lineRule="auto"/>
        <w:rPr>
          <w:sz w:val="20"/>
          <w:szCs w:val="20"/>
          <w:color w:val="auto"/>
        </w:rPr>
      </w:pPr>
      <w:r>
        <w:rPr>
          <w:rFonts w:ascii="Arial" w:cs="Arial" w:eastAsia="Arial" w:hAnsi="Arial"/>
          <w:sz w:val="17"/>
          <w:szCs w:val="17"/>
          <w:color w:val="auto"/>
        </w:rPr>
        <w:t>We are highly dependent on the research, development and clinical expertise of our management and scientific teams. Although we have entered into employment agreements with our executive officers, each of them may terminate their employment with us at any time. We also benefit from the research expertise of Professor Craig Crews, Ph.D., our scientific founder and Chief Scientific Advisor.</w:t>
      </w:r>
    </w:p>
    <w:p>
      <w:pPr>
        <w:spacing w:after="0" w:line="1" w:lineRule="exact"/>
        <w:rPr>
          <w:sz w:val="20"/>
          <w:szCs w:val="20"/>
          <w:color w:val="auto"/>
        </w:rPr>
      </w:pPr>
    </w:p>
    <w:p>
      <w:pPr>
        <w:ind w:left="360"/>
        <w:spacing w:after="0" w:line="259" w:lineRule="auto"/>
        <w:rPr>
          <w:sz w:val="20"/>
          <w:szCs w:val="20"/>
          <w:color w:val="auto"/>
        </w:rPr>
      </w:pPr>
      <w:r>
        <w:rPr>
          <w:rFonts w:ascii="Arial" w:cs="Arial" w:eastAsia="Arial" w:hAnsi="Arial"/>
          <w:sz w:val="17"/>
          <w:szCs w:val="17"/>
          <w:color w:val="auto"/>
        </w:rPr>
        <w:t>Although we have entered into a consulting agreement with Professor Crews, he may terminate his relationship with us at any time. We do not maintain “key person” insurance for any of our executives or other employees.</w:t>
      </w:r>
    </w:p>
    <w:p>
      <w:pPr>
        <w:spacing w:after="0" w:line="181" w:lineRule="exact"/>
        <w:rPr>
          <w:sz w:val="20"/>
          <w:szCs w:val="20"/>
          <w:color w:val="auto"/>
        </w:rPr>
      </w:pPr>
    </w:p>
    <w:p>
      <w:pPr>
        <w:ind w:left="360" w:firstLine="535"/>
        <w:spacing w:after="0" w:line="243" w:lineRule="auto"/>
        <w:rPr>
          <w:sz w:val="20"/>
          <w:szCs w:val="20"/>
          <w:color w:val="auto"/>
        </w:rPr>
      </w:pPr>
      <w:r>
        <w:rPr>
          <w:rFonts w:ascii="Arial" w:cs="Arial" w:eastAsia="Arial" w:hAnsi="Arial"/>
          <w:sz w:val="17"/>
          <w:szCs w:val="17"/>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marketing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279" w:lineRule="exact"/>
        <w:rPr>
          <w:sz w:val="20"/>
          <w:szCs w:val="20"/>
          <w:color w:val="auto"/>
        </w:rPr>
      </w:pPr>
    </w:p>
    <w:p>
      <w:pPr>
        <w:ind w:left="360" w:right="480"/>
        <w:spacing w:after="0" w:line="284" w:lineRule="auto"/>
        <w:rPr>
          <w:sz w:val="20"/>
          <w:szCs w:val="20"/>
          <w:color w:val="auto"/>
        </w:rPr>
      </w:pPr>
      <w:r>
        <w:rPr>
          <w:rFonts w:ascii="Arial" w:cs="Arial" w:eastAsia="Arial" w:hAnsi="Arial"/>
          <w:sz w:val="17"/>
          <w:szCs w:val="17"/>
          <w:b w:val="1"/>
          <w:bCs w:val="1"/>
          <w:i w:val="1"/>
          <w:iCs w:val="1"/>
          <w:color w:val="auto"/>
        </w:rPr>
        <w:t>We will need to grow the size of our organization, and we may experience difficulties in managing this growth, which could disrupt our operations.</w:t>
      </w:r>
    </w:p>
    <w:p>
      <w:pPr>
        <w:spacing w:after="0" w:line="56" w:lineRule="exact"/>
        <w:rPr>
          <w:sz w:val="20"/>
          <w:szCs w:val="20"/>
          <w:color w:val="auto"/>
        </w:rPr>
      </w:pPr>
    </w:p>
    <w:p>
      <w:pPr>
        <w:ind w:left="360" w:right="100" w:firstLine="535"/>
        <w:spacing w:after="0" w:line="245" w:lineRule="auto"/>
        <w:rPr>
          <w:sz w:val="20"/>
          <w:szCs w:val="20"/>
          <w:color w:val="auto"/>
        </w:rPr>
      </w:pPr>
      <w:r>
        <w:rPr>
          <w:rFonts w:ascii="Arial" w:cs="Arial" w:eastAsia="Arial" w:hAnsi="Arial"/>
          <w:sz w:val="17"/>
          <w:szCs w:val="17"/>
          <w:color w:val="auto"/>
        </w:rPr>
        <w:t>As of August 31, 2018, we had 72 full-time employees, including 59 employees engaged in research and development. We expect to experience significant growth in the number of our employees and the scope of our operations, particularly in the areas of drug development, manufacturing,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Future growth would impose significant added responsibilities on members of management, including:</w:t>
      </w:r>
    </w:p>
    <w:p>
      <w:pPr>
        <w:spacing w:after="0" w:line="101" w:lineRule="exact"/>
        <w:rPr>
          <w:sz w:val="20"/>
          <w:szCs w:val="20"/>
          <w:color w:val="auto"/>
        </w:rPr>
      </w:pPr>
    </w:p>
    <w:p>
      <w:pPr>
        <w:ind w:left="1100" w:hanging="210"/>
        <w:spacing w:after="0"/>
        <w:tabs>
          <w:tab w:leader="none" w:pos="11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identifying, recruiting, integrating, maintaining and motivating additional employees;</w:t>
      </w:r>
    </w:p>
    <w:p>
      <w:pPr>
        <w:spacing w:after="0" w:line="119" w:lineRule="exact"/>
        <w:rPr>
          <w:rFonts w:ascii="Arial" w:cs="Arial" w:eastAsia="Arial" w:hAnsi="Arial"/>
          <w:sz w:val="17"/>
          <w:szCs w:val="17"/>
          <w:color w:val="auto"/>
        </w:rPr>
      </w:pPr>
    </w:p>
    <w:p>
      <w:pPr>
        <w:ind w:left="1100" w:right="120" w:hanging="210"/>
        <w:spacing w:after="0" w:line="259" w:lineRule="auto"/>
        <w:tabs>
          <w:tab w:leader="none" w:pos="11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managing our internal development efforts effectively, including the clinical and FDA review process for ARV-110, ARV-471 and any product candidate we develop, while complying with our contractual obligations to contractors and other third parties; and</w:t>
      </w:r>
    </w:p>
    <w:p>
      <w:pPr>
        <w:spacing w:after="0" w:line="11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040"/>
          </w:cols>
          <w:pgMar w:left="240" w:top="449" w:right="61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880"/>
        <w:spacing w:after="0"/>
        <w:tabs>
          <w:tab w:leader="none" w:pos="1080" w:val="left"/>
        </w:tabs>
        <w:rPr>
          <w:sz w:val="20"/>
          <w:szCs w:val="20"/>
          <w:color w:val="auto"/>
        </w:rPr>
      </w:pPr>
      <w:r>
        <w:rPr>
          <w:rFonts w:ascii="Arial" w:cs="Arial" w:eastAsia="Arial" w:hAnsi="Arial"/>
          <w:sz w:val="17"/>
          <w:szCs w:val="17"/>
          <w:color w:val="auto"/>
        </w:rPr>
        <w:t>•</w:t>
        <w:tab/>
        <w:t>improving our operational, financial and management controls, reporting systems and procedures.</w:t>
      </w:r>
    </w:p>
    <w:p>
      <w:pPr>
        <w:spacing w:after="0" w:line="211" w:lineRule="exact"/>
        <w:rPr>
          <w:sz w:val="20"/>
          <w:szCs w:val="20"/>
          <w:color w:val="auto"/>
        </w:rPr>
      </w:pPr>
    </w:p>
    <w:p>
      <w:pPr>
        <w:ind w:left="360" w:firstLine="535"/>
        <w:spacing w:after="0" w:line="245" w:lineRule="auto"/>
        <w:rPr>
          <w:sz w:val="20"/>
          <w:szCs w:val="20"/>
          <w:color w:val="auto"/>
        </w:rPr>
      </w:pPr>
      <w:r>
        <w:rPr>
          <w:rFonts w:ascii="Arial" w:cs="Arial" w:eastAsia="Arial" w:hAnsi="Arial"/>
          <w:sz w:val="17"/>
          <w:szCs w:val="17"/>
          <w:color w:val="auto"/>
        </w:rPr>
        <w:t>Our future financial performance and our ability to advance development of and, if approved, commercialize ARV-110, ARV-471 and any product candidate we develop will depend, in part, on our ability to effectively manage any future growth.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77" w:lineRule="exact"/>
        <w:rPr>
          <w:sz w:val="20"/>
          <w:szCs w:val="20"/>
          <w:color w:val="auto"/>
        </w:rPr>
      </w:pPr>
    </w:p>
    <w:p>
      <w:pPr>
        <w:ind w:left="360" w:right="200"/>
        <w:spacing w:after="0" w:line="284" w:lineRule="auto"/>
        <w:rPr>
          <w:sz w:val="20"/>
          <w:szCs w:val="20"/>
          <w:color w:val="auto"/>
        </w:rPr>
      </w:pPr>
      <w:r>
        <w:rPr>
          <w:rFonts w:ascii="Arial" w:cs="Arial" w:eastAsia="Arial" w:hAnsi="Arial"/>
          <w:sz w:val="17"/>
          <w:szCs w:val="17"/>
          <w:b w:val="1"/>
          <w:bCs w:val="1"/>
          <w:i w:val="1"/>
          <w:iCs w:val="1"/>
          <w:color w:val="auto"/>
        </w:rPr>
        <w:t>Our internal computer systems, or those of any collaborators, contractors or consultants, may fail or suffer security breaches, which could result in a material disruption of our product development programs.</w:t>
      </w:r>
    </w:p>
    <w:p>
      <w:pPr>
        <w:spacing w:after="0" w:line="56" w:lineRule="exact"/>
        <w:rPr>
          <w:sz w:val="20"/>
          <w:szCs w:val="20"/>
          <w:color w:val="auto"/>
        </w:rPr>
      </w:pPr>
    </w:p>
    <w:p>
      <w:pPr>
        <w:ind w:left="360" w:firstLine="535"/>
        <w:spacing w:after="0" w:line="243" w:lineRule="auto"/>
        <w:rPr>
          <w:sz w:val="20"/>
          <w:szCs w:val="20"/>
          <w:color w:val="auto"/>
        </w:rPr>
      </w:pPr>
      <w:r>
        <w:rPr>
          <w:rFonts w:ascii="Arial" w:cs="Arial" w:eastAsia="Arial" w:hAnsi="Arial"/>
          <w:sz w:val="17"/>
          <w:szCs w:val="17"/>
          <w:color w:val="auto"/>
        </w:rPr>
        <w:t>Our internal computer systems and those of any collaborators, contractors or consultants are vulnerable to damage from computer viruses, unauthorized access, natural disasters, terrorism, war and telecommunication and electrical failures. While we have not experienced any such material system failure, accident or security breach to date, if such an event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marketing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83" w:lineRule="exact"/>
        <w:rPr>
          <w:sz w:val="20"/>
          <w:szCs w:val="20"/>
          <w:color w:val="auto"/>
        </w:rPr>
      </w:pPr>
    </w:p>
    <w:p>
      <w:pPr>
        <w:ind w:left="360" w:right="40"/>
        <w:spacing w:after="0" w:line="284" w:lineRule="auto"/>
        <w:rPr>
          <w:sz w:val="20"/>
          <w:szCs w:val="20"/>
          <w:color w:val="auto"/>
        </w:rPr>
      </w:pPr>
      <w:r>
        <w:rPr>
          <w:rFonts w:ascii="Arial" w:cs="Arial" w:eastAsia="Arial" w:hAnsi="Arial"/>
          <w:sz w:val="17"/>
          <w:szCs w:val="17"/>
          <w:b w:val="1"/>
          <w:bCs w:val="1"/>
          <w:i w:val="1"/>
          <w:iCs w:val="1"/>
          <w:color w:val="auto"/>
        </w:rPr>
        <w:t>Our employees, independent contractors, vendors, principal investigators, CROs and consultants may engage in misconduct or other improper activities, including non-compliance with regulatory standards and requirements and insider trading laws.</w:t>
      </w:r>
    </w:p>
    <w:p>
      <w:pPr>
        <w:spacing w:after="0" w:line="56" w:lineRule="exact"/>
        <w:rPr>
          <w:sz w:val="20"/>
          <w:szCs w:val="20"/>
          <w:color w:val="auto"/>
        </w:rPr>
      </w:pPr>
    </w:p>
    <w:p>
      <w:pPr>
        <w:ind w:left="360" w:right="220" w:firstLine="535"/>
        <w:spacing w:after="0" w:line="259" w:lineRule="auto"/>
        <w:rPr>
          <w:sz w:val="20"/>
          <w:szCs w:val="20"/>
          <w:color w:val="auto"/>
        </w:rPr>
      </w:pPr>
      <w:r>
        <w:rPr>
          <w:rFonts w:ascii="Arial" w:cs="Arial" w:eastAsia="Arial" w:hAnsi="Arial"/>
          <w:sz w:val="17"/>
          <w:szCs w:val="17"/>
          <w:color w:val="auto"/>
        </w:rPr>
        <w:t>We are exposed to the risk that our employees, independent contractors, vendors, principal investigators, CROs and consultants may engage in fraudulent conduct or other illegal activity. Misconduct by these parties could include:</w:t>
      </w:r>
    </w:p>
    <w:p>
      <w:pPr>
        <w:spacing w:after="0" w:line="89" w:lineRule="exact"/>
        <w:rPr>
          <w:sz w:val="20"/>
          <w:szCs w:val="20"/>
          <w:color w:val="auto"/>
        </w:rPr>
      </w:pPr>
    </w:p>
    <w:p>
      <w:pPr>
        <w:ind w:left="1100" w:right="160" w:hanging="210"/>
        <w:spacing w:after="0" w:line="259" w:lineRule="auto"/>
        <w:tabs>
          <w:tab w:leader="none" w:pos="11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intentional, reckless or negligent conduct or disclosure of unauthorized activities to us that violate the regulations of the FDA or similar foreign regulatory authorities;</w:t>
      </w:r>
    </w:p>
    <w:p>
      <w:pPr>
        <w:spacing w:after="0" w:line="89" w:lineRule="exact"/>
        <w:rPr>
          <w:rFonts w:ascii="Arial" w:cs="Arial" w:eastAsia="Arial" w:hAnsi="Arial"/>
          <w:sz w:val="17"/>
          <w:szCs w:val="17"/>
          <w:color w:val="auto"/>
        </w:rPr>
      </w:pPr>
    </w:p>
    <w:p>
      <w:pPr>
        <w:ind w:left="1100" w:hanging="210"/>
        <w:spacing w:after="0"/>
        <w:tabs>
          <w:tab w:leader="none" w:pos="11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healthcare fraud and abuse laws and regulations in the United States and abroad;</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violations of U.S. federal securities laws relating to trading in our common stock; and</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failures to reporting of financial information or data accurately.</w:t>
      </w:r>
    </w:p>
    <w:p>
      <w:pPr>
        <w:spacing w:after="0" w:line="211" w:lineRule="exact"/>
        <w:rPr>
          <w:sz w:val="20"/>
          <w:szCs w:val="20"/>
          <w:color w:val="auto"/>
        </w:rPr>
      </w:pPr>
    </w:p>
    <w:p>
      <w:pPr>
        <w:ind w:left="360" w:right="100" w:firstLine="535"/>
        <w:spacing w:after="0" w:line="244" w:lineRule="auto"/>
        <w:rPr>
          <w:sz w:val="20"/>
          <w:szCs w:val="20"/>
          <w:color w:val="auto"/>
        </w:rPr>
      </w:pPr>
      <w:r>
        <w:rPr>
          <w:rFonts w:ascii="Arial" w:cs="Arial" w:eastAsia="Arial" w:hAnsi="Arial"/>
          <w:sz w:val="17"/>
          <w:szCs w:val="17"/>
          <w:color w:val="auto"/>
        </w:rPr>
        <w:t>In particular, sales, marketing and business arrangements in the healthcare industry are subject to extensive laws and regulations intended to prevent fraud, misconduct, kickbacks, self-dealing and other abusive practices. These laws and regulations regulate a wide range of pricing, discounting, marketing and promotion, sales commission, customer incentive programs and other business arrangements. Other forms of misconduct could involve the improper use of information obtained in the course of clinical trials or creating fraudulent data in our preclinical studies or clinical trials, which could result in regulatory sanctions and cause serious harm to our reputation. We intend to adopt, prior to the completion of this offering, a code of conduct and implement other internal controls applicable to all of</w:t>
      </w:r>
    </w:p>
    <w:p>
      <w:pPr>
        <w:spacing w:after="0" w:line="32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040"/>
          </w:cols>
          <w:pgMar w:left="240" w:top="449" w:right="619"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spacing w:after="0" w:line="243" w:lineRule="auto"/>
        <w:rPr>
          <w:sz w:val="20"/>
          <w:szCs w:val="20"/>
          <w:color w:val="auto"/>
        </w:rPr>
      </w:pPr>
      <w:r>
        <w:rPr>
          <w:rFonts w:ascii="Arial" w:cs="Arial" w:eastAsia="Arial" w:hAnsi="Arial"/>
          <w:sz w:val="17"/>
          <w:szCs w:val="17"/>
          <w:color w:val="auto"/>
        </w:rPr>
        <w:t>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200" w:lineRule="exact"/>
        <w:rPr>
          <w:sz w:val="20"/>
          <w:szCs w:val="20"/>
          <w:color w:val="auto"/>
        </w:rPr>
      </w:pPr>
    </w:p>
    <w:p>
      <w:pPr>
        <w:spacing w:after="0" w:line="279" w:lineRule="exact"/>
        <w:rPr>
          <w:sz w:val="20"/>
          <w:szCs w:val="20"/>
          <w:color w:val="auto"/>
        </w:rPr>
      </w:pPr>
    </w:p>
    <w:p>
      <w:pPr>
        <w:ind w:left="3440"/>
        <w:spacing w:after="0"/>
        <w:rPr>
          <w:sz w:val="20"/>
          <w:szCs w:val="20"/>
          <w:color w:val="auto"/>
        </w:rPr>
      </w:pPr>
      <w:r>
        <w:rPr>
          <w:rFonts w:ascii="Arial" w:cs="Arial" w:eastAsia="Arial" w:hAnsi="Arial"/>
          <w:sz w:val="17"/>
          <w:szCs w:val="17"/>
          <w:b w:val="1"/>
          <w:bCs w:val="1"/>
          <w:color w:val="auto"/>
        </w:rPr>
        <w:t>Risks Related to Our Common Stock and This Offering</w:t>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If you purchase shares of common stock in this offering, you will suffer immediate dilution of your investment.</w:t>
      </w:r>
    </w:p>
    <w:p>
      <w:pPr>
        <w:spacing w:after="0" w:line="126" w:lineRule="exact"/>
        <w:rPr>
          <w:sz w:val="20"/>
          <w:szCs w:val="20"/>
          <w:color w:val="auto"/>
        </w:rPr>
      </w:pPr>
    </w:p>
    <w:p>
      <w:pPr>
        <w:ind w:left="360" w:right="40" w:firstLine="535"/>
        <w:spacing w:after="0" w:line="244" w:lineRule="auto"/>
        <w:rPr>
          <w:sz w:val="20"/>
          <w:szCs w:val="20"/>
          <w:color w:val="auto"/>
        </w:rPr>
      </w:pPr>
      <w:r>
        <w:rPr>
          <w:rFonts w:ascii="Arial" w:cs="Arial" w:eastAsia="Arial" w:hAnsi="Arial"/>
          <w:sz w:val="17"/>
          <w:szCs w:val="17"/>
          <w:color w:val="auto"/>
        </w:rPr>
        <w:t>The initial public offering price of our common stock is substantially higher than the net tangible book value per share of our common stock. Therefore, if you purchase shares of our common stock in this offering, you will pay a price per share that substantially exceeds our net tangible book value per share after this offering. To the extent shares subsequently are issued under outstanding options, you will incur further dilution. Based on the initial public offering price of $16.00 per share, you will experience immediate dilution of $11.24 per share, representing the difference between our pro forma net tangible book value per share, after giving effect to this offering, and the initial public offering price. In addition, purchasers of common stock in this offering will have contributed approximately 51.7% of the aggregate price paid by all purchasers of our stock but will own only approximately 23.3% of our common stock outstanding after this offering.</w:t>
      </w:r>
    </w:p>
    <w:p>
      <w:pPr>
        <w:spacing w:after="0" w:line="200" w:lineRule="exact"/>
        <w:rPr>
          <w:sz w:val="20"/>
          <w:szCs w:val="20"/>
          <w:color w:val="auto"/>
        </w:rPr>
      </w:pPr>
    </w:p>
    <w:p>
      <w:pPr>
        <w:spacing w:after="0" w:line="277"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An active trading market for our common stock may not develop.</w:t>
      </w:r>
    </w:p>
    <w:p>
      <w:pPr>
        <w:spacing w:after="0" w:line="126" w:lineRule="exact"/>
        <w:rPr>
          <w:sz w:val="20"/>
          <w:szCs w:val="20"/>
          <w:color w:val="auto"/>
        </w:rPr>
      </w:pPr>
    </w:p>
    <w:p>
      <w:pPr>
        <w:ind w:left="360" w:right="20" w:firstLine="535"/>
        <w:spacing w:after="0" w:line="245" w:lineRule="auto"/>
        <w:rPr>
          <w:sz w:val="20"/>
          <w:szCs w:val="20"/>
          <w:color w:val="auto"/>
        </w:rPr>
      </w:pPr>
      <w:r>
        <w:rPr>
          <w:rFonts w:ascii="Arial" w:cs="Arial" w:eastAsia="Arial" w:hAnsi="Arial"/>
          <w:sz w:val="17"/>
          <w:szCs w:val="17"/>
          <w:color w:val="auto"/>
        </w:rPr>
        <w:t>Prior to this offering, there has been no public market for our common stock. The initial public offering price for our common stock will be determined through negotiations with the underwriters. Although our common stock has been approved for listing on The Nasdaq Global Select Market, an active trading market for our shares may never develop or be sustained following this offering. If an active market for our common stock does not develop, it may be difficult for you to sell shares you purchase in this offering without depressing the market price for the shares or at all.</w:t>
      </w:r>
    </w:p>
    <w:p>
      <w:pPr>
        <w:spacing w:after="0" w:line="280" w:lineRule="exact"/>
        <w:rPr>
          <w:sz w:val="20"/>
          <w:szCs w:val="20"/>
          <w:color w:val="auto"/>
        </w:rPr>
      </w:pPr>
    </w:p>
    <w:p>
      <w:pPr>
        <w:ind w:left="360" w:right="860"/>
        <w:spacing w:after="0" w:line="284" w:lineRule="auto"/>
        <w:rPr>
          <w:sz w:val="20"/>
          <w:szCs w:val="20"/>
          <w:color w:val="auto"/>
        </w:rPr>
      </w:pPr>
      <w:r>
        <w:rPr>
          <w:rFonts w:ascii="Arial" w:cs="Arial" w:eastAsia="Arial" w:hAnsi="Arial"/>
          <w:sz w:val="17"/>
          <w:szCs w:val="17"/>
          <w:b w:val="1"/>
          <w:bCs w:val="1"/>
          <w:i w:val="1"/>
          <w:iCs w:val="1"/>
          <w:color w:val="auto"/>
        </w:rPr>
        <w:t>The price of our common stock may be volatile and fluctuate substantially, which could result in substantial losses for purchasers of our common stock in this offering.</w:t>
      </w:r>
    </w:p>
    <w:p>
      <w:pPr>
        <w:spacing w:after="0" w:line="56" w:lineRule="exact"/>
        <w:rPr>
          <w:sz w:val="20"/>
          <w:szCs w:val="20"/>
          <w:color w:val="auto"/>
        </w:rPr>
      </w:pPr>
    </w:p>
    <w:p>
      <w:pPr>
        <w:ind w:left="360" w:right="180" w:firstLine="535"/>
        <w:spacing w:after="0" w:line="247" w:lineRule="auto"/>
        <w:rPr>
          <w:sz w:val="20"/>
          <w:szCs w:val="20"/>
          <w:color w:val="auto"/>
        </w:rPr>
      </w:pPr>
      <w:r>
        <w:rPr>
          <w:rFonts w:ascii="Arial" w:cs="Arial" w:eastAsia="Arial" w:hAnsi="Arial"/>
          <w:sz w:val="17"/>
          <w:szCs w:val="17"/>
          <w:color w:val="auto"/>
        </w:rPr>
        <w:t>Our stock price is likely to be volatile. The stock market in general and the market for smaller biopharmaceutical companies in particular have experienced extreme volatility that has often been unrelated to the operating performance of particular companies. As a result of this volatility, you may not be able to sell your common stock at or above the initial public offering price. The market price for our common stock may be influenced by many factors, including:</w:t>
      </w:r>
    </w:p>
    <w:p>
      <w:pPr>
        <w:spacing w:after="0" w:line="100" w:lineRule="exact"/>
        <w:rPr>
          <w:sz w:val="20"/>
          <w:szCs w:val="20"/>
          <w:color w:val="auto"/>
        </w:rPr>
      </w:pPr>
    </w:p>
    <w:p>
      <w:pPr>
        <w:ind w:left="1100" w:hanging="210"/>
        <w:spacing w:after="0"/>
        <w:tabs>
          <w:tab w:leader="none" w:pos="11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degree of success of competitive products or technologies;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results of preclinical studies and clinical trials, of our product candidates or those of our competitors;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regulatory or legal developments in the United States and other countries;</w:t>
      </w:r>
    </w:p>
    <w:p>
      <w:pPr>
        <w:spacing w:after="0" w:line="14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060"/>
          </w:cols>
          <w:pgMar w:left="240" w:top="449" w:right="59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1100" w:hanging="210"/>
        <w:spacing w:after="0"/>
        <w:tabs>
          <w:tab w:leader="none" w:pos="11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developments or disputes concerning patent applications, issued patents or other proprietary rights;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recruitment or departure of key personnel;</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level of expenses related to any of our product candidates or clinical development programs;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results of our efforts to discover, develop, acquire or in-license additional technologies or product candidates;</w:t>
      </w:r>
    </w:p>
    <w:p>
      <w:pPr>
        <w:spacing w:after="0" w:line="119" w:lineRule="exact"/>
        <w:rPr>
          <w:rFonts w:ascii="Arial" w:cs="Arial" w:eastAsia="Arial" w:hAnsi="Arial"/>
          <w:sz w:val="17"/>
          <w:szCs w:val="17"/>
          <w:color w:val="auto"/>
        </w:rPr>
      </w:pPr>
    </w:p>
    <w:p>
      <w:pPr>
        <w:ind w:left="1100" w:right="520" w:hanging="210"/>
        <w:spacing w:after="0" w:line="259" w:lineRule="auto"/>
        <w:tabs>
          <w:tab w:leader="none" w:pos="11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89" w:lineRule="exact"/>
        <w:rPr>
          <w:rFonts w:ascii="Arial" w:cs="Arial" w:eastAsia="Arial" w:hAnsi="Arial"/>
          <w:sz w:val="17"/>
          <w:szCs w:val="17"/>
          <w:color w:val="auto"/>
        </w:rPr>
      </w:pPr>
    </w:p>
    <w:p>
      <w:pPr>
        <w:ind w:left="1100" w:hanging="210"/>
        <w:spacing w:after="0"/>
        <w:tabs>
          <w:tab w:leader="none" w:pos="11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variations in our financial results or those of companies that are perceived to be similar to us;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changes in the structure of healthcare payment systems;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market conditions in the pharmaceutical and biotechnology sectors;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general economic, industry and market conditions; and</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other factors described in this “Risk Factors” section.</w:t>
      </w:r>
    </w:p>
    <w:p>
      <w:pPr>
        <w:spacing w:after="0" w:line="211" w:lineRule="exact"/>
        <w:rPr>
          <w:sz w:val="20"/>
          <w:szCs w:val="20"/>
          <w:color w:val="auto"/>
        </w:rPr>
      </w:pPr>
    </w:p>
    <w:p>
      <w:pPr>
        <w:ind w:left="360" w:right="180" w:firstLine="535"/>
        <w:spacing w:after="0" w:line="245" w:lineRule="auto"/>
        <w:rPr>
          <w:sz w:val="20"/>
          <w:szCs w:val="20"/>
          <w:color w:val="auto"/>
        </w:rPr>
      </w:pPr>
      <w:r>
        <w:rPr>
          <w:rFonts w:ascii="Arial" w:cs="Arial" w:eastAsia="Arial" w:hAnsi="Arial"/>
          <w:sz w:val="17"/>
          <w:szCs w:val="17"/>
          <w:color w:val="auto"/>
        </w:rPr>
        <w:t>If any of the foregoing matters were to occur, or if our operating results fall below the expectations of investors or securities analysts, the price of our common stock could decline substantially. In the past, following periods of volatility in the market price of a company’s securities, securities class-action litigation often has been instituted against that company. Such litigation, if instituted against us, could cause us to incur substantial costs to defend such claims and divert management’s attention and resources, which could seriously harm our business, financial condition, results of operations and prospects.</w:t>
      </w:r>
    </w:p>
    <w:p>
      <w:pPr>
        <w:spacing w:after="0" w:line="280"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We have broad discretion in the use of the net proceeds from this offering and may not use them effectively.</w:t>
      </w:r>
    </w:p>
    <w:p>
      <w:pPr>
        <w:spacing w:after="0" w:line="126" w:lineRule="exact"/>
        <w:rPr>
          <w:sz w:val="20"/>
          <w:szCs w:val="20"/>
          <w:color w:val="auto"/>
        </w:rPr>
      </w:pPr>
    </w:p>
    <w:p>
      <w:pPr>
        <w:ind w:left="360" w:right="80" w:firstLine="535"/>
        <w:spacing w:after="0" w:line="245" w:lineRule="auto"/>
        <w:rPr>
          <w:sz w:val="20"/>
          <w:szCs w:val="20"/>
          <w:color w:val="auto"/>
        </w:rPr>
      </w:pPr>
      <w:r>
        <w:rPr>
          <w:rFonts w:ascii="Arial" w:cs="Arial" w:eastAsia="Arial" w:hAnsi="Arial"/>
          <w:sz w:val="17"/>
          <w:szCs w:val="17"/>
          <w:color w:val="auto"/>
        </w:rPr>
        <w:t>Our management will have broad discretion in the application of the net proceeds from this offering and could spend the proceeds in ways that do not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 Pending their use, we may invest the net proceeds from this offering in a manner that does not produce income or that loses value.</w:t>
      </w:r>
    </w:p>
    <w:p>
      <w:pPr>
        <w:spacing w:after="0" w:line="280" w:lineRule="exact"/>
        <w:rPr>
          <w:sz w:val="20"/>
          <w:szCs w:val="20"/>
          <w:color w:val="auto"/>
        </w:rPr>
      </w:pPr>
    </w:p>
    <w:p>
      <w:pPr>
        <w:ind w:left="360" w:right="300"/>
        <w:spacing w:after="0" w:line="284" w:lineRule="auto"/>
        <w:rPr>
          <w:sz w:val="20"/>
          <w:szCs w:val="20"/>
          <w:color w:val="auto"/>
        </w:rPr>
      </w:pPr>
      <w:r>
        <w:rPr>
          <w:rFonts w:ascii="Arial" w:cs="Arial" w:eastAsia="Arial" w:hAnsi="Arial"/>
          <w:sz w:val="17"/>
          <w:szCs w:val="17"/>
          <w:b w:val="1"/>
          <w:bCs w:val="1"/>
          <w:i w:val="1"/>
          <w:iCs w:val="1"/>
          <w:color w:val="auto"/>
        </w:rPr>
        <w:t>After this offering, our executive officers, directors and principal stockholders, if they choose to act together, will continue to have the ability to control or significantly influence all matters submitted to stockholders for approval.</w:t>
      </w:r>
    </w:p>
    <w:p>
      <w:pPr>
        <w:spacing w:after="0" w:line="56" w:lineRule="exact"/>
        <w:rPr>
          <w:sz w:val="20"/>
          <w:szCs w:val="20"/>
          <w:color w:val="auto"/>
        </w:rPr>
      </w:pPr>
    </w:p>
    <w:p>
      <w:pPr>
        <w:ind w:left="360" w:firstLine="535"/>
        <w:spacing w:after="0" w:line="245" w:lineRule="auto"/>
        <w:rPr>
          <w:sz w:val="20"/>
          <w:szCs w:val="20"/>
          <w:color w:val="auto"/>
        </w:rPr>
      </w:pPr>
      <w:r>
        <w:rPr>
          <w:rFonts w:ascii="Arial" w:cs="Arial" w:eastAsia="Arial" w:hAnsi="Arial"/>
          <w:sz w:val="17"/>
          <w:szCs w:val="17"/>
          <w:color w:val="auto"/>
        </w:rPr>
        <w:t>Upon the closing of this offering, our executive officers and directors, combined with our stockholders who owned more than 5% of our outstanding common stock before this offering will, in the aggregate, beneficially own shares representing approximately 62% of our capital stock. As a result, if these stockholders were to choose to act together, they would be able to control all matters submitted to our stockholders for approval, as well as our management and affairs. For example, these persons, if they choose to act together, would control the election of directors and approval of any merger, consolidation or sale of all or substantially all of our assets. This concentration of ownership control may:</w:t>
      </w:r>
    </w:p>
    <w:p>
      <w:pPr>
        <w:spacing w:after="0" w:line="101" w:lineRule="exact"/>
        <w:rPr>
          <w:sz w:val="20"/>
          <w:szCs w:val="20"/>
          <w:color w:val="auto"/>
        </w:rPr>
      </w:pPr>
    </w:p>
    <w:p>
      <w:pPr>
        <w:ind w:left="880"/>
        <w:spacing w:after="0"/>
        <w:tabs>
          <w:tab w:leader="none" w:pos="1080" w:val="left"/>
        </w:tabs>
        <w:rPr>
          <w:sz w:val="20"/>
          <w:szCs w:val="20"/>
          <w:color w:val="auto"/>
        </w:rPr>
      </w:pPr>
      <w:r>
        <w:rPr>
          <w:rFonts w:ascii="Arial" w:cs="Arial" w:eastAsia="Arial" w:hAnsi="Arial"/>
          <w:sz w:val="17"/>
          <w:szCs w:val="17"/>
          <w:color w:val="auto"/>
        </w:rPr>
        <w:t>•</w:t>
        <w:tab/>
        <w:t>delay, defer or prevent a change in control;</w:t>
      </w:r>
    </w:p>
    <w:p>
      <w:pPr>
        <w:spacing w:after="0" w:line="14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040"/>
          </w:cols>
          <w:pgMar w:left="240" w:top="449" w:right="619"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1100" w:hanging="210"/>
        <w:spacing w:after="0"/>
        <w:tabs>
          <w:tab w:leader="none" w:pos="11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entrench our management and the board of directors; or</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impede a merger, consolidation, takeover or other business combination involving us that other stockholders may desire.</w:t>
      </w:r>
    </w:p>
    <w:p>
      <w:pPr>
        <w:spacing w:after="0" w:line="211" w:lineRule="exact"/>
        <w:rPr>
          <w:sz w:val="20"/>
          <w:szCs w:val="20"/>
          <w:color w:val="auto"/>
        </w:rPr>
      </w:pPr>
    </w:p>
    <w:p>
      <w:pPr>
        <w:ind w:left="360" w:firstLine="535"/>
        <w:spacing w:after="0" w:line="245" w:lineRule="auto"/>
        <w:rPr>
          <w:sz w:val="20"/>
          <w:szCs w:val="20"/>
          <w:color w:val="auto"/>
        </w:rPr>
      </w:pPr>
      <w:r>
        <w:rPr>
          <w:rFonts w:ascii="Arial" w:cs="Arial" w:eastAsia="Arial" w:hAnsi="Arial"/>
          <w:sz w:val="17"/>
          <w:szCs w:val="17"/>
          <w:color w:val="auto"/>
        </w:rPr>
        <w:t>Certain of our existing principal stockholders and their affiliated entities have indicated an interest in purchasing an aggregate of approximately $53 million in shares of our common stock in this offering at the initial public offering price and on the same terms and conditions as the other purchasers in this offering. However, because indications of interest are not binding agreements or commitments to purchase, the underwriters could determine to sell more, fewer or no shares to any of these potential purchasers, and any of these potential purchasers could determine to purchase more, fewer or no shares in this offering. The foregoing discussion does not reflect any potential purchases by these potential purchasers.</w:t>
      </w:r>
    </w:p>
    <w:p>
      <w:pPr>
        <w:spacing w:after="0" w:line="277" w:lineRule="exact"/>
        <w:rPr>
          <w:sz w:val="20"/>
          <w:szCs w:val="20"/>
          <w:color w:val="auto"/>
        </w:rPr>
      </w:pPr>
    </w:p>
    <w:p>
      <w:pPr>
        <w:jc w:val="both"/>
        <w:ind w:left="360" w:right="240"/>
        <w:spacing w:after="0" w:line="262" w:lineRule="auto"/>
        <w:rPr>
          <w:sz w:val="20"/>
          <w:szCs w:val="20"/>
          <w:color w:val="auto"/>
        </w:rPr>
      </w:pPr>
      <w:r>
        <w:rPr>
          <w:rFonts w:ascii="Arial" w:cs="Arial" w:eastAsia="Arial" w:hAnsi="Arial"/>
          <w:sz w:val="17"/>
          <w:szCs w:val="17"/>
          <w:b w:val="1"/>
          <w:bCs w:val="1"/>
          <w:i w:val="1"/>
          <w:iCs w:val="1"/>
          <w:color w:val="auto"/>
        </w:rPr>
        <w:t>Provisions in our corporate charter documents, under Delaware law could make an acquisition of our company, which may be beneficial to our stockholders, more difficult and may prevent attempts by our stockholders to replace or remove our current management.</w:t>
      </w:r>
    </w:p>
    <w:p>
      <w:pPr>
        <w:spacing w:after="0" w:line="75" w:lineRule="exact"/>
        <w:rPr>
          <w:sz w:val="20"/>
          <w:szCs w:val="20"/>
          <w:color w:val="auto"/>
        </w:rPr>
      </w:pPr>
    </w:p>
    <w:p>
      <w:pPr>
        <w:ind w:left="360" w:right="160" w:firstLine="535"/>
        <w:spacing w:after="0" w:line="244" w:lineRule="auto"/>
        <w:rPr>
          <w:sz w:val="20"/>
          <w:szCs w:val="20"/>
          <w:color w:val="auto"/>
        </w:rPr>
      </w:pPr>
      <w:r>
        <w:rPr>
          <w:rFonts w:ascii="Arial" w:cs="Arial" w:eastAsia="Arial" w:hAnsi="Arial"/>
          <w:sz w:val="17"/>
          <w:szCs w:val="17"/>
          <w:color w:val="auto"/>
        </w:rPr>
        <w:t>Provisions in our certificate of incorporation and our bylaws that will become effective upon the closing of this offering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03" w:lineRule="exact"/>
        <w:rPr>
          <w:sz w:val="20"/>
          <w:szCs w:val="20"/>
          <w:color w:val="auto"/>
        </w:rPr>
      </w:pPr>
    </w:p>
    <w:p>
      <w:pPr>
        <w:ind w:left="1100" w:hanging="210"/>
        <w:spacing w:after="0"/>
        <w:tabs>
          <w:tab w:leader="none" w:pos="11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establish a classified board of directors such that only one of three classes of directors is elected each year;</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allow the authorized number of our directors to be changed only by resolution of our board of directors;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limit the manner in which stockholders can remove directors from our board of directors;</w:t>
      </w:r>
    </w:p>
    <w:p>
      <w:pPr>
        <w:spacing w:after="0" w:line="119" w:lineRule="exact"/>
        <w:rPr>
          <w:rFonts w:ascii="Arial" w:cs="Arial" w:eastAsia="Arial" w:hAnsi="Arial"/>
          <w:sz w:val="17"/>
          <w:szCs w:val="17"/>
          <w:color w:val="auto"/>
        </w:rPr>
      </w:pPr>
    </w:p>
    <w:p>
      <w:pPr>
        <w:ind w:left="1100" w:right="120" w:hanging="210"/>
        <w:spacing w:after="0" w:line="259" w:lineRule="auto"/>
        <w:tabs>
          <w:tab w:leader="none" w:pos="11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establish advance notice requirements for stockholder proposals that can be acted on at stockholder meetings and nominations to our board of directors;</w:t>
      </w:r>
    </w:p>
    <w:p>
      <w:pPr>
        <w:spacing w:after="0" w:line="89" w:lineRule="exact"/>
        <w:rPr>
          <w:rFonts w:ascii="Arial" w:cs="Arial" w:eastAsia="Arial" w:hAnsi="Arial"/>
          <w:sz w:val="17"/>
          <w:szCs w:val="17"/>
          <w:color w:val="auto"/>
        </w:rPr>
      </w:pPr>
    </w:p>
    <w:p>
      <w:pPr>
        <w:ind w:left="1100" w:hanging="210"/>
        <w:spacing w:after="0" w:line="259" w:lineRule="auto"/>
        <w:tabs>
          <w:tab w:leader="none" w:pos="11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require that stockholder actions must be effected at a duly called stockholder meeting and prohibit actions by our stockholders by written consent;</w:t>
      </w:r>
    </w:p>
    <w:p>
      <w:pPr>
        <w:spacing w:after="0" w:line="89" w:lineRule="exact"/>
        <w:rPr>
          <w:rFonts w:ascii="Arial" w:cs="Arial" w:eastAsia="Arial" w:hAnsi="Arial"/>
          <w:sz w:val="17"/>
          <w:szCs w:val="17"/>
          <w:color w:val="auto"/>
        </w:rPr>
      </w:pPr>
    </w:p>
    <w:p>
      <w:pPr>
        <w:ind w:left="1100" w:hanging="210"/>
        <w:spacing w:after="0"/>
        <w:tabs>
          <w:tab w:leader="none" w:pos="11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limit who may call stockholder meetings;</w:t>
      </w:r>
    </w:p>
    <w:p>
      <w:pPr>
        <w:spacing w:after="0" w:line="119" w:lineRule="exact"/>
        <w:rPr>
          <w:rFonts w:ascii="Arial" w:cs="Arial" w:eastAsia="Arial" w:hAnsi="Arial"/>
          <w:sz w:val="17"/>
          <w:szCs w:val="17"/>
          <w:color w:val="auto"/>
        </w:rPr>
      </w:pPr>
    </w:p>
    <w:p>
      <w:pPr>
        <w:jc w:val="both"/>
        <w:ind w:left="1100" w:right="120" w:hanging="210"/>
        <w:spacing w:after="0" w:line="250" w:lineRule="auto"/>
        <w:tabs>
          <w:tab w:leader="none" w:pos="11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97" w:lineRule="exact"/>
        <w:rPr>
          <w:rFonts w:ascii="Arial" w:cs="Arial" w:eastAsia="Arial" w:hAnsi="Arial"/>
          <w:sz w:val="17"/>
          <w:szCs w:val="17"/>
          <w:color w:val="auto"/>
        </w:rPr>
      </w:pPr>
    </w:p>
    <w:p>
      <w:pPr>
        <w:ind w:left="1100" w:right="340" w:hanging="210"/>
        <w:spacing w:after="0" w:line="259" w:lineRule="auto"/>
        <w:tabs>
          <w:tab w:leader="none" w:pos="11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require the approval of the holders of at least 75% of the votes that all our stockholders would be entitled to cast to amend or repeal specified provisions of our charter or bylaws.</w:t>
      </w:r>
    </w:p>
    <w:p>
      <w:pPr>
        <w:spacing w:after="0" w:line="181" w:lineRule="exact"/>
        <w:rPr>
          <w:sz w:val="20"/>
          <w:szCs w:val="20"/>
          <w:color w:val="auto"/>
        </w:rPr>
      </w:pPr>
    </w:p>
    <w:p>
      <w:pPr>
        <w:ind w:left="360" w:right="100" w:firstLine="535"/>
        <w:spacing w:after="0" w:line="247" w:lineRule="auto"/>
        <w:rPr>
          <w:sz w:val="20"/>
          <w:szCs w:val="20"/>
          <w:color w:val="auto"/>
        </w:rPr>
      </w:pPr>
      <w:r>
        <w:rPr>
          <w:rFonts w:ascii="Arial" w:cs="Arial" w:eastAsia="Arial" w:hAnsi="Arial"/>
          <w:sz w:val="17"/>
          <w:szCs w:val="17"/>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2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060"/>
          </w:cols>
          <w:pgMar w:left="240" w:top="450" w:right="599"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360" w:right="100"/>
        <w:spacing w:after="0" w:line="284" w:lineRule="auto"/>
        <w:rPr>
          <w:sz w:val="20"/>
          <w:szCs w:val="20"/>
          <w:color w:val="auto"/>
        </w:rPr>
      </w:pPr>
      <w:r>
        <w:rPr>
          <w:rFonts w:ascii="Arial" w:cs="Arial" w:eastAsia="Arial" w:hAnsi="Arial"/>
          <w:sz w:val="17"/>
          <w:szCs w:val="17"/>
          <w:b w:val="1"/>
          <w:bCs w:val="1"/>
          <w:i w:val="1"/>
          <w:iCs w:val="1"/>
          <w:color w:val="auto"/>
        </w:rPr>
        <w:t>A significant portion of our total outstanding shares are eligible to be sold into the market in the near future, which could cause the market price of our common stock to drop significantly, even if our business is doing well.</w:t>
      </w:r>
    </w:p>
    <w:p>
      <w:pPr>
        <w:spacing w:after="0" w:line="56" w:lineRule="exact"/>
        <w:rPr>
          <w:sz w:val="20"/>
          <w:szCs w:val="20"/>
          <w:color w:val="auto"/>
        </w:rPr>
      </w:pPr>
    </w:p>
    <w:p>
      <w:pPr>
        <w:ind w:left="360" w:firstLine="535"/>
        <w:spacing w:after="0" w:line="243"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in the market that the holders of a large number of shares intend to sell shares, could reduce the market price of our common stock. Upon completion of this offering, we will have 32,158,748 outstanding shares of common stock based on the number of shares outstanding as of August 31, 2018. This includes the shares that we are selling in this offering, which may be resold in the public market immediately without restriction, unless purchased by our affiliates. Of the remaining shares, 24,658,748 shares are currently restricted as a result of securities laws or lock-up agreements but will become eligible to be sold at various times after the offering. Moreover, after this offering, holders of an aggregate of 19,697,928 shares of our common stock will have rights, subject to specified conditions, to require us to file registration statements covering their shares or to include their shares in registration statements that we may file for ourselves or other stockholders. We also intend to register all shares of common stock that we may issue under our equity compensation plans. Once we register these shares, they can be freely sold in the public market upon issuance, subject to volume limitations applicable to affiliates and the lock-up agreements described in the “Underwriting” section of this prospectus.</w:t>
      </w:r>
    </w:p>
    <w:p>
      <w:pPr>
        <w:spacing w:after="0" w:line="196" w:lineRule="exact"/>
        <w:rPr>
          <w:sz w:val="20"/>
          <w:szCs w:val="20"/>
          <w:color w:val="auto"/>
        </w:rPr>
      </w:pPr>
    </w:p>
    <w:p>
      <w:pPr>
        <w:ind w:left="360" w:right="40" w:firstLine="535"/>
        <w:spacing w:after="0" w:line="244" w:lineRule="auto"/>
        <w:rPr>
          <w:sz w:val="20"/>
          <w:szCs w:val="20"/>
          <w:color w:val="auto"/>
        </w:rPr>
      </w:pPr>
      <w:r>
        <w:rPr>
          <w:rFonts w:ascii="Arial" w:cs="Arial" w:eastAsia="Arial" w:hAnsi="Arial"/>
          <w:sz w:val="17"/>
          <w:szCs w:val="17"/>
          <w:color w:val="auto"/>
        </w:rPr>
        <w:t>Certain of our existing principal stockholders and their affiliated entities have indicated an interest in purchasing an aggregate of approximately $53 million in shares of our common stock in this offering at the initial public offering price and on the same terms and conditions as the other purchasers in this offering. Shares purchased by certain of these investors would not be able to be resold in the public market immediately following this offering as a result of restrictions under securities laws and lock-up agreements, but would be able to be sold following the expiration of these restrictions as described in the “Shares Eligible for Future Sale” section of this prospectus. However, because indications of interest are not binding agreements or commitments to purchase, the underwriters could determine to sell more, fewer or no shares to any of these potential purchasers, and any of these potential purchasers could determine to purchase more, fewer or no shares in this offering. The foregoing discussion does not reflect any potential purchases by these potential purchasers.</w:t>
      </w:r>
    </w:p>
    <w:p>
      <w:pPr>
        <w:spacing w:after="0" w:line="278" w:lineRule="exact"/>
        <w:rPr>
          <w:sz w:val="20"/>
          <w:szCs w:val="20"/>
          <w:color w:val="auto"/>
        </w:rPr>
      </w:pPr>
    </w:p>
    <w:p>
      <w:pPr>
        <w:ind w:left="360" w:right="340"/>
        <w:spacing w:after="0" w:line="284" w:lineRule="auto"/>
        <w:rPr>
          <w:sz w:val="20"/>
          <w:szCs w:val="20"/>
          <w:color w:val="auto"/>
        </w:rPr>
      </w:pPr>
      <w:r>
        <w:rPr>
          <w:rFonts w:ascii="Arial" w:cs="Arial" w:eastAsia="Arial" w:hAnsi="Arial"/>
          <w:sz w:val="17"/>
          <w:szCs w:val="17"/>
          <w:b w:val="1"/>
          <w:bCs w:val="1"/>
          <w:i w:val="1"/>
          <w:iCs w:val="1"/>
          <w:color w:val="auto"/>
        </w:rPr>
        <w:t>We are an “emerging growth company,” and the reduced disclosure requirements applicable to emerging growth companies may make our common stock less attractive to investors.</w:t>
      </w:r>
    </w:p>
    <w:p>
      <w:pPr>
        <w:spacing w:after="0" w:line="56" w:lineRule="exact"/>
        <w:rPr>
          <w:sz w:val="20"/>
          <w:szCs w:val="20"/>
          <w:color w:val="auto"/>
        </w:rPr>
      </w:pPr>
    </w:p>
    <w:p>
      <w:pPr>
        <w:ind w:left="360" w:firstLine="535"/>
        <w:spacing w:after="0" w:line="244" w:lineRule="auto"/>
        <w:rPr>
          <w:sz w:val="20"/>
          <w:szCs w:val="20"/>
          <w:color w:val="auto"/>
        </w:rPr>
      </w:pPr>
      <w:r>
        <w:rPr>
          <w:rFonts w:ascii="Arial" w:cs="Arial" w:eastAsia="Arial" w:hAnsi="Arial"/>
          <w:sz w:val="17"/>
          <w:szCs w:val="17"/>
          <w:color w:val="auto"/>
        </w:rPr>
        <w:t>We are an “emerging growth company,” or EGC, as defined in the Jumpstart Our Business Startups Act of 2012, or the JOBS Act. We will remain an EGC until the earlier of: (1) the last day of the fiscal year in which we have total annual gross revenue of $1.07 billion or more; (2) the last day of the fiscal year following the fifth anniversary of the date of the completion of this offering; (3) the date on which we have issued more than $1 billion in nonconvertible debt during the previous three years; and (4) the date on which we are deemed to be a large accelerated filer under the rules of the SEC, which means the last day of the first year in which the market value of our common stock that is held by non-affiliates exceeds $700 million as of June 30. For so long as we remain an EGC, we are permitted and intend to rely on exemptions from certain disclosure requirements that are applicable to other public companies that are not EGCs. These exemptions include:</w:t>
      </w:r>
    </w:p>
    <w:p>
      <w:pPr>
        <w:spacing w:after="0" w:line="300" w:lineRule="exact"/>
        <w:rPr>
          <w:sz w:val="20"/>
          <w:szCs w:val="20"/>
          <w:color w:val="auto"/>
        </w:rPr>
      </w:pPr>
    </w:p>
    <w:p>
      <w:pPr>
        <w:ind w:left="1100" w:right="160" w:hanging="210"/>
        <w:spacing w:after="0" w:line="250" w:lineRule="auto"/>
        <w:tabs>
          <w:tab w:leader="none" w:pos="11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97" w:lineRule="exact"/>
        <w:rPr>
          <w:rFonts w:ascii="Arial" w:cs="Arial" w:eastAsia="Arial" w:hAnsi="Arial"/>
          <w:sz w:val="17"/>
          <w:szCs w:val="17"/>
          <w:color w:val="auto"/>
        </w:rPr>
      </w:pPr>
    </w:p>
    <w:p>
      <w:pPr>
        <w:ind w:left="1100" w:right="360" w:hanging="210"/>
        <w:spacing w:after="0" w:line="259" w:lineRule="auto"/>
        <w:tabs>
          <w:tab w:leader="none" w:pos="11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in the assessment of our internal control over financial reporting;</w:t>
      </w:r>
    </w:p>
    <w:p>
      <w:pPr>
        <w:spacing w:after="0" w:line="11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040"/>
          </w:cols>
          <w:pgMar w:left="240" w:top="449" w:right="619"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1100" w:hanging="210"/>
        <w:spacing w:after="0"/>
        <w:tabs>
          <w:tab w:leader="none" w:pos="11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w:t>
      </w:r>
    </w:p>
    <w:p>
      <w:pPr>
        <w:spacing w:after="0" w:line="119" w:lineRule="exact"/>
        <w:rPr>
          <w:rFonts w:ascii="Arial" w:cs="Arial" w:eastAsia="Arial" w:hAnsi="Arial"/>
          <w:sz w:val="17"/>
          <w:szCs w:val="17"/>
          <w:color w:val="auto"/>
        </w:rPr>
      </w:pPr>
    </w:p>
    <w:p>
      <w:pPr>
        <w:ind w:left="1100" w:hanging="210"/>
        <w:spacing w:after="0" w:line="259" w:lineRule="auto"/>
        <w:tabs>
          <w:tab w:leader="none" w:pos="11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exemptions from the requirements of holding a nonbinding advisory vote on executive compensation and stockholder approval of any golden parachute payments not previously approved; and</w:t>
      </w:r>
    </w:p>
    <w:p>
      <w:pPr>
        <w:spacing w:after="0" w:line="89" w:lineRule="exact"/>
        <w:rPr>
          <w:rFonts w:ascii="Arial" w:cs="Arial" w:eastAsia="Arial" w:hAnsi="Arial"/>
          <w:sz w:val="17"/>
          <w:szCs w:val="17"/>
          <w:color w:val="auto"/>
        </w:rPr>
      </w:pPr>
    </w:p>
    <w:p>
      <w:pPr>
        <w:ind w:left="1100" w:right="820" w:hanging="210"/>
        <w:spacing w:after="0" w:line="259" w:lineRule="auto"/>
        <w:tabs>
          <w:tab w:leader="none" w:pos="11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 exemption from compliance with the requirement of the Public Company Accounting Oversight Board regarding the communication of critical audit matters in the auditor’s report on the financial statements.</w:t>
      </w:r>
    </w:p>
    <w:p>
      <w:pPr>
        <w:spacing w:after="0" w:line="181" w:lineRule="exact"/>
        <w:rPr>
          <w:sz w:val="20"/>
          <w:szCs w:val="20"/>
          <w:color w:val="auto"/>
        </w:rPr>
      </w:pPr>
    </w:p>
    <w:p>
      <w:pPr>
        <w:ind w:left="360" w:right="40" w:firstLine="535"/>
        <w:spacing w:after="0" w:line="245" w:lineRule="auto"/>
        <w:rPr>
          <w:sz w:val="20"/>
          <w:szCs w:val="20"/>
          <w:color w:val="auto"/>
        </w:rPr>
      </w:pPr>
      <w:r>
        <w:rPr>
          <w:rFonts w:ascii="Arial" w:cs="Arial" w:eastAsia="Arial" w:hAnsi="Arial"/>
          <w:sz w:val="17"/>
          <w:szCs w:val="17"/>
          <w:color w:val="auto"/>
        </w:rPr>
        <w:t>We may choose to take advantage of some, but not all, of the available exemptions. We have taken advantage of reduced reporting requirements in this prospectus. In particular, we have not included all of the executive compensation information that would be required if we were not an EGC and we have presented only two years of audited financial statements and correspondingly reduced “Management’s Discussion and Analysis of Financial Condition and Results of Operations” disclosure.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w:t>
      </w:r>
    </w:p>
    <w:p>
      <w:pPr>
        <w:spacing w:after="0" w:line="192" w:lineRule="exact"/>
        <w:rPr>
          <w:sz w:val="20"/>
          <w:szCs w:val="20"/>
          <w:color w:val="auto"/>
        </w:rPr>
      </w:pPr>
    </w:p>
    <w:p>
      <w:pPr>
        <w:ind w:left="360" w:right="140" w:firstLine="535"/>
        <w:spacing w:after="0" w:line="246" w:lineRule="auto"/>
        <w:rPr>
          <w:sz w:val="20"/>
          <w:szCs w:val="20"/>
          <w:color w:val="auto"/>
        </w:rPr>
      </w:pPr>
      <w:r>
        <w:rPr>
          <w:rFonts w:ascii="Arial" w:cs="Arial" w:eastAsia="Arial" w:hAnsi="Arial"/>
          <w:sz w:val="17"/>
          <w:szCs w:val="17"/>
          <w:color w:val="auto"/>
        </w:rPr>
        <w:t>In addition, the JOBS Act provides that an EGC may take advantage of an extended transition period for complying with new or revised accounting standards. This allows an EGC to delay the adoption of certain accounting standards until those standards would otherwise apply to private companies. We have irrevocably elected not to avail ourselves of this exemption from new or revised accounting standards and, therefore, we will be subject to the same new or revised accounting standards as other public companies that are not EGCs.</w:t>
      </w:r>
    </w:p>
    <w:p>
      <w:pPr>
        <w:spacing w:after="0" w:line="200" w:lineRule="exact"/>
        <w:rPr>
          <w:sz w:val="20"/>
          <w:szCs w:val="20"/>
          <w:color w:val="auto"/>
        </w:rPr>
      </w:pPr>
    </w:p>
    <w:p>
      <w:pPr>
        <w:spacing w:after="0" w:line="276" w:lineRule="exact"/>
        <w:rPr>
          <w:sz w:val="20"/>
          <w:szCs w:val="20"/>
          <w:color w:val="auto"/>
        </w:rPr>
      </w:pPr>
    </w:p>
    <w:p>
      <w:pPr>
        <w:ind w:left="360" w:right="480"/>
        <w:spacing w:after="0" w:line="284" w:lineRule="auto"/>
        <w:rPr>
          <w:sz w:val="20"/>
          <w:szCs w:val="20"/>
          <w:color w:val="auto"/>
        </w:rPr>
      </w:pPr>
      <w:r>
        <w:rPr>
          <w:rFonts w:ascii="Arial" w:cs="Arial" w:eastAsia="Arial" w:hAnsi="Arial"/>
          <w:sz w:val="17"/>
          <w:szCs w:val="17"/>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56" w:lineRule="exact"/>
        <w:rPr>
          <w:sz w:val="20"/>
          <w:szCs w:val="20"/>
          <w:color w:val="auto"/>
        </w:rPr>
      </w:pPr>
    </w:p>
    <w:p>
      <w:pPr>
        <w:ind w:left="360" w:firstLine="535"/>
        <w:spacing w:after="0" w:line="243" w:lineRule="auto"/>
        <w:rPr>
          <w:sz w:val="20"/>
          <w:szCs w:val="20"/>
          <w:color w:val="auto"/>
        </w:rPr>
      </w:pPr>
      <w:r>
        <w:rPr>
          <w:rFonts w:ascii="Arial" w:cs="Arial" w:eastAsia="Arial" w:hAnsi="Arial"/>
          <w:sz w:val="17"/>
          <w:szCs w:val="17"/>
          <w:color w:val="auto"/>
        </w:rPr>
        <w:t>As a public company, and particularly after we are no longer an emerging growth company, we will incur significant legal, accounting and other expenses that we did not incur as a private company. The Sarbanes-Oxley Act of 2002, or Sarbanes-Oxley,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w:t>
      </w:r>
    </w:p>
    <w:p>
      <w:pPr>
        <w:spacing w:after="0" w:line="198" w:lineRule="exact"/>
        <w:rPr>
          <w:sz w:val="20"/>
          <w:szCs w:val="20"/>
          <w:color w:val="auto"/>
        </w:rPr>
      </w:pPr>
    </w:p>
    <w:p>
      <w:pPr>
        <w:ind w:left="360" w:right="60" w:firstLine="535"/>
        <w:spacing w:after="0" w:line="245" w:lineRule="auto"/>
        <w:rPr>
          <w:sz w:val="20"/>
          <w:szCs w:val="20"/>
          <w:color w:val="auto"/>
        </w:rPr>
      </w:pPr>
      <w:r>
        <w:rPr>
          <w:rFonts w:ascii="Arial" w:cs="Arial" w:eastAsia="Arial" w:hAnsi="Arial"/>
          <w:sz w:val="17"/>
          <w:szCs w:val="17"/>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95" w:lineRule="exact"/>
        <w:rPr>
          <w:sz w:val="20"/>
          <w:szCs w:val="20"/>
          <w:color w:val="auto"/>
        </w:rPr>
      </w:pPr>
    </w:p>
    <w:p>
      <w:pPr>
        <w:ind w:left="360" w:right="80" w:firstLine="535"/>
        <w:spacing w:after="0" w:line="248" w:lineRule="auto"/>
        <w:rPr>
          <w:sz w:val="20"/>
          <w:szCs w:val="20"/>
          <w:color w:val="auto"/>
        </w:rPr>
      </w:pPr>
      <w:r>
        <w:rPr>
          <w:rFonts w:ascii="Arial" w:cs="Arial" w:eastAsia="Arial" w:hAnsi="Arial"/>
          <w:sz w:val="17"/>
          <w:szCs w:val="17"/>
          <w:color w:val="auto"/>
        </w:rPr>
        <w:t>Pursuant to Section 404 of Sarbanes-Oxley, or Section 404, we will be required to furnish a report by our management on our internal control over financial reporting beginning with the annual report for our fiscal year ending December 31, 2019. However, while we remain an emerging growth company, we will not be required to include an attestation report on internal control over financial reporting issued</w:t>
      </w:r>
    </w:p>
    <w:p>
      <w:pPr>
        <w:spacing w:after="0" w:line="32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040"/>
          </w:cols>
          <w:pgMar w:left="240" w:top="449" w:right="619" w:bottom="1440" w:gutter="0" w:footer="0" w:header="0"/>
        </w:sectPr>
      </w:pPr>
    </w:p>
    <w:bookmarkStart w:id="59" w:name="page60"/>
    <w:bookmarkEnd w:id="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60"/>
        <w:spacing w:after="0" w:line="243" w:lineRule="auto"/>
        <w:rPr>
          <w:sz w:val="20"/>
          <w:szCs w:val="20"/>
          <w:color w:val="auto"/>
        </w:rPr>
      </w:pPr>
      <w:r>
        <w:rPr>
          <w:rFonts w:ascii="Arial" w:cs="Arial" w:eastAsia="Arial" w:hAnsi="Arial"/>
          <w:sz w:val="17"/>
          <w:szCs w:val="17"/>
          <w:color w:val="auto"/>
        </w:rPr>
        <w:t>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and restrict our future access to the capital markets due to a loss of confidence in the reliability of our financial statements.</w:t>
      </w:r>
    </w:p>
    <w:p>
      <w:pPr>
        <w:spacing w:after="0" w:line="283" w:lineRule="exact"/>
        <w:rPr>
          <w:sz w:val="20"/>
          <w:szCs w:val="20"/>
          <w:color w:val="auto"/>
        </w:rPr>
      </w:pPr>
    </w:p>
    <w:p>
      <w:pPr>
        <w:ind w:left="360" w:right="240"/>
        <w:spacing w:after="0" w:line="262" w:lineRule="auto"/>
        <w:rPr>
          <w:sz w:val="20"/>
          <w:szCs w:val="20"/>
          <w:color w:val="auto"/>
        </w:rPr>
      </w:pPr>
      <w:r>
        <w:rPr>
          <w:rFonts w:ascii="Arial" w:cs="Arial" w:eastAsia="Arial" w:hAnsi="Arial"/>
          <w:sz w:val="17"/>
          <w:szCs w:val="17"/>
          <w:b w:val="1"/>
          <w:bCs w:val="1"/>
          <w:i w:val="1"/>
          <w:iCs w:val="1"/>
          <w:color w:val="auto"/>
        </w:rPr>
        <w:t>Our certificate of incorporation will provide that the Court of Chancery of the State of Delaware will be the exclusive forum for substantially all disputes between us and our stockholders, which could limit our stockholders’ ability to obtain a favorable judicial forum for disputes with us or our directors, officers, employees or stockholders.</w:t>
      </w:r>
    </w:p>
    <w:p>
      <w:pPr>
        <w:spacing w:after="0" w:line="75" w:lineRule="exact"/>
        <w:rPr>
          <w:sz w:val="20"/>
          <w:szCs w:val="20"/>
          <w:color w:val="auto"/>
        </w:rPr>
      </w:pPr>
    </w:p>
    <w:p>
      <w:pPr>
        <w:ind w:left="360" w:firstLine="535"/>
        <w:spacing w:after="0" w:line="243" w:lineRule="auto"/>
        <w:rPr>
          <w:sz w:val="20"/>
          <w:szCs w:val="20"/>
          <w:color w:val="auto"/>
        </w:rPr>
      </w:pPr>
      <w:r>
        <w:rPr>
          <w:rFonts w:ascii="Arial" w:cs="Arial" w:eastAsia="Arial" w:hAnsi="Arial"/>
          <w:sz w:val="17"/>
          <w:szCs w:val="17"/>
          <w:color w:val="auto"/>
        </w:rPr>
        <w:t>Our certificate of incorporation, which will be effective upon the closing of this offering, will provide that the Court of Chancery of the State of Delaware is the exclusive forum for any derivative action or proceeding brought on our behalf, any action asserting a breach of fiduciary duty owed by our directors, officers, other employees or stockholders to the company or our stockholders, any action asserting a claim against us arising pursuant to the Delaware General Corporation Law or as to which the Delaware General Corporation Law confers jurisdiction on the Court of Chancery of the State of Delaware, or any action asserting a claim arising pursuant to our certificate of incorporation or our bylaws or governed by the internal affairs doctrine. This provision may limit a stockholder’s ability to bring a claim in a judicial forum that it finds favorable for disputes with us or our directors, officers, other employees or other stockholders, which may discourage such lawsuits against us and our directors, officers, other employees or other stockholders. Alternatively, if a court were to find this provision in our certificate of incorporation to be inapplicable or unenforceable in an action, we may incur additional costs associated with resolving such action in other jurisdictions, which could adversely affect our business and financial condition.</w:t>
      </w:r>
    </w:p>
    <w:p>
      <w:pPr>
        <w:spacing w:after="0" w:line="282" w:lineRule="exact"/>
        <w:rPr>
          <w:sz w:val="20"/>
          <w:szCs w:val="20"/>
          <w:color w:val="auto"/>
        </w:rPr>
      </w:pPr>
    </w:p>
    <w:p>
      <w:pPr>
        <w:ind w:left="360" w:right="220"/>
        <w:spacing w:after="0" w:line="284" w:lineRule="auto"/>
        <w:rPr>
          <w:sz w:val="20"/>
          <w:szCs w:val="20"/>
          <w:color w:val="auto"/>
        </w:rPr>
      </w:pPr>
      <w:r>
        <w:rPr>
          <w:rFonts w:ascii="Arial" w:cs="Arial" w:eastAsia="Arial" w:hAnsi="Arial"/>
          <w:sz w:val="17"/>
          <w:szCs w:val="17"/>
          <w:b w:val="1"/>
          <w:bCs w:val="1"/>
          <w:i w:val="1"/>
          <w:iCs w:val="1"/>
          <w:color w:val="auto"/>
        </w:rPr>
        <w:t>Because we do not anticipate paying any cash dividends on our capital stock in the foreseeable future, capital appreciation, if any, will be your sole source of gain.</w:t>
      </w:r>
    </w:p>
    <w:p>
      <w:pPr>
        <w:spacing w:after="0" w:line="56" w:lineRule="exact"/>
        <w:rPr>
          <w:sz w:val="20"/>
          <w:szCs w:val="20"/>
          <w:color w:val="auto"/>
        </w:rPr>
      </w:pPr>
    </w:p>
    <w:p>
      <w:pPr>
        <w:ind w:left="360" w:right="120" w:firstLine="535"/>
        <w:spacing w:after="0" w:line="247"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of our future earnings, if any, to finance the growth and development of our business. In addition, the terms of any future debt agreements we may enter into may preclude us from paying dividends. As a result, capital appreciation, if any, of our common stock will be your sole source of gain for the foreseeable future.</w:t>
      </w:r>
    </w:p>
    <w:p>
      <w:pPr>
        <w:spacing w:after="0" w:line="126"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020"/>
          </w:cols>
          <w:pgMar w:left="240" w:top="449" w:right="639" w:bottom="1440" w:gutter="0" w:footer="0" w:header="0"/>
        </w:sectPr>
      </w:pPr>
    </w:p>
    <w:bookmarkStart w:id="60" w:name="page61"/>
    <w:bookmarkEnd w:id="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SPECIAL NOTE REGARDING FORWARD-LOOKING STATEMENTS AND INDUSTRY DATA</w:t>
      </w:r>
    </w:p>
    <w:p>
      <w:pPr>
        <w:spacing w:after="0" w:line="233" w:lineRule="exact"/>
        <w:rPr>
          <w:sz w:val="20"/>
          <w:szCs w:val="20"/>
          <w:color w:val="auto"/>
        </w:rPr>
      </w:pPr>
    </w:p>
    <w:p>
      <w:pPr>
        <w:ind w:left="360" w:firstLine="535"/>
        <w:spacing w:after="0" w:line="244" w:lineRule="auto"/>
        <w:rPr>
          <w:sz w:val="20"/>
          <w:szCs w:val="20"/>
          <w:color w:val="auto"/>
        </w:rPr>
      </w:pPr>
      <w:r>
        <w:rPr>
          <w:rFonts w:ascii="Arial" w:cs="Arial" w:eastAsia="Arial" w:hAnsi="Arial"/>
          <w:sz w:val="17"/>
          <w:szCs w:val="17"/>
          <w:color w:val="auto"/>
        </w:rPr>
        <w:t>This prospectus contains forward-looking statements, including statements in the sections titled “Prospectus Summary,” “Risk Factors,” “Management’s Discussion and Analysis of Financial Condition and Results of Operations,” and “Business,” that involve substantial risks and uncertainties. All statements, other than statements of historical facts, contained in this prospectus, including statements regarding our strategy, future operations, future financial position, future revenues, projected costs, prospects, plans and objectives of management, are forward-looking statements. The words “anticipate,” “believe,” “estimate,” “expect,” “intend,” “may,” “might,” “plan,” “predict,” “project,” “target,” “potential,” “will,” “would,” “could,” “should,” “continue,” and similar expressions are intended to identify forward-looking statements, although not all forward-looking statements contain these identifying words.</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forward-looking statements in this prospectus include, among other things, statements about:</w:t>
      </w:r>
    </w:p>
    <w:p>
      <w:pPr>
        <w:spacing w:after="0" w:line="119" w:lineRule="exact"/>
        <w:rPr>
          <w:sz w:val="20"/>
          <w:szCs w:val="20"/>
          <w:color w:val="auto"/>
        </w:rPr>
      </w:pPr>
    </w:p>
    <w:p>
      <w:pPr>
        <w:ind w:left="1100" w:hanging="210"/>
        <w:spacing w:after="0"/>
        <w:tabs>
          <w:tab w:leader="none" w:pos="11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timing of our planned IND submissions for ARV-110 and ARV-471;</w:t>
      </w:r>
    </w:p>
    <w:p>
      <w:pPr>
        <w:spacing w:after="0" w:line="119" w:lineRule="exact"/>
        <w:rPr>
          <w:rFonts w:ascii="Arial" w:cs="Arial" w:eastAsia="Arial" w:hAnsi="Arial"/>
          <w:sz w:val="17"/>
          <w:szCs w:val="17"/>
          <w:color w:val="auto"/>
        </w:rPr>
      </w:pPr>
    </w:p>
    <w:p>
      <w:pPr>
        <w:ind w:left="1100" w:right="280" w:hanging="210"/>
        <w:spacing w:after="0" w:line="259" w:lineRule="auto"/>
        <w:tabs>
          <w:tab w:leader="none" w:pos="11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timing and conduct of our clinical trial programs of ARV-110 and ARV-471, including statements regarding the timing of initiation and completion of the clinical trials and the period during which the results of the clinical trials will become available;</w:t>
      </w:r>
    </w:p>
    <w:p>
      <w:pPr>
        <w:spacing w:after="0" w:line="89" w:lineRule="exact"/>
        <w:rPr>
          <w:rFonts w:ascii="Arial" w:cs="Arial" w:eastAsia="Arial" w:hAnsi="Arial"/>
          <w:sz w:val="17"/>
          <w:szCs w:val="17"/>
          <w:color w:val="auto"/>
        </w:rPr>
      </w:pPr>
    </w:p>
    <w:p>
      <w:pPr>
        <w:ind w:left="1100" w:right="240" w:hanging="210"/>
        <w:spacing w:after="0" w:line="259" w:lineRule="auto"/>
        <w:tabs>
          <w:tab w:leader="none" w:pos="11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timing of, and our ability to obtain, marketing approval of ARV-110 and ARV-471, and the ability of ARV-110 and ARV-471 and our other product candidates to meet existing or future regulatory standards;</w:t>
      </w:r>
    </w:p>
    <w:p>
      <w:pPr>
        <w:spacing w:after="0" w:line="89" w:lineRule="exact"/>
        <w:rPr>
          <w:rFonts w:ascii="Arial" w:cs="Arial" w:eastAsia="Arial" w:hAnsi="Arial"/>
          <w:sz w:val="17"/>
          <w:szCs w:val="17"/>
          <w:color w:val="auto"/>
        </w:rPr>
      </w:pPr>
    </w:p>
    <w:p>
      <w:pPr>
        <w:ind w:left="1100" w:hanging="210"/>
        <w:spacing w:after="0"/>
        <w:tabs>
          <w:tab w:leader="none" w:pos="11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plans to pursue research and development of other product candidates;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potential advantages of our platform technology and our product candidates;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extent to which our scientific approach and platform technology may potentially address a broad range of diseases;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potential benefits of our arrangements with Yale University and Professor Crews;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timing of and our ability to obtain and maintain regulatory approvals for our product candidates;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potential receipt of revenue from future sales of our product candidates;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rate and degree of market acceptance and clinical utility of our product candidates;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estimates regarding the potential market opportunity for our product candidates;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sales, marketing and distribution capabilities and strategy;</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ability to establish and maintain arrangements for manufacture of our product candidates;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potential achievement of milestones and receipt of payments under our collaborations;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ability to enter into additional collaborations with third parties;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intellectual property position;</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expectations related to the use of proceeds from this offering;</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estimates regarding expenses, future revenues, capital requirements and needs for additional financing;</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impact of government laws and regulations; and</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competitive position.</w:t>
      </w:r>
    </w:p>
    <w:p>
      <w:pPr>
        <w:spacing w:after="0" w:line="211" w:lineRule="exact"/>
        <w:rPr>
          <w:sz w:val="20"/>
          <w:szCs w:val="20"/>
          <w:color w:val="auto"/>
        </w:rPr>
      </w:pPr>
    </w:p>
    <w:p>
      <w:pPr>
        <w:ind w:left="360" w:right="60" w:firstLine="535"/>
        <w:spacing w:after="0" w:line="259" w:lineRule="auto"/>
        <w:rPr>
          <w:sz w:val="20"/>
          <w:szCs w:val="20"/>
          <w:color w:val="auto"/>
        </w:rPr>
      </w:pPr>
      <w:r>
        <w:rPr>
          <w:rFonts w:ascii="Arial" w:cs="Arial" w:eastAsia="Arial" w:hAnsi="Arial"/>
          <w:sz w:val="17"/>
          <w:szCs w:val="17"/>
          <w:color w:val="auto"/>
        </w:rPr>
        <w:t>We may not actually achieve the plans, intentions or expectations disclosed in our forward-looking statements, and you should not place undue reliance on our forward-looking statements. Actual</w:t>
      </w:r>
    </w:p>
    <w:p>
      <w:pPr>
        <w:spacing w:after="0" w:line="116"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000"/>
          </w:cols>
          <w:pgMar w:left="240" w:top="449" w:right="659"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spacing w:after="0" w:line="246" w:lineRule="auto"/>
        <w:rPr>
          <w:sz w:val="20"/>
          <w:szCs w:val="20"/>
          <w:color w:val="auto"/>
        </w:rPr>
      </w:pPr>
      <w:r>
        <w:rPr>
          <w:rFonts w:ascii="Arial" w:cs="Arial" w:eastAsia="Arial" w:hAnsi="Arial"/>
          <w:sz w:val="17"/>
          <w:szCs w:val="17"/>
          <w:color w:val="auto"/>
        </w:rPr>
        <w:t>results or events could differ materially from the plans, intentions and expectations disclosed in the forward-looking statements we make. We have included important factors in the cautionary statements included in this prospectus, particularly in the “Risk Factors” section, that we believe could cause actual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392" w:lineRule="exact"/>
        <w:rPr>
          <w:sz w:val="20"/>
          <w:szCs w:val="20"/>
          <w:color w:val="auto"/>
        </w:rPr>
      </w:pPr>
    </w:p>
    <w:p>
      <w:pPr>
        <w:ind w:left="360" w:right="400" w:firstLine="535"/>
        <w:spacing w:after="0" w:line="247" w:lineRule="auto"/>
        <w:rPr>
          <w:sz w:val="20"/>
          <w:szCs w:val="20"/>
          <w:color w:val="auto"/>
        </w:rPr>
      </w:pPr>
      <w:r>
        <w:rPr>
          <w:rFonts w:ascii="Arial" w:cs="Arial" w:eastAsia="Arial" w:hAnsi="Arial"/>
          <w:sz w:val="17"/>
          <w:szCs w:val="17"/>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The forward-looking statements contained in this prospectus are made as of the date of this prospectus, and we do not assume any obligation to update any forward-looking statements except as required by applicable law.</w:t>
      </w:r>
    </w:p>
    <w:p>
      <w:pPr>
        <w:spacing w:after="0" w:line="192" w:lineRule="exact"/>
        <w:rPr>
          <w:sz w:val="20"/>
          <w:szCs w:val="20"/>
          <w:color w:val="auto"/>
        </w:rPr>
      </w:pPr>
    </w:p>
    <w:p>
      <w:pPr>
        <w:ind w:left="360" w:firstLine="535"/>
        <w:spacing w:after="0" w:line="247" w:lineRule="auto"/>
        <w:rPr>
          <w:sz w:val="20"/>
          <w:szCs w:val="20"/>
          <w:color w:val="auto"/>
        </w:rPr>
      </w:pPr>
      <w:r>
        <w:rPr>
          <w:rFonts w:ascii="Arial" w:cs="Arial" w:eastAsia="Arial" w:hAnsi="Arial"/>
          <w:sz w:val="17"/>
          <w:szCs w:val="17"/>
          <w:color w:val="auto"/>
        </w:rPr>
        <w:t>This prospectus includes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w:t>
      </w:r>
    </w:p>
    <w:p>
      <w:pPr>
        <w:spacing w:after="0" w:line="12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000"/>
          </w:cols>
          <w:pgMar w:left="240" w:top="449" w:right="659" w:bottom="1440" w:gutter="0" w:footer="0" w:header="0"/>
        </w:sectPr>
      </w:pPr>
    </w:p>
    <w:bookmarkStart w:id="62" w:name="page63"/>
    <w:bookmarkEnd w:id="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USE OF PROCEEDS</w:t>
      </w:r>
    </w:p>
    <w:p>
      <w:pPr>
        <w:spacing w:after="0" w:line="233" w:lineRule="exact"/>
        <w:rPr>
          <w:sz w:val="20"/>
          <w:szCs w:val="20"/>
          <w:color w:val="auto"/>
        </w:rPr>
      </w:pPr>
    </w:p>
    <w:p>
      <w:pPr>
        <w:ind w:left="360" w:right="40" w:firstLine="535"/>
        <w:spacing w:after="0" w:line="247" w:lineRule="auto"/>
        <w:rPr>
          <w:sz w:val="20"/>
          <w:szCs w:val="20"/>
          <w:color w:val="auto"/>
        </w:rPr>
      </w:pPr>
      <w:r>
        <w:rPr>
          <w:rFonts w:ascii="Arial" w:cs="Arial" w:eastAsia="Arial" w:hAnsi="Arial"/>
          <w:sz w:val="17"/>
          <w:szCs w:val="17"/>
          <w:color w:val="auto"/>
        </w:rPr>
        <w:t>We estimate that the net proceeds from our issuance and sale of 7,500,000 shares of our common stock in this offering will be approximately $108.5 million, based on the initial public offering price of $16.00 per share, after deducting underwriting discounts and commissions and estimated offering expenses payable by us. If the underwriters exercise in full their option to purchase additional shares, we estimate that the net proceeds from this offering will be approximately $125.2 million.</w:t>
      </w:r>
    </w:p>
    <w:p>
      <w:pPr>
        <w:spacing w:after="0" w:line="192" w:lineRule="exact"/>
        <w:rPr>
          <w:sz w:val="20"/>
          <w:szCs w:val="20"/>
          <w:color w:val="auto"/>
        </w:rPr>
      </w:pPr>
    </w:p>
    <w:p>
      <w:pPr>
        <w:jc w:val="both"/>
        <w:ind w:left="360" w:right="560" w:firstLine="535"/>
        <w:spacing w:after="0" w:line="250" w:lineRule="auto"/>
        <w:rPr>
          <w:sz w:val="20"/>
          <w:szCs w:val="20"/>
          <w:color w:val="auto"/>
        </w:rPr>
      </w:pPr>
      <w:r>
        <w:rPr>
          <w:rFonts w:ascii="Arial" w:cs="Arial" w:eastAsia="Arial" w:hAnsi="Arial"/>
          <w:sz w:val="17"/>
          <w:szCs w:val="17"/>
          <w:color w:val="auto"/>
        </w:rPr>
        <w:t>As of June 30, 2018, we had cash, cash equivalents and marketable securities of approximately $99.7 million. We currently estimate that we will use the net proceeds from this offering, together with our cash, cash equivalents and marketable securities, as follows:</w:t>
      </w:r>
    </w:p>
    <w:p>
      <w:pPr>
        <w:spacing w:after="0" w:line="97" w:lineRule="exact"/>
        <w:rPr>
          <w:sz w:val="20"/>
          <w:szCs w:val="20"/>
          <w:color w:val="auto"/>
        </w:rPr>
      </w:pPr>
    </w:p>
    <w:p>
      <w:pPr>
        <w:ind w:left="1100" w:hanging="210"/>
        <w:spacing w:after="0" w:line="250" w:lineRule="auto"/>
        <w:tabs>
          <w:tab w:leader="none" w:pos="11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approximately $29.0 million to $34.0 million for the advancement of our AR program, including completion of our IND submissions, completion of our Phase 1 dose-escalation clinical trial of ARV-110 in men with progressive mCRPC, conducting an expansion cohort from this trial, and conducting IND-enabling studies of a next generation AR degrader for men with mCRPC;</w:t>
      </w:r>
    </w:p>
    <w:p>
      <w:pPr>
        <w:spacing w:after="0" w:line="97" w:lineRule="exact"/>
        <w:rPr>
          <w:rFonts w:ascii="Arial" w:cs="Arial" w:eastAsia="Arial" w:hAnsi="Arial"/>
          <w:sz w:val="17"/>
          <w:szCs w:val="17"/>
          <w:color w:val="auto"/>
        </w:rPr>
      </w:pPr>
    </w:p>
    <w:p>
      <w:pPr>
        <w:ind w:left="1100" w:right="60" w:hanging="210"/>
        <w:spacing w:after="0" w:line="247" w:lineRule="auto"/>
        <w:tabs>
          <w:tab w:leader="none" w:pos="11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approximately $20.0 million to $23.0 million for the advancement of our ER program, including completion of our IND submissions, completion of our Phase 1 dose-escalation clinical trial of ARV-471 in women with locally advanced or metastatic ER+ breast cancer, enrolling an expansion cohort from this trial, and initiating a Phase 1b clinical trial of ARV-471 in combination with a CDK4/6 inhibitor; and</w:t>
      </w:r>
    </w:p>
    <w:p>
      <w:pPr>
        <w:spacing w:after="0" w:line="99" w:lineRule="exact"/>
        <w:rPr>
          <w:rFonts w:ascii="Arial" w:cs="Arial" w:eastAsia="Arial" w:hAnsi="Arial"/>
          <w:sz w:val="17"/>
          <w:szCs w:val="17"/>
          <w:color w:val="auto"/>
        </w:rPr>
      </w:pPr>
    </w:p>
    <w:p>
      <w:pPr>
        <w:ind w:left="1100" w:right="220" w:hanging="210"/>
        <w:spacing w:after="0" w:line="259" w:lineRule="auto"/>
        <w:tabs>
          <w:tab w:leader="none" w:pos="11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remainder for the continued expansion of our platform technology, preclinical studies for research stage programs, working capital and other general corporate purposes.</w:t>
      </w:r>
    </w:p>
    <w:p>
      <w:pPr>
        <w:spacing w:after="0" w:line="181" w:lineRule="exact"/>
        <w:rPr>
          <w:sz w:val="20"/>
          <w:szCs w:val="20"/>
          <w:color w:val="auto"/>
        </w:rPr>
      </w:pPr>
    </w:p>
    <w:p>
      <w:pPr>
        <w:ind w:left="360" w:right="60" w:firstLine="535"/>
        <w:spacing w:after="0" w:line="244" w:lineRule="auto"/>
        <w:rPr>
          <w:sz w:val="20"/>
          <w:szCs w:val="20"/>
          <w:color w:val="auto"/>
        </w:rPr>
      </w:pPr>
      <w:r>
        <w:rPr>
          <w:rFonts w:ascii="Arial" w:cs="Arial" w:eastAsia="Arial" w:hAnsi="Arial"/>
          <w:sz w:val="17"/>
          <w:szCs w:val="17"/>
          <w:color w:val="auto"/>
        </w:rPr>
        <w:t>This expected use of the net proceeds from this offering and our existing cash, cash equivalents and marketable securities represents our intentions based upon our current plans and business conditions. The amounts and timing of our actual expenditures may vary significantly depending on numerous factors, including the progress of our development and commercialization efforts, the status of and results from clinical trials, as well as any collaborations that we may enter into with third parties for our product candidates, and any unforeseen cash needs. As a result, our management will retain broad discretion over the allocation of the net proceeds from this offering. We have no current agreements, commitments or understandings for any material acquisitions or licenses of any products, businesses or technologies.</w:t>
      </w:r>
    </w:p>
    <w:p>
      <w:pPr>
        <w:spacing w:after="0" w:line="195" w:lineRule="exact"/>
        <w:rPr>
          <w:sz w:val="20"/>
          <w:szCs w:val="20"/>
          <w:color w:val="auto"/>
        </w:rPr>
      </w:pPr>
    </w:p>
    <w:p>
      <w:pPr>
        <w:ind w:left="360" w:right="40" w:firstLine="535"/>
        <w:spacing w:after="0" w:line="244" w:lineRule="auto"/>
        <w:rPr>
          <w:sz w:val="20"/>
          <w:szCs w:val="20"/>
          <w:color w:val="auto"/>
        </w:rPr>
      </w:pPr>
      <w:r>
        <w:rPr>
          <w:rFonts w:ascii="Arial" w:cs="Arial" w:eastAsia="Arial" w:hAnsi="Arial"/>
          <w:sz w:val="17"/>
          <w:szCs w:val="17"/>
          <w:color w:val="auto"/>
        </w:rPr>
        <w:t>Based on our planned use of the net proceeds from this offering and our existing cash, cash equivalents and marketable securities, we estimate that such funds will be sufficient to enable us to complete our Phase 1 dose-escalation clinical trials of both ARV-110 and ARV-471, enroll patients in the expansion cohorts for the ARV-110 and ARV-471 Phase 1 trials, initiate a Phase 1b clinical trial for ARV-471 in combination with a CDK4/6 inhibitor and complete IND-enabling studies of a next generation AR degrader. We have based this estimate on assumptions that may prove to be wrong, and we could use our available capital resources sooner than we currently expect. The net proceeds from this offering and our existing cash, cash equivalents and marketable securities may not be sufficient to allow us to complete the treatment of patients in the expansion cohorts from our Phase 1 trials for ARV-110 and ARV-471 or complete a Phase 1b clinical trial for ARV-471 in combination with a CDK4/6 inhibitor.</w:t>
      </w:r>
    </w:p>
    <w:p>
      <w:pPr>
        <w:spacing w:after="0" w:line="193" w:lineRule="exact"/>
        <w:rPr>
          <w:sz w:val="20"/>
          <w:szCs w:val="20"/>
          <w:color w:val="auto"/>
        </w:rPr>
      </w:pPr>
    </w:p>
    <w:p>
      <w:pPr>
        <w:ind w:left="360" w:right="460" w:firstLine="535"/>
        <w:spacing w:after="0" w:line="259" w:lineRule="auto"/>
        <w:rPr>
          <w:sz w:val="20"/>
          <w:szCs w:val="20"/>
          <w:color w:val="auto"/>
        </w:rPr>
      </w:pPr>
      <w:r>
        <w:rPr>
          <w:rFonts w:ascii="Arial" w:cs="Arial" w:eastAsia="Arial" w:hAnsi="Arial"/>
          <w:sz w:val="17"/>
          <w:szCs w:val="17"/>
          <w:color w:val="auto"/>
        </w:rPr>
        <w:t>Pending our use of the net proceeds from this offering, we intend to invest the net proceeds in a variety of capital preservation investments, including short-term, investment-grade, interest-bearing instruments and U.S. government securities.</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060"/>
          </w:cols>
          <w:pgMar w:left="240" w:top="450" w:right="599" w:bottom="1440" w:gutter="0" w:footer="0" w:header="0"/>
        </w:sectPr>
      </w:pPr>
    </w:p>
    <w:bookmarkStart w:id="63" w:name="page64"/>
    <w:bookmarkEnd w:id="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jc w:val="center"/>
        <w:ind w:right="-539"/>
        <w:spacing w:after="0"/>
        <w:rPr>
          <w:sz w:val="20"/>
          <w:szCs w:val="20"/>
          <w:color w:val="auto"/>
        </w:rPr>
      </w:pPr>
      <w:r>
        <w:rPr>
          <w:rFonts w:ascii="Arial" w:cs="Arial" w:eastAsia="Arial" w:hAnsi="Arial"/>
          <w:sz w:val="17"/>
          <w:szCs w:val="17"/>
          <w:b w:val="1"/>
          <w:bCs w:val="1"/>
          <w:color w:val="auto"/>
        </w:rPr>
        <w:t>DIVIDEND POLICY</w:t>
      </w:r>
    </w:p>
    <w:p>
      <w:pPr>
        <w:spacing w:after="0" w:line="233" w:lineRule="exact"/>
        <w:rPr>
          <w:sz w:val="20"/>
          <w:szCs w:val="20"/>
          <w:color w:val="auto"/>
        </w:rPr>
      </w:pPr>
    </w:p>
    <w:p>
      <w:pPr>
        <w:ind w:left="360" w:firstLine="535"/>
        <w:spacing w:after="0" w:line="245"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of our future earnings, if any, to finance the growth and development of our business. We do not intend to pay cash dividends in respect of our common stock in the foreseeable future. Any future determination to pay dividends will be made at the discretion of our board of directors and will depend on various factors, including applicable laws, our results of operations, financial condition, future prospects, then applicable contractual restrictions and any other factors deemed relevant by our board of directors. Investors should not purchase our common stock with the expectation of receiving cash dividends.</w:t>
      </w:r>
    </w:p>
    <w:p>
      <w:pPr>
        <w:spacing w:after="0" w:line="127"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0900"/>
          </w:cols>
          <w:pgMar w:left="240" w:top="450" w:right="759" w:bottom="1440" w:gutter="0" w:footer="0" w:header="0"/>
        </w:sectPr>
      </w:pPr>
    </w:p>
    <w:bookmarkStart w:id="64" w:name="page65"/>
    <w:bookmarkEnd w:id="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CORPORATE CONVERSION</w:t>
      </w:r>
    </w:p>
    <w:p>
      <w:pPr>
        <w:spacing w:after="0" w:line="233" w:lineRule="exact"/>
        <w:rPr>
          <w:sz w:val="20"/>
          <w:szCs w:val="20"/>
          <w:color w:val="auto"/>
        </w:rPr>
      </w:pPr>
    </w:p>
    <w:p>
      <w:pPr>
        <w:ind w:left="360" w:right="60" w:firstLine="535"/>
        <w:spacing w:after="0" w:line="245" w:lineRule="auto"/>
        <w:rPr>
          <w:sz w:val="20"/>
          <w:szCs w:val="20"/>
          <w:color w:val="auto"/>
        </w:rPr>
      </w:pPr>
      <w:r>
        <w:rPr>
          <w:rFonts w:ascii="Arial" w:cs="Arial" w:eastAsia="Arial" w:hAnsi="Arial"/>
          <w:sz w:val="17"/>
          <w:szCs w:val="17"/>
          <w:color w:val="auto"/>
        </w:rPr>
        <w:t>Prior to the Conversion, as described below, we operated as a limited liability company organized under the laws of the State of Delaware named Arvinas Holding Company, LLC, or Arvinas LLC. We currently have five subsidiaries, all of which are incorporated under the laws of the state of Delaware: Arvinas Operations, Inc., Arvinas Androgen Receptor, Inc., Arvinas BRD4, Inc., Arvinas Estrogen Receptor, Inc., and Arvinas Winchester, Inc. Immediately prior to the effectiveness of the registration statement of which this prospectus forms a part, we engaged in the following transactions, which we refer to collectively as the Conversion:</w:t>
      </w:r>
    </w:p>
    <w:p>
      <w:pPr>
        <w:spacing w:after="0" w:line="103" w:lineRule="exact"/>
        <w:rPr>
          <w:sz w:val="20"/>
          <w:szCs w:val="20"/>
          <w:color w:val="auto"/>
        </w:rPr>
      </w:pPr>
    </w:p>
    <w:p>
      <w:pPr>
        <w:ind w:left="1100" w:right="320" w:hanging="210"/>
        <w:spacing w:after="0" w:line="259" w:lineRule="auto"/>
        <w:tabs>
          <w:tab w:leader="none" w:pos="11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we converted from a Delaware limited liability company to a Delaware corporation by filing a certificate of conversion with the Secretary of State of the State of Delaware;</w:t>
      </w:r>
    </w:p>
    <w:p>
      <w:pPr>
        <w:spacing w:after="0" w:line="89" w:lineRule="exact"/>
        <w:rPr>
          <w:rFonts w:ascii="Arial" w:cs="Arial" w:eastAsia="Arial" w:hAnsi="Arial"/>
          <w:sz w:val="17"/>
          <w:szCs w:val="17"/>
          <w:color w:val="auto"/>
        </w:rPr>
      </w:pPr>
    </w:p>
    <w:p>
      <w:pPr>
        <w:ind w:left="1100" w:hanging="210"/>
        <w:spacing w:after="0"/>
        <w:tabs>
          <w:tab w:leader="none" w:pos="11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subsidiary, Arvinas, Inc., changed its name to Arvinas Operations, Inc.; and</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we changed our name to Arvinas, Inc.</w:t>
      </w:r>
    </w:p>
    <w:p>
      <w:pPr>
        <w:spacing w:after="0" w:line="21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As part of the Conversion:</w:t>
      </w:r>
    </w:p>
    <w:p>
      <w:pPr>
        <w:spacing w:after="0" w:line="119" w:lineRule="exact"/>
        <w:rPr>
          <w:sz w:val="20"/>
          <w:szCs w:val="20"/>
          <w:color w:val="auto"/>
        </w:rPr>
      </w:pPr>
    </w:p>
    <w:p>
      <w:pPr>
        <w:ind w:left="1100" w:right="100" w:hanging="210"/>
        <w:spacing w:after="0" w:line="259" w:lineRule="auto"/>
        <w:tabs>
          <w:tab w:leader="none" w:pos="11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holders of series A preferred units of Arvinas LLC received one share of series A preferred stock of Arvinas, Inc. for each series A preferred unit held immediately prior to the Conversion;</w:t>
      </w:r>
    </w:p>
    <w:p>
      <w:pPr>
        <w:spacing w:after="0" w:line="89" w:lineRule="exact"/>
        <w:rPr>
          <w:rFonts w:ascii="Arial" w:cs="Arial" w:eastAsia="Arial" w:hAnsi="Arial"/>
          <w:sz w:val="17"/>
          <w:szCs w:val="17"/>
          <w:color w:val="auto"/>
        </w:rPr>
      </w:pPr>
    </w:p>
    <w:p>
      <w:pPr>
        <w:ind w:left="1100" w:right="100" w:hanging="210"/>
        <w:spacing w:after="0" w:line="259" w:lineRule="auto"/>
        <w:tabs>
          <w:tab w:leader="none" w:pos="11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holders of series B preferred units of Arvinas LLC received one share of series B preferred stock of Arvinas, Inc. for each series B preferred unit held immediately prior to the Conversion;</w:t>
      </w:r>
    </w:p>
    <w:p>
      <w:pPr>
        <w:spacing w:after="0" w:line="89" w:lineRule="exact"/>
        <w:rPr>
          <w:rFonts w:ascii="Arial" w:cs="Arial" w:eastAsia="Arial" w:hAnsi="Arial"/>
          <w:sz w:val="17"/>
          <w:szCs w:val="17"/>
          <w:color w:val="auto"/>
        </w:rPr>
      </w:pPr>
    </w:p>
    <w:p>
      <w:pPr>
        <w:ind w:left="1100" w:right="80" w:hanging="210"/>
        <w:spacing w:after="0" w:line="259" w:lineRule="auto"/>
        <w:tabs>
          <w:tab w:leader="none" w:pos="11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holders of series C preferred units of Arvinas LLC received one share of series C preferred stock of Arvinas, Inc. for each series C preferred unit held immediately prior to the Conversion;</w:t>
      </w:r>
    </w:p>
    <w:p>
      <w:pPr>
        <w:spacing w:after="0" w:line="89" w:lineRule="exact"/>
        <w:rPr>
          <w:rFonts w:ascii="Arial" w:cs="Arial" w:eastAsia="Arial" w:hAnsi="Arial"/>
          <w:sz w:val="17"/>
          <w:szCs w:val="17"/>
          <w:color w:val="auto"/>
        </w:rPr>
      </w:pPr>
    </w:p>
    <w:p>
      <w:pPr>
        <w:ind w:left="1100" w:right="620" w:hanging="210"/>
        <w:spacing w:after="0" w:line="259" w:lineRule="auto"/>
        <w:tabs>
          <w:tab w:leader="none" w:pos="11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holders of common units of Arvinas LLC received one share of common stock of Arvinas, Inc. for each common unit held immediately prior to the Conversion; and</w:t>
      </w:r>
    </w:p>
    <w:p>
      <w:pPr>
        <w:spacing w:after="0" w:line="89" w:lineRule="exact"/>
        <w:rPr>
          <w:rFonts w:ascii="Arial" w:cs="Arial" w:eastAsia="Arial" w:hAnsi="Arial"/>
          <w:sz w:val="17"/>
          <w:szCs w:val="17"/>
          <w:color w:val="auto"/>
        </w:rPr>
      </w:pPr>
    </w:p>
    <w:p>
      <w:pPr>
        <w:ind w:left="1100" w:hanging="210"/>
        <w:spacing w:after="0" w:line="244" w:lineRule="auto"/>
        <w:tabs>
          <w:tab w:leader="none" w:pos="11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each outstanding incentive unit in Arvinas LLC converted into a number of shares of common stock of Arvinas, Inc. based upon a conversion price determined by our board of directors immediately prior to the Conversion. Certain of the shares of common stock issued in respect of incentive units continue to be subject to vesting in accordance with the vesting schedule that was applicable to such incentive units. Additionally, we granted holders of incentive units who were our employees, directors or consultants at the time of the Conversion a number of options to purchase shares of our common stock at a ratio based upon the conversion price determined by our board of directors. Based on a determined fair value of $16.00 per common unit, the incentive units converted into an aggregate of 3,063,276 shares of our common stock, and we granted options to purchase an aggregate of 2,018,180 shares of our common stock.</w:t>
      </w:r>
    </w:p>
    <w:p>
      <w:pPr>
        <w:spacing w:after="0" w:line="193" w:lineRule="exact"/>
        <w:rPr>
          <w:sz w:val="20"/>
          <w:szCs w:val="20"/>
          <w:color w:val="auto"/>
        </w:rPr>
      </w:pPr>
    </w:p>
    <w:p>
      <w:pPr>
        <w:ind w:left="360" w:right="80" w:firstLine="535"/>
        <w:spacing w:after="0" w:line="250" w:lineRule="auto"/>
        <w:rPr>
          <w:sz w:val="20"/>
          <w:szCs w:val="20"/>
          <w:color w:val="auto"/>
        </w:rPr>
      </w:pPr>
      <w:r>
        <w:rPr>
          <w:rFonts w:ascii="Arial" w:cs="Arial" w:eastAsia="Arial" w:hAnsi="Arial"/>
          <w:sz w:val="17"/>
          <w:szCs w:val="17"/>
          <w:color w:val="auto"/>
        </w:rPr>
        <w:t>Since effecting the Conversion, we have been governed by a certificate of incorporation that was filed with the Delaware Secretary of State and our bylaws. On the effective date of the Conversion, the members of the board of managers of Arvinas LLC became the members of the board of directors of Arvinas, Inc. and the officers of Arvinas LLC became the officers of Arvinas, Inc.</w:t>
      </w:r>
    </w:p>
    <w:p>
      <w:pPr>
        <w:spacing w:after="0" w:line="189" w:lineRule="exact"/>
        <w:rPr>
          <w:sz w:val="20"/>
          <w:szCs w:val="20"/>
          <w:color w:val="auto"/>
        </w:rPr>
      </w:pPr>
    </w:p>
    <w:p>
      <w:pPr>
        <w:ind w:left="360" w:right="380" w:firstLine="535"/>
        <w:spacing w:after="0" w:line="259" w:lineRule="auto"/>
        <w:rPr>
          <w:sz w:val="20"/>
          <w:szCs w:val="20"/>
          <w:color w:val="auto"/>
        </w:rPr>
      </w:pPr>
      <w:r>
        <w:rPr>
          <w:rFonts w:ascii="Arial" w:cs="Arial" w:eastAsia="Arial" w:hAnsi="Arial"/>
          <w:sz w:val="17"/>
          <w:szCs w:val="17"/>
          <w:color w:val="auto"/>
        </w:rPr>
        <w:t>Upon the closing of our initial public offering, each 3.25 shares of preferred stock issued in the Conversion will convert into one share of our common stock.</w:t>
      </w:r>
    </w:p>
    <w:p>
      <w:pPr>
        <w:spacing w:after="0" w:line="181" w:lineRule="exact"/>
        <w:rPr>
          <w:sz w:val="20"/>
          <w:szCs w:val="20"/>
          <w:color w:val="auto"/>
        </w:rPr>
      </w:pPr>
    </w:p>
    <w:p>
      <w:pPr>
        <w:ind w:left="360" w:right="140" w:firstLine="535"/>
        <w:spacing w:after="0" w:line="250" w:lineRule="auto"/>
        <w:rPr>
          <w:sz w:val="20"/>
          <w:szCs w:val="20"/>
          <w:color w:val="auto"/>
        </w:rPr>
      </w:pPr>
      <w:r>
        <w:rPr>
          <w:rFonts w:ascii="Arial" w:cs="Arial" w:eastAsia="Arial" w:hAnsi="Arial"/>
          <w:sz w:val="17"/>
          <w:szCs w:val="17"/>
          <w:color w:val="auto"/>
        </w:rPr>
        <w:t>In this prospectus, except as otherwise indicated or the context otherwise requires, all information is presented giving effect to the Conversion. The consolidated financial statements and selected historical consolidated financial data and other financial information included in this prospectus are those of Arvinas LLC and its subsidiaries and do not give effect to the Conversion.</w:t>
      </w:r>
    </w:p>
    <w:p>
      <w:pPr>
        <w:spacing w:after="0" w:line="123"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040"/>
          </w:cols>
          <w:pgMar w:left="240" w:top="449" w:right="619" w:bottom="1440" w:gutter="0" w:footer="0" w:header="0"/>
        </w:sectPr>
      </w:pPr>
    </w:p>
    <w:bookmarkStart w:id="65" w:name="page66"/>
    <w:bookmarkEnd w:id="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CAPITALIZATION</w:t>
      </w:r>
    </w:p>
    <w:p>
      <w:pPr>
        <w:spacing w:after="0" w:line="233"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following table sets forth our cash and cash equivalents, marketable securities and our capitalization as of June 30, 2018:</w:t>
      </w:r>
    </w:p>
    <w:p>
      <w:pPr>
        <w:spacing w:after="0" w:line="119" w:lineRule="exact"/>
        <w:rPr>
          <w:sz w:val="20"/>
          <w:szCs w:val="20"/>
          <w:color w:val="auto"/>
        </w:rPr>
      </w:pPr>
    </w:p>
    <w:p>
      <w:pPr>
        <w:ind w:left="1100" w:hanging="210"/>
        <w:spacing w:after="0"/>
        <w:tabs>
          <w:tab w:leader="none" w:pos="11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on an actual basis;</w:t>
      </w:r>
    </w:p>
    <w:p>
      <w:pPr>
        <w:spacing w:after="0" w:line="119" w:lineRule="exact"/>
        <w:rPr>
          <w:rFonts w:ascii="Arial" w:cs="Arial" w:eastAsia="Arial" w:hAnsi="Arial"/>
          <w:sz w:val="17"/>
          <w:szCs w:val="17"/>
          <w:color w:val="auto"/>
        </w:rPr>
      </w:pPr>
    </w:p>
    <w:p>
      <w:pPr>
        <w:ind w:left="1100" w:right="240" w:hanging="210"/>
        <w:spacing w:after="0" w:line="241" w:lineRule="auto"/>
        <w:tabs>
          <w:tab w:leader="none" w:pos="11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on a pro forma basis to give effect to (1) the cash exercise of an outstanding warrant to purchase 110,116 of our series A preferred units in July 2018, (2) the Conversion, (3) the automatic conversion of all outstanding shares of our preferred stock issued in the Conversion into an aggregate of 19,697,928 shares of our common stock upon the closing of this offering and</w:t>
      </w:r>
    </w:p>
    <w:p>
      <w:pPr>
        <w:spacing w:after="0" w:line="1" w:lineRule="exact"/>
        <w:rPr>
          <w:rFonts w:ascii="Arial" w:cs="Arial" w:eastAsia="Arial" w:hAnsi="Arial"/>
          <w:sz w:val="17"/>
          <w:szCs w:val="17"/>
          <w:color w:val="auto"/>
        </w:rPr>
      </w:pPr>
    </w:p>
    <w:p>
      <w:pPr>
        <w:ind w:left="1100"/>
        <w:spacing w:after="0"/>
        <w:rPr>
          <w:rFonts w:ascii="Arial" w:cs="Arial" w:eastAsia="Arial" w:hAnsi="Arial"/>
          <w:sz w:val="17"/>
          <w:szCs w:val="17"/>
          <w:color w:val="auto"/>
        </w:rPr>
      </w:pPr>
      <w:r>
        <w:rPr>
          <w:rFonts w:ascii="Arial" w:cs="Arial" w:eastAsia="Arial" w:hAnsi="Arial"/>
          <w:sz w:val="17"/>
          <w:szCs w:val="17"/>
          <w:color w:val="auto"/>
        </w:rPr>
        <w:t>(4) the restatement of our certificate of incorporation upon the closing of this offering; and</w:t>
      </w:r>
    </w:p>
    <w:p>
      <w:pPr>
        <w:spacing w:after="0" w:line="119" w:lineRule="exact"/>
        <w:rPr>
          <w:rFonts w:ascii="Arial" w:cs="Arial" w:eastAsia="Arial" w:hAnsi="Arial"/>
          <w:sz w:val="17"/>
          <w:szCs w:val="17"/>
          <w:color w:val="auto"/>
        </w:rPr>
      </w:pPr>
    </w:p>
    <w:p>
      <w:pPr>
        <w:ind w:left="1100" w:hanging="210"/>
        <w:spacing w:after="0" w:line="250" w:lineRule="auto"/>
        <w:tabs>
          <w:tab w:leader="none" w:pos="11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on a pro forma as adjusted basis to give further effect to our issuance and sale of 7,500,000 shares of our common stock in this offering at the initial public offering price of $16.00 per share, after deducting underwriting discounts and commissions and estimated offering expenses payable by us.</w:t>
      </w:r>
    </w:p>
    <w:p>
      <w:pPr>
        <w:spacing w:after="0" w:line="12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0940"/>
          </w:cols>
          <w:pgMar w:left="240" w:top="450" w:right="719" w:bottom="1440" w:gutter="0" w:footer="0" w:header="0"/>
        </w:sectPr>
      </w:pPr>
    </w:p>
    <w:bookmarkStart w:id="66" w:name="page67"/>
    <w:bookmarkEnd w:id="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320" w:firstLine="535"/>
        <w:spacing w:after="0" w:line="250" w:lineRule="auto"/>
        <w:rPr>
          <w:sz w:val="20"/>
          <w:szCs w:val="20"/>
          <w:color w:val="auto"/>
        </w:rPr>
      </w:pPr>
      <w:r>
        <w:rPr>
          <w:rFonts w:ascii="Arial" w:cs="Arial" w:eastAsia="Arial" w:hAnsi="Arial"/>
          <w:sz w:val="17"/>
          <w:szCs w:val="17"/>
          <w:color w:val="auto"/>
        </w:rPr>
        <w:t>You should read this table together with our consolidated financial statements and the related notes appearing at the end of this prospectus and the sections of this prospectus titled “Selected Financial Data,” “Management’s Discussion and Analysis of Financial Condition and Results of Operations” and “Description of Capital Stock.”</w:t>
      </w:r>
    </w:p>
    <w:p>
      <w:pPr>
        <w:spacing w:after="0" w:line="204" w:lineRule="exact"/>
        <w:rPr>
          <w:sz w:val="20"/>
          <w:szCs w:val="20"/>
          <w:color w:val="auto"/>
        </w:rPr>
      </w:pPr>
    </w:p>
    <w:tbl>
      <w:tblPr>
        <w:tblLayout w:type="fixed"/>
        <w:tblInd w:w="36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As of June 30, 2018</w:t>
            </w: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right"/>
              <w:ind w:right="195"/>
              <w:spacing w:after="0" w:line="139" w:lineRule="exact"/>
              <w:rPr>
                <w:sz w:val="20"/>
                <w:szCs w:val="20"/>
                <w:color w:val="auto"/>
              </w:rPr>
            </w:pPr>
            <w:r>
              <w:rPr>
                <w:rFonts w:ascii="Arial" w:cs="Arial" w:eastAsia="Arial" w:hAnsi="Arial"/>
                <w:sz w:val="14"/>
                <w:szCs w:val="14"/>
                <w:b w:val="1"/>
                <w:bCs w:val="1"/>
                <w:color w:val="auto"/>
              </w:rPr>
              <w:t>Pro Forma As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Actual</w:t>
            </w:r>
          </w:p>
        </w:tc>
        <w:tc>
          <w:tcPr>
            <w:tcW w:w="260" w:type="dxa"/>
            <w:vAlign w:val="bottom"/>
          </w:tcPr>
          <w:p>
            <w:pPr>
              <w:spacing w:after="0"/>
              <w:rPr>
                <w:sz w:val="14"/>
                <w:szCs w:val="14"/>
                <w:color w:val="auto"/>
              </w:rPr>
            </w:pPr>
          </w:p>
        </w:tc>
        <w:tc>
          <w:tcPr>
            <w:tcW w:w="10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Pro Forma</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340" w:type="dxa"/>
            <w:vAlign w:val="bottom"/>
            <w:tcBorders>
              <w:top w:val="single" w:sz="8" w:color="auto"/>
            </w:tcBorders>
            <w:gridSpan w:val="8"/>
          </w:tcPr>
          <w:p>
            <w:pPr>
              <w:jc w:val="right"/>
              <w:ind w:right="735"/>
              <w:spacing w:after="0" w:line="151" w:lineRule="exact"/>
              <w:rPr>
                <w:sz w:val="20"/>
                <w:szCs w:val="20"/>
                <w:color w:val="auto"/>
              </w:rPr>
            </w:pPr>
            <w:r>
              <w:rPr>
                <w:rFonts w:ascii="Arial" w:cs="Arial" w:eastAsia="Arial" w:hAnsi="Arial"/>
                <w:sz w:val="14"/>
                <w:szCs w:val="14"/>
                <w:b w:val="1"/>
                <w:bCs w:val="1"/>
                <w:color w:val="auto"/>
                <w:w w:val="99"/>
              </w:rPr>
              <w:t>(in thousands, except unit/share data)</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3,353</w:t>
            </w:r>
          </w:p>
        </w:tc>
        <w:tc>
          <w:tcPr>
            <w:tcW w:w="3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3,428</w:t>
            </w:r>
          </w:p>
        </w:tc>
        <w:tc>
          <w:tcPr>
            <w:tcW w:w="2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635"/>
              <w:spacing w:after="0"/>
              <w:rPr>
                <w:sz w:val="20"/>
                <w:szCs w:val="20"/>
                <w:color w:val="auto"/>
              </w:rPr>
            </w:pPr>
            <w:r>
              <w:rPr>
                <w:rFonts w:ascii="Arial" w:cs="Arial" w:eastAsia="Arial" w:hAnsi="Arial"/>
                <w:sz w:val="17"/>
                <w:szCs w:val="17"/>
                <w:color w:val="auto"/>
                <w:w w:val="97"/>
              </w:rPr>
              <w:t>111,928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220" w:type="dxa"/>
            <w:vAlign w:val="bottom"/>
            <w:gridSpan w:val="2"/>
          </w:tcPr>
          <w:p>
            <w:pPr>
              <w:spacing w:after="0" w:line="189" w:lineRule="exact"/>
              <w:rPr>
                <w:sz w:val="20"/>
                <w:szCs w:val="20"/>
                <w:color w:val="auto"/>
              </w:rPr>
            </w:pPr>
            <w:r>
              <w:rPr>
                <w:rFonts w:ascii="Arial" w:cs="Arial" w:eastAsia="Arial" w:hAnsi="Arial"/>
                <w:sz w:val="17"/>
                <w:szCs w:val="17"/>
                <w:color w:val="auto"/>
              </w:rPr>
              <w:t>Marketable securities</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96,387</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96,387</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96,387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Long-term debt, net of current portion(1)</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65</w:t>
            </w: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65</w:t>
            </w: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00" w:type="dxa"/>
            <w:vAlign w:val="bottom"/>
          </w:tcPr>
          <w:p>
            <w:pPr>
              <w:spacing w:after="0"/>
              <w:rPr>
                <w:sz w:val="20"/>
                <w:szCs w:val="20"/>
                <w:color w:val="auto"/>
              </w:rPr>
            </w:pPr>
            <w:r>
              <w:rPr>
                <w:rFonts w:ascii="Arial" w:cs="Arial" w:eastAsia="Arial" w:hAnsi="Arial"/>
                <w:sz w:val="17"/>
                <w:szCs w:val="17"/>
                <w:color w:val="auto"/>
              </w:rPr>
              <w:t>Warrant liability</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245</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Convertible Preferred Units: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tcPr>
          <w:p>
            <w:pPr>
              <w:ind w:left="340"/>
              <w:spacing w:after="0"/>
              <w:rPr>
                <w:sz w:val="20"/>
                <w:szCs w:val="20"/>
                <w:color w:val="auto"/>
              </w:rPr>
            </w:pPr>
            <w:r>
              <w:rPr>
                <w:rFonts w:ascii="Arial" w:cs="Arial" w:eastAsia="Arial" w:hAnsi="Arial"/>
                <w:sz w:val="17"/>
                <w:szCs w:val="17"/>
                <w:color w:val="auto"/>
              </w:rPr>
              <w:t>Series A convertible preferred units: 22,463,665 units issued and</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00" w:type="dxa"/>
            <w:vAlign w:val="bottom"/>
          </w:tcPr>
          <w:p>
            <w:pPr>
              <w:ind w:left="500"/>
              <w:spacing w:after="0"/>
              <w:rPr>
                <w:sz w:val="20"/>
                <w:szCs w:val="20"/>
                <w:color w:val="auto"/>
              </w:rPr>
            </w:pPr>
            <w:r>
              <w:rPr>
                <w:rFonts w:ascii="Arial" w:cs="Arial" w:eastAsia="Arial" w:hAnsi="Arial"/>
                <w:sz w:val="17"/>
                <w:szCs w:val="17"/>
                <w:color w:val="auto"/>
              </w:rPr>
              <w:t>outstanding, actual; no units authorized, issued or outstanding pro</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00" w:type="dxa"/>
            <w:vAlign w:val="bottom"/>
          </w:tcPr>
          <w:p>
            <w:pPr>
              <w:ind w:left="500"/>
              <w:spacing w:after="0"/>
              <w:rPr>
                <w:sz w:val="20"/>
                <w:szCs w:val="20"/>
                <w:color w:val="auto"/>
              </w:rPr>
            </w:pPr>
            <w:r>
              <w:rPr>
                <w:rFonts w:ascii="Arial" w:cs="Arial" w:eastAsia="Arial" w:hAnsi="Arial"/>
                <w:sz w:val="17"/>
                <w:szCs w:val="17"/>
                <w:color w:val="auto"/>
              </w:rPr>
              <w:t>forma and pro forma as adjusted</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65,819</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Series B convertible preferred units: 24,977,489 units issued and</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outstanding, actual; no units authorized, issued or outstanding pro</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forma and pro forma as adjusted</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79,179</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tcPr>
          <w:p>
            <w:pPr>
              <w:ind w:left="340"/>
              <w:spacing w:after="0"/>
              <w:rPr>
                <w:sz w:val="20"/>
                <w:szCs w:val="20"/>
                <w:color w:val="auto"/>
              </w:rPr>
            </w:pPr>
            <w:r>
              <w:rPr>
                <w:rFonts w:ascii="Arial" w:cs="Arial" w:eastAsia="Arial" w:hAnsi="Arial"/>
                <w:sz w:val="17"/>
                <w:szCs w:val="17"/>
                <w:color w:val="auto"/>
              </w:rPr>
              <w:t>Series C convertible preferred units: 16,467,066 units issued and</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00" w:type="dxa"/>
            <w:vAlign w:val="bottom"/>
          </w:tcPr>
          <w:p>
            <w:pPr>
              <w:ind w:left="500"/>
              <w:spacing w:after="0"/>
              <w:rPr>
                <w:sz w:val="20"/>
                <w:szCs w:val="20"/>
                <w:color w:val="auto"/>
              </w:rPr>
            </w:pPr>
            <w:r>
              <w:rPr>
                <w:rFonts w:ascii="Arial" w:cs="Arial" w:eastAsia="Arial" w:hAnsi="Arial"/>
                <w:sz w:val="17"/>
                <w:szCs w:val="17"/>
                <w:color w:val="auto"/>
              </w:rPr>
              <w:t>outstanding, actual; no units authorized, issued or outstanding pro</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00" w:type="dxa"/>
            <w:vAlign w:val="bottom"/>
          </w:tcPr>
          <w:p>
            <w:pPr>
              <w:ind w:left="500"/>
              <w:spacing w:after="0"/>
              <w:rPr>
                <w:sz w:val="20"/>
                <w:szCs w:val="20"/>
                <w:color w:val="auto"/>
              </w:rPr>
            </w:pPr>
            <w:r>
              <w:rPr>
                <w:rFonts w:ascii="Arial" w:cs="Arial" w:eastAsia="Arial" w:hAnsi="Arial"/>
                <w:sz w:val="17"/>
                <w:szCs w:val="17"/>
                <w:color w:val="auto"/>
              </w:rPr>
              <w:t>forma and pro forma as adjusted</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57,799</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Members’ equity:</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tcPr>
          <w:p>
            <w:pPr>
              <w:ind w:left="340"/>
              <w:spacing w:after="0"/>
              <w:rPr>
                <w:sz w:val="20"/>
                <w:szCs w:val="20"/>
                <w:color w:val="auto"/>
              </w:rPr>
            </w:pPr>
            <w:r>
              <w:rPr>
                <w:rFonts w:ascii="Arial" w:cs="Arial" w:eastAsia="Arial" w:hAnsi="Arial"/>
                <w:sz w:val="17"/>
                <w:szCs w:val="17"/>
                <w:color w:val="auto"/>
              </w:rPr>
              <w:t>Common units, 1,897,544 units issued and outstanding, actual; no units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00" w:type="dxa"/>
            <w:vAlign w:val="bottom"/>
          </w:tcPr>
          <w:p>
            <w:pPr>
              <w:ind w:left="500"/>
              <w:spacing w:after="0"/>
              <w:rPr>
                <w:sz w:val="20"/>
                <w:szCs w:val="20"/>
                <w:color w:val="auto"/>
              </w:rPr>
            </w:pPr>
            <w:r>
              <w:rPr>
                <w:rFonts w:ascii="Arial" w:cs="Arial" w:eastAsia="Arial" w:hAnsi="Arial"/>
                <w:sz w:val="17"/>
                <w:szCs w:val="17"/>
                <w:color w:val="auto"/>
              </w:rPr>
              <w:t>authorized, issued or outstanding pro forma and pro forma as adjusted</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Incentive units, 5,350,265 units issued, actual; no units authorized,</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issued or outstanding pro forma and pro forma as adjusted</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2,313</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00" w:type="dxa"/>
            <w:vAlign w:val="bottom"/>
          </w:tcPr>
          <w:p>
            <w:pPr>
              <w:spacing w:after="0"/>
              <w:rPr>
                <w:sz w:val="20"/>
                <w:szCs w:val="20"/>
                <w:color w:val="auto"/>
              </w:rPr>
            </w:pPr>
            <w:r>
              <w:rPr>
                <w:rFonts w:ascii="Arial" w:cs="Arial" w:eastAsia="Arial" w:hAnsi="Arial"/>
                <w:sz w:val="17"/>
                <w:szCs w:val="17"/>
                <w:color w:val="auto"/>
              </w:rPr>
              <w:t>Stockholders’ equity:</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Preferred stock, $0.001 par value; no shares authorized, issued or</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outstanding, actual; 5,000,000 shares authorized and no shares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issued or outstanding, pro forma and pro forma as adjusted</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3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tcPr>
          <w:p>
            <w:pPr>
              <w:ind w:left="340"/>
              <w:spacing w:after="0"/>
              <w:rPr>
                <w:sz w:val="20"/>
                <w:szCs w:val="20"/>
                <w:color w:val="auto"/>
              </w:rPr>
            </w:pPr>
            <w:r>
              <w:rPr>
                <w:rFonts w:ascii="Arial" w:cs="Arial" w:eastAsia="Arial" w:hAnsi="Arial"/>
                <w:sz w:val="17"/>
                <w:szCs w:val="17"/>
                <w:color w:val="auto"/>
              </w:rPr>
              <w:t>Common stock, $0.001 par value; no shares issued and outstanding,</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00" w:type="dxa"/>
            <w:vAlign w:val="bottom"/>
          </w:tcPr>
          <w:p>
            <w:pPr>
              <w:ind w:left="500"/>
              <w:spacing w:after="0"/>
              <w:rPr>
                <w:sz w:val="20"/>
                <w:szCs w:val="20"/>
                <w:color w:val="auto"/>
              </w:rPr>
            </w:pPr>
            <w:r>
              <w:rPr>
                <w:rFonts w:ascii="Arial" w:cs="Arial" w:eastAsia="Arial" w:hAnsi="Arial"/>
                <w:sz w:val="17"/>
                <w:szCs w:val="17"/>
                <w:color w:val="auto"/>
              </w:rPr>
              <w:t>actual; 200,000,000 shares authorized, 24,658,748 issued and</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00" w:type="dxa"/>
            <w:vAlign w:val="bottom"/>
          </w:tcPr>
          <w:p>
            <w:pPr>
              <w:ind w:left="500"/>
              <w:spacing w:after="0"/>
              <w:rPr>
                <w:sz w:val="20"/>
                <w:szCs w:val="20"/>
                <w:color w:val="auto"/>
              </w:rPr>
            </w:pPr>
            <w:r>
              <w:rPr>
                <w:rFonts w:ascii="Arial" w:cs="Arial" w:eastAsia="Arial" w:hAnsi="Arial"/>
                <w:sz w:val="17"/>
                <w:szCs w:val="17"/>
                <w:color w:val="auto"/>
              </w:rPr>
              <w:t>outstanding, pro forma; 200,000,000 shares authorized,</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00" w:type="dxa"/>
            <w:vAlign w:val="bottom"/>
          </w:tcPr>
          <w:p>
            <w:pPr>
              <w:ind w:left="500"/>
              <w:spacing w:after="0"/>
              <w:rPr>
                <w:sz w:val="20"/>
                <w:szCs w:val="20"/>
                <w:color w:val="auto"/>
              </w:rPr>
            </w:pPr>
            <w:r>
              <w:rPr>
                <w:rFonts w:ascii="Arial" w:cs="Arial" w:eastAsia="Arial" w:hAnsi="Arial"/>
                <w:sz w:val="17"/>
                <w:szCs w:val="17"/>
                <w:color w:val="auto"/>
              </w:rPr>
              <w:t>32,158,748 shares issued and outstanding, pro forma as adjusted</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3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25</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Additional paid-in capital</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3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205,411</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313,904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00" w:type="dxa"/>
            <w:vAlign w:val="bottom"/>
          </w:tcPr>
          <w:p>
            <w:pPr>
              <w:spacing w:after="0"/>
              <w:rPr>
                <w:sz w:val="20"/>
                <w:szCs w:val="20"/>
                <w:color w:val="auto"/>
              </w:rPr>
            </w:pPr>
            <w:r>
              <w:rPr>
                <w:rFonts w:ascii="Arial" w:cs="Arial" w:eastAsia="Arial" w:hAnsi="Arial"/>
                <w:sz w:val="17"/>
                <w:szCs w:val="17"/>
                <w:color w:val="auto"/>
              </w:rPr>
              <w:t>Accumulated deficit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70"/>
              <w:spacing w:after="0"/>
              <w:rPr>
                <w:sz w:val="20"/>
                <w:szCs w:val="20"/>
                <w:color w:val="auto"/>
              </w:rPr>
            </w:pPr>
            <w:r>
              <w:rPr>
                <w:rFonts w:ascii="Arial" w:cs="Arial" w:eastAsia="Arial" w:hAnsi="Arial"/>
                <w:sz w:val="17"/>
                <w:szCs w:val="17"/>
                <w:color w:val="auto"/>
              </w:rPr>
              <w:t>(160,738)</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(160,738)</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7"/>
                <w:szCs w:val="17"/>
                <w:color w:val="auto"/>
              </w:rPr>
              <w:t>(160,738)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Accumulated other comprehensive loss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70"/>
              <w:spacing w:after="0"/>
              <w:rPr>
                <w:sz w:val="20"/>
                <w:szCs w:val="20"/>
                <w:color w:val="auto"/>
              </w:rPr>
            </w:pPr>
            <w:r>
              <w:rPr>
                <w:rFonts w:ascii="Arial" w:cs="Arial" w:eastAsia="Arial" w:hAnsi="Arial"/>
                <w:sz w:val="17"/>
                <w:szCs w:val="17"/>
                <w:color w:val="auto"/>
              </w:rPr>
              <w:t>(97)</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(97)</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680"/>
              <w:spacing w:after="0"/>
              <w:rPr>
                <w:sz w:val="20"/>
                <w:szCs w:val="20"/>
                <w:color w:val="auto"/>
              </w:rPr>
            </w:pPr>
            <w:r>
              <w:rPr>
                <w:rFonts w:ascii="Arial" w:cs="Arial" w:eastAsia="Arial" w:hAnsi="Arial"/>
                <w:sz w:val="17"/>
                <w:szCs w:val="17"/>
                <w:color w:val="auto"/>
              </w:rPr>
              <w:t>Total members’ / stockholders’ equity</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70"/>
              <w:spacing w:after="0"/>
              <w:rPr>
                <w:sz w:val="20"/>
                <w:szCs w:val="20"/>
                <w:color w:val="auto"/>
              </w:rPr>
            </w:pPr>
            <w:r>
              <w:rPr>
                <w:rFonts w:ascii="Arial" w:cs="Arial" w:eastAsia="Arial" w:hAnsi="Arial"/>
                <w:sz w:val="17"/>
                <w:szCs w:val="17"/>
                <w:color w:val="auto"/>
              </w:rPr>
              <w:t>(158,516)</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44,601</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153,101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200" w:type="dxa"/>
            <w:vAlign w:val="bottom"/>
            <w:shd w:val="clear" w:color="auto" w:fill="CCEEFF"/>
          </w:tcPr>
          <w:p>
            <w:pPr>
              <w:ind w:left="1040"/>
              <w:spacing w:after="0"/>
              <w:rPr>
                <w:sz w:val="20"/>
                <w:szCs w:val="20"/>
                <w:color w:val="auto"/>
              </w:rPr>
            </w:pPr>
            <w:r>
              <w:rPr>
                <w:rFonts w:ascii="Arial" w:cs="Arial" w:eastAsia="Arial" w:hAnsi="Arial"/>
                <w:sz w:val="17"/>
                <w:szCs w:val="17"/>
                <w:color w:val="auto"/>
              </w:rPr>
              <w:t>Total capitalization</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44,591</w:t>
            </w:r>
          </w:p>
        </w:tc>
        <w:tc>
          <w:tcPr>
            <w:tcW w:w="3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44,666</w:t>
            </w:r>
          </w:p>
        </w:tc>
        <w:tc>
          <w:tcPr>
            <w:tcW w:w="2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153,166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91440</wp:posOffset>
            </wp:positionV>
            <wp:extent cx="6743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4370" cy="8255"/>
                    </a:xfrm>
                    <a:prstGeom prst="rect">
                      <a:avLst/>
                    </a:prstGeom>
                    <a:noFill/>
                  </pic:spPr>
                </pic:pic>
              </a:graphicData>
            </a:graphic>
          </wp:anchor>
        </w:drawing>
      </w:r>
    </w:p>
    <w:p>
      <w:pPr>
        <w:spacing w:after="0" w:line="176" w:lineRule="exact"/>
        <w:rPr>
          <w:sz w:val="20"/>
          <w:szCs w:val="20"/>
          <w:color w:val="auto"/>
        </w:rPr>
      </w:pPr>
    </w:p>
    <w:p>
      <w:pPr>
        <w:ind w:left="880" w:right="20" w:hanging="515"/>
        <w:spacing w:after="0" w:line="259" w:lineRule="auto"/>
        <w:tabs>
          <w:tab w:leader="none" w:pos="8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We borrowed $2.0 million under our 2018 Assistance Agreement with the State of Connecticut on September 13, 2018, which is not reflected above.</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060"/>
          </w:cols>
          <w:pgMar w:left="240" w:top="449" w:right="599" w:bottom="1440" w:gutter="0" w:footer="0" w:header="0"/>
        </w:sectPr>
      </w:pPr>
    </w:p>
    <w:bookmarkStart w:id="67" w:name="page68"/>
    <w:bookmarkEnd w:id="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table above excludes:</w:t>
      </w:r>
    </w:p>
    <w:p>
      <w:pPr>
        <w:spacing w:after="0" w:line="119" w:lineRule="exact"/>
        <w:rPr>
          <w:sz w:val="20"/>
          <w:szCs w:val="20"/>
          <w:color w:val="auto"/>
        </w:rPr>
      </w:pPr>
    </w:p>
    <w:p>
      <w:pPr>
        <w:ind w:left="1100" w:right="400" w:hanging="210"/>
        <w:spacing w:after="0" w:line="259" w:lineRule="auto"/>
        <w:tabs>
          <w:tab w:leader="none" w:pos="11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2,018,180 shares of our common stock that are issuable upon the exercise of options that we granted in connection with the Conversion under our 2018 stock incentive plan, at an exercise price per share equal to the initial public offering price;</w:t>
      </w:r>
    </w:p>
    <w:p>
      <w:pPr>
        <w:spacing w:after="0" w:line="89" w:lineRule="exact"/>
        <w:rPr>
          <w:rFonts w:ascii="Arial" w:cs="Arial" w:eastAsia="Arial" w:hAnsi="Arial"/>
          <w:sz w:val="17"/>
          <w:szCs w:val="17"/>
          <w:color w:val="auto"/>
        </w:rPr>
      </w:pPr>
    </w:p>
    <w:p>
      <w:pPr>
        <w:ind w:left="1100" w:hanging="210"/>
        <w:spacing w:after="0" w:line="247" w:lineRule="auto"/>
        <w:tabs>
          <w:tab w:leader="none" w:pos="11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2,048,827 additional shares of our common stock that are available for future issuance under our 2018 stock incentive plan, of which we granted options to purchase an aggregate of 186,150 shares of our common stock at an exercise price per share equal to the initial public offering price to certain recently hired employees following effectiveness of the registration statement of which this prospectus forms a part; and</w:t>
      </w:r>
    </w:p>
    <w:p>
      <w:pPr>
        <w:spacing w:after="0" w:line="99" w:lineRule="exact"/>
        <w:rPr>
          <w:rFonts w:ascii="Arial" w:cs="Arial" w:eastAsia="Arial" w:hAnsi="Arial"/>
          <w:sz w:val="17"/>
          <w:szCs w:val="17"/>
          <w:color w:val="auto"/>
        </w:rPr>
      </w:pPr>
    </w:p>
    <w:p>
      <w:pPr>
        <w:ind w:left="1100" w:right="160" w:hanging="210"/>
        <w:spacing w:after="0" w:line="259" w:lineRule="auto"/>
        <w:tabs>
          <w:tab w:leader="none" w:pos="11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311,850 additional shares of our common stock that are available for future issuance under our 2018 employee stock purchase plan.</w:t>
      </w:r>
    </w:p>
    <w:p>
      <w:pPr>
        <w:spacing w:after="0" w:line="11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060"/>
          </w:cols>
          <w:pgMar w:left="240" w:top="449" w:right="599" w:bottom="1440" w:gutter="0" w:footer="0" w:header="0"/>
        </w:sectPr>
      </w:pPr>
    </w:p>
    <w:bookmarkStart w:id="68" w:name="page69"/>
    <w:bookmarkEnd w:id="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DILUTION</w:t>
      </w:r>
    </w:p>
    <w:p>
      <w:pPr>
        <w:spacing w:after="0" w:line="233" w:lineRule="exact"/>
        <w:rPr>
          <w:sz w:val="20"/>
          <w:szCs w:val="20"/>
          <w:color w:val="auto"/>
        </w:rPr>
      </w:pPr>
    </w:p>
    <w:p>
      <w:pPr>
        <w:ind w:left="360" w:right="140" w:firstLine="535"/>
        <w:spacing w:after="0" w:line="250" w:lineRule="auto"/>
        <w:rPr>
          <w:sz w:val="20"/>
          <w:szCs w:val="20"/>
          <w:color w:val="auto"/>
        </w:rPr>
      </w:pPr>
      <w:r>
        <w:rPr>
          <w:rFonts w:ascii="Arial" w:cs="Arial" w:eastAsia="Arial" w:hAnsi="Arial"/>
          <w:sz w:val="17"/>
          <w:szCs w:val="17"/>
          <w:color w:val="auto"/>
        </w:rPr>
        <w:t>If you invest in our common stock in this offering, your ownership interest will be diluted immediately to the extent of the difference between the public offering price per share of our common stock and the pro forma net tangible book value per share of our common stock after this offering.</w:t>
      </w:r>
    </w:p>
    <w:p>
      <w:pPr>
        <w:spacing w:after="0" w:line="189" w:lineRule="exact"/>
        <w:rPr>
          <w:sz w:val="20"/>
          <w:szCs w:val="20"/>
          <w:color w:val="auto"/>
        </w:rPr>
      </w:pPr>
    </w:p>
    <w:p>
      <w:pPr>
        <w:ind w:left="360" w:right="20" w:firstLine="535"/>
        <w:spacing w:after="0" w:line="247" w:lineRule="auto"/>
        <w:rPr>
          <w:sz w:val="20"/>
          <w:szCs w:val="20"/>
          <w:color w:val="auto"/>
        </w:rPr>
      </w:pPr>
      <w:r>
        <w:rPr>
          <w:rFonts w:ascii="Arial" w:cs="Arial" w:eastAsia="Arial" w:hAnsi="Arial"/>
          <w:sz w:val="17"/>
          <w:szCs w:val="17"/>
          <w:color w:val="auto"/>
        </w:rPr>
        <w:t>Our historical net tangible book value (deficit) as of June 30, 2018 was $(158.5) million, or $(83.54) per share of our common stock. Our historical net tangible book value (deficit) is the amount of our total tangible assets less our total liabilities and preferred stock, which is not included within our stockholders’ equity (deficit). Historical net tangible book value per share represents historical net tangible book value (deficit) divided by the 1,897,544 shares of our common stock outstanding as of June 30, 2018.</w:t>
      </w:r>
    </w:p>
    <w:p>
      <w:pPr>
        <w:spacing w:after="0" w:line="192" w:lineRule="exact"/>
        <w:rPr>
          <w:sz w:val="20"/>
          <w:szCs w:val="20"/>
          <w:color w:val="auto"/>
        </w:rPr>
      </w:pPr>
    </w:p>
    <w:p>
      <w:pPr>
        <w:ind w:left="360" w:right="80" w:firstLine="535"/>
        <w:spacing w:after="0" w:line="245" w:lineRule="auto"/>
        <w:rPr>
          <w:sz w:val="20"/>
          <w:szCs w:val="20"/>
          <w:color w:val="auto"/>
        </w:rPr>
      </w:pPr>
      <w:r>
        <w:rPr>
          <w:rFonts w:ascii="Arial" w:cs="Arial" w:eastAsia="Arial" w:hAnsi="Arial"/>
          <w:sz w:val="17"/>
          <w:szCs w:val="17"/>
          <w:color w:val="auto"/>
        </w:rPr>
        <w:t>Our pro forma net tangible book value as of June 30, 2018 was $44.6 million, or $ 1.81 per share of our common stock. Pro forma net tangible book value per share represents the amount of our total tangible assets less our total liabilities, divided by the 24,658,748 pro forma number of shares of our common stock outstanding on June 30, 2018, after giving effect to the cash exercise of an outstanding warrant to purchase 110,116 of our series A preferred units in July 2018, the Conversion and the automatic conversion of all of our outstanding shares of our preferred stock issued in the Conversion into shares of our common stock upon the closing of this offering.</w:t>
      </w:r>
    </w:p>
    <w:p>
      <w:pPr>
        <w:spacing w:after="0" w:line="195" w:lineRule="exact"/>
        <w:rPr>
          <w:sz w:val="20"/>
          <w:szCs w:val="20"/>
          <w:color w:val="auto"/>
        </w:rPr>
      </w:pPr>
    </w:p>
    <w:p>
      <w:pPr>
        <w:ind w:left="360" w:right="20" w:firstLine="535"/>
        <w:spacing w:after="0" w:line="244" w:lineRule="auto"/>
        <w:rPr>
          <w:sz w:val="20"/>
          <w:szCs w:val="20"/>
          <w:color w:val="auto"/>
        </w:rPr>
      </w:pPr>
      <w:r>
        <w:rPr>
          <w:rFonts w:ascii="Arial" w:cs="Arial" w:eastAsia="Arial" w:hAnsi="Arial"/>
          <w:sz w:val="17"/>
          <w:szCs w:val="17"/>
          <w:color w:val="auto"/>
        </w:rPr>
        <w:t>After giving effect to our issuance and sale of 7,500,000 shares of our common stock in this offering at the initial public offering price of $16.00 per share, and after deducting underwriting discounts and commissions and estimated offering expenses payable by us, our pro forma as adjusted net tangible book value as of June 30, 2018 would have been $153.1 million, or $4.76 per share. This represents an immediate increase in pro forma as adjusted net tangible book value per share of $2.95 to existing stockholders and immediate dilution of $11.24 in pro forma as adjusted net tangible book value per share to new investors purchasing common stock in this offering. Dilution per share to new investors is determined by subtracting pro forma as adjusted net tangible book value per share after this offering from the initial public offering price per share paid by new investors. The following table illustrates this dilution on a per share basis:</w:t>
      </w:r>
    </w:p>
    <w:p>
      <w:pPr>
        <w:spacing w:after="0" w:line="200" w:lineRule="exact"/>
        <w:rPr>
          <w:sz w:val="20"/>
          <w:szCs w:val="20"/>
          <w:color w:val="auto"/>
        </w:rPr>
      </w:pPr>
    </w:p>
    <w:p>
      <w:pPr>
        <w:spacing w:after="0" w:line="218" w:lineRule="exact"/>
        <w:rPr>
          <w:sz w:val="20"/>
          <w:szCs w:val="20"/>
          <w:color w:val="auto"/>
        </w:rPr>
      </w:pPr>
    </w:p>
    <w:tbl>
      <w:tblPr>
        <w:tblLayout w:type="fixed"/>
        <w:tblInd w:w="3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7"/>
                <w:szCs w:val="17"/>
                <w:color w:val="auto"/>
              </w:rPr>
              <w:t>Initial public offering price per share</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$16.00</w:t>
            </w:r>
          </w:p>
        </w:tc>
        <w:tc>
          <w:tcPr>
            <w:tcW w:w="4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8520" w:type="dxa"/>
            <w:vAlign w:val="bottom"/>
          </w:tcPr>
          <w:p>
            <w:pPr>
              <w:ind w:left="340"/>
              <w:spacing w:after="0"/>
              <w:rPr>
                <w:sz w:val="20"/>
                <w:szCs w:val="20"/>
                <w:color w:val="auto"/>
              </w:rPr>
            </w:pPr>
            <w:r>
              <w:rPr>
                <w:rFonts w:ascii="Arial" w:cs="Arial" w:eastAsia="Arial" w:hAnsi="Arial"/>
                <w:sz w:val="17"/>
                <w:szCs w:val="17"/>
                <w:color w:val="auto"/>
              </w:rPr>
              <w:t>Historical net tangible book value per share as of June 30, 2018</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7"/>
                <w:szCs w:val="17"/>
                <w:color w:val="auto"/>
              </w:rPr>
              <w:t>(83.54)</w:t>
            </w: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8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Increase per share attributable to the Conversion and the conversion of outstanding preferred stock</w:t>
            </w:r>
          </w:p>
        </w:tc>
        <w:tc>
          <w:tcPr>
            <w:tcW w:w="5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85.35</w:t>
            </w: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520" w:type="dxa"/>
            <w:vAlign w:val="bottom"/>
          </w:tcPr>
          <w:p>
            <w:pPr>
              <w:ind w:left="340"/>
              <w:spacing w:after="0"/>
              <w:rPr>
                <w:sz w:val="20"/>
                <w:szCs w:val="20"/>
                <w:color w:val="auto"/>
              </w:rPr>
            </w:pPr>
            <w:r>
              <w:rPr>
                <w:rFonts w:ascii="Arial" w:cs="Arial" w:eastAsia="Arial" w:hAnsi="Arial"/>
                <w:sz w:val="17"/>
                <w:szCs w:val="17"/>
                <w:color w:val="auto"/>
              </w:rPr>
              <w:t>Pro forma net tangible book value per share as of June 30, 2018</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1.81</w:t>
            </w: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8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Increase in net tangible book value per share attributable to new investors</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w:t>
            </w: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520" w:type="dxa"/>
            <w:vAlign w:val="bottom"/>
          </w:tcPr>
          <w:p>
            <w:pPr>
              <w:spacing w:after="0"/>
              <w:rPr>
                <w:sz w:val="20"/>
                <w:szCs w:val="20"/>
                <w:color w:val="auto"/>
              </w:rPr>
            </w:pPr>
            <w:r>
              <w:rPr>
                <w:rFonts w:ascii="Arial" w:cs="Arial" w:eastAsia="Arial" w:hAnsi="Arial"/>
                <w:sz w:val="17"/>
                <w:szCs w:val="17"/>
                <w:color w:val="auto"/>
              </w:rPr>
              <w:t>Pro forma as adjusted net tangible book value per share as of June 30, 2018</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4.76</w:t>
            </w:r>
          </w:p>
        </w:tc>
        <w:tc>
          <w:tcPr>
            <w:tcW w:w="4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7"/>
                <w:szCs w:val="17"/>
                <w:color w:val="auto"/>
              </w:rPr>
              <w:t>Dilution per share to new investors</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11.24</w:t>
            </w:r>
          </w:p>
        </w:tc>
        <w:tc>
          <w:tcPr>
            <w:tcW w:w="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If the underwriters exercise their option to purchase additional shares, you will experience further dilution.</w:t>
      </w:r>
    </w:p>
    <w:p>
      <w:pPr>
        <w:spacing w:after="0" w:line="14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060"/>
          </w:cols>
          <w:pgMar w:left="240" w:top="449" w:right="599" w:bottom="1440" w:gutter="0" w:footer="0" w:header="0"/>
        </w:sectPr>
      </w:pPr>
    </w:p>
    <w:bookmarkStart w:id="69" w:name="page70"/>
    <w:bookmarkEnd w:id="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80" w:firstLine="535"/>
        <w:spacing w:after="0" w:line="244" w:lineRule="auto"/>
        <w:rPr>
          <w:sz w:val="20"/>
          <w:szCs w:val="20"/>
          <w:color w:val="auto"/>
        </w:rPr>
      </w:pPr>
      <w:r>
        <w:rPr>
          <w:rFonts w:ascii="Arial" w:cs="Arial" w:eastAsia="Arial" w:hAnsi="Arial"/>
          <w:sz w:val="17"/>
          <w:szCs w:val="17"/>
          <w:color w:val="auto"/>
        </w:rPr>
        <w:t>The following table summarizes, on a pro forma basis as of June 30, 2018 after giving effect to the cash exercise of an outstanding warrant to purchase 110,116 shares of our series A preferred stock in July 2018, the Conversion and the conversion of all outstanding shares of our preferred stock issued in the Conversion into shares of common stock upon the closing of this offering, the differences between the number of shares purchased from us, the total consideration paid in respect of such shares and the average price per share paid by existing stockholders and to be paid by new investors in this offering. The calculation below is based on the initial public offering price of $ 16.00 per share, before deducting underwriting discounts and commissions and estimated offering expenses payable by us. As the table shows, new investors purchasing shares in this offering will pay an average price per share substantially higher than our existing stockholders paid.</w:t>
      </w:r>
    </w:p>
    <w:p>
      <w:pPr>
        <w:spacing w:after="0" w:line="200" w:lineRule="exact"/>
        <w:rPr>
          <w:sz w:val="20"/>
          <w:szCs w:val="20"/>
          <w:color w:val="auto"/>
        </w:rPr>
      </w:pPr>
    </w:p>
    <w:p>
      <w:pPr>
        <w:spacing w:after="0" w:line="207" w:lineRule="exact"/>
        <w:rPr>
          <w:sz w:val="20"/>
          <w:szCs w:val="20"/>
          <w:color w:val="auto"/>
        </w:rPr>
      </w:pPr>
    </w:p>
    <w:tbl>
      <w:tblPr>
        <w:tblLayout w:type="fixed"/>
        <w:tblInd w:w="36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2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Shares Purchased</w:t>
            </w:r>
          </w:p>
        </w:tc>
        <w:tc>
          <w:tcPr>
            <w:tcW w:w="220" w:type="dxa"/>
            <w:vAlign w:val="bottom"/>
          </w:tcPr>
          <w:p>
            <w:pPr>
              <w:spacing w:after="0"/>
              <w:rPr>
                <w:sz w:val="14"/>
                <w:szCs w:val="14"/>
                <w:color w:val="auto"/>
              </w:rPr>
            </w:pPr>
          </w:p>
        </w:tc>
        <w:tc>
          <w:tcPr>
            <w:tcW w:w="238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Total Consideration</w:t>
            </w:r>
          </w:p>
        </w:tc>
        <w:tc>
          <w:tcPr>
            <w:tcW w:w="1180" w:type="dxa"/>
            <w:vAlign w:val="bottom"/>
            <w:gridSpan w:val="3"/>
          </w:tcPr>
          <w:p>
            <w:pPr>
              <w:ind w:left="200"/>
              <w:spacing w:after="0"/>
              <w:rPr>
                <w:sz w:val="20"/>
                <w:szCs w:val="20"/>
                <w:color w:val="auto"/>
              </w:rPr>
            </w:pPr>
            <w:r>
              <w:rPr>
                <w:rFonts w:ascii="Arial" w:cs="Arial" w:eastAsia="Arial" w:hAnsi="Arial"/>
                <w:sz w:val="14"/>
                <w:szCs w:val="14"/>
                <w:b w:val="1"/>
                <w:bCs w:val="1"/>
                <w:color w:val="auto"/>
              </w:rPr>
              <w:t>Average Price</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920" w:type="dxa"/>
            <w:vAlign w:val="bottom"/>
            <w:tcBorders>
              <w:top w:val="single" w:sz="8" w:color="auto"/>
            </w:tcBorders>
          </w:tcPr>
          <w:p>
            <w:pPr>
              <w:jc w:val="right"/>
              <w:ind w:right="120"/>
              <w:spacing w:after="0" w:line="151" w:lineRule="exact"/>
              <w:rPr>
                <w:sz w:val="20"/>
                <w:szCs w:val="20"/>
                <w:color w:val="auto"/>
              </w:rPr>
            </w:pPr>
            <w:r>
              <w:rPr>
                <w:rFonts w:ascii="Arial" w:cs="Arial" w:eastAsia="Arial" w:hAnsi="Arial"/>
                <w:sz w:val="14"/>
                <w:szCs w:val="14"/>
                <w:b w:val="1"/>
                <w:bCs w:val="1"/>
                <w:color w:val="auto"/>
              </w:rPr>
              <w:t>Number</w:t>
            </w:r>
          </w:p>
        </w:tc>
        <w:tc>
          <w:tcPr>
            <w:tcW w:w="4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97"/>
              </w:rPr>
              <w:t>Percent</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Borders>
              <w:top w:val="single" w:sz="8" w:color="auto"/>
            </w:tcBorders>
          </w:tcPr>
          <w:p>
            <w:pPr>
              <w:jc w:val="right"/>
              <w:ind w:right="201"/>
              <w:spacing w:after="0" w:line="151" w:lineRule="exact"/>
              <w:rPr>
                <w:sz w:val="20"/>
                <w:szCs w:val="20"/>
                <w:color w:val="auto"/>
              </w:rPr>
            </w:pPr>
            <w:r>
              <w:rPr>
                <w:rFonts w:ascii="Arial" w:cs="Arial" w:eastAsia="Arial" w:hAnsi="Arial"/>
                <w:sz w:val="14"/>
                <w:szCs w:val="14"/>
                <w:b w:val="1"/>
                <w:bCs w:val="1"/>
                <w:color w:val="auto"/>
              </w:rPr>
              <w:t>Amount</w:t>
            </w:r>
          </w:p>
        </w:tc>
        <w:tc>
          <w:tcPr>
            <w:tcW w:w="940" w:type="dxa"/>
            <w:vAlign w:val="bottom"/>
            <w:tcBorders>
              <w:top w:val="single" w:sz="8" w:color="auto"/>
            </w:tcBorders>
            <w:gridSpan w:val="2"/>
          </w:tcPr>
          <w:p>
            <w:pPr>
              <w:jc w:val="right"/>
              <w:spacing w:after="0" w:line="151" w:lineRule="exact"/>
              <w:rPr>
                <w:sz w:val="20"/>
                <w:szCs w:val="20"/>
                <w:color w:val="auto"/>
              </w:rPr>
            </w:pPr>
            <w:r>
              <w:rPr>
                <w:rFonts w:ascii="Arial" w:cs="Arial" w:eastAsia="Arial" w:hAnsi="Arial"/>
                <w:sz w:val="14"/>
                <w:szCs w:val="14"/>
                <w:b w:val="1"/>
                <w:bCs w:val="1"/>
                <w:color w:val="auto"/>
              </w:rPr>
              <w:t>Percent</w:t>
            </w: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97"/>
              <w:spacing w:after="0" w:line="151" w:lineRule="exact"/>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Existing stockholders:</w:t>
            </w:r>
          </w:p>
        </w:tc>
        <w:tc>
          <w:tcPr>
            <w:tcW w:w="92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680" w:type="dxa"/>
            <w:vAlign w:val="bottom"/>
            <w:vMerge w:val="continue"/>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24,658,748</w:t>
            </w:r>
          </w:p>
        </w:tc>
        <w:tc>
          <w:tcPr>
            <w:tcW w:w="420" w:type="dxa"/>
            <w:vAlign w:val="bottom"/>
            <w:vMerge w:val="continue"/>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76.7%</w:t>
            </w:r>
          </w:p>
        </w:tc>
        <w:tc>
          <w:tcPr>
            <w:tcW w:w="220" w:type="dxa"/>
            <w:vAlign w:val="bottom"/>
            <w:vMerge w:val="continue"/>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97"/>
              </w:rPr>
              <w:t>$ 111,985,001</w:t>
            </w:r>
          </w:p>
        </w:tc>
        <w:tc>
          <w:tcPr>
            <w:tcW w:w="420" w:type="dxa"/>
            <w:vAlign w:val="bottom"/>
            <w:vMerge w:val="continue"/>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48.3%</w:t>
            </w:r>
          </w:p>
        </w:tc>
        <w:tc>
          <w:tcPr>
            <w:tcW w:w="2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86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Arial" w:cs="Arial" w:eastAsia="Arial" w:hAnsi="Arial"/>
                <w:sz w:val="17"/>
                <w:szCs w:val="17"/>
                <w:color w:val="auto"/>
              </w:rPr>
              <w:t>New investors: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7,500,000</w:t>
            </w:r>
          </w:p>
        </w:tc>
        <w:tc>
          <w:tcPr>
            <w:tcW w:w="420" w:type="dxa"/>
            <w:vAlign w:val="bottom"/>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120,000,000</w:t>
            </w:r>
          </w:p>
        </w:tc>
        <w:tc>
          <w:tcPr>
            <w:tcW w:w="420" w:type="dxa"/>
            <w:vAlign w:val="bottom"/>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51.7</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32,158,748</w:t>
            </w: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100.0%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 xml:space="preserve"> 231,985,001</w:t>
            </w: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100.0%</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360" w:right="60" w:firstLine="535"/>
        <w:spacing w:after="0" w:line="247" w:lineRule="auto"/>
        <w:rPr>
          <w:sz w:val="20"/>
          <w:szCs w:val="20"/>
          <w:color w:val="auto"/>
        </w:rPr>
      </w:pPr>
      <w:r>
        <w:rPr>
          <w:rFonts w:ascii="Arial" w:cs="Arial" w:eastAsia="Arial" w:hAnsi="Arial"/>
          <w:sz w:val="17"/>
          <w:szCs w:val="17"/>
          <w:color w:val="auto"/>
        </w:rPr>
        <w:t>The table above is based on actual shares of our common stock outstanding as of June 30, 2018 and after giving effect to the cash exercise of an outstanding warrant to purchase 110,116 shares of our series A preferred stock in July 2018, the Conversion and the automatic conversion of all outstanding shares of our preferred stock issued in the Conversion into an aggregate of 19,697,928 shares of our common stock upon the closing of this offering. The table above excludes:</w:t>
      </w:r>
    </w:p>
    <w:p>
      <w:pPr>
        <w:spacing w:after="0" w:line="100" w:lineRule="exact"/>
        <w:rPr>
          <w:sz w:val="20"/>
          <w:szCs w:val="20"/>
          <w:color w:val="auto"/>
        </w:rPr>
      </w:pPr>
    </w:p>
    <w:p>
      <w:pPr>
        <w:ind w:left="1100" w:right="400" w:hanging="210"/>
        <w:spacing w:after="0" w:line="259" w:lineRule="auto"/>
        <w:tabs>
          <w:tab w:leader="none" w:pos="11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2,018,180 shares of our common stock that are issuable upon the exercise of options that we granted in connection with the Conversion under our 2018 stock incentive plan, at an exercise price per share equal to the initial public offering price;</w:t>
      </w:r>
    </w:p>
    <w:p>
      <w:pPr>
        <w:spacing w:after="0" w:line="89" w:lineRule="exact"/>
        <w:rPr>
          <w:rFonts w:ascii="Arial" w:cs="Arial" w:eastAsia="Arial" w:hAnsi="Arial"/>
          <w:sz w:val="17"/>
          <w:szCs w:val="17"/>
          <w:color w:val="auto"/>
        </w:rPr>
      </w:pPr>
    </w:p>
    <w:p>
      <w:pPr>
        <w:ind w:left="1100" w:hanging="210"/>
        <w:spacing w:after="0" w:line="247" w:lineRule="auto"/>
        <w:tabs>
          <w:tab w:leader="none" w:pos="11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2,048,827 additional shares of our common stock that are available for future issuance under our 2018 stock incentive plan, of which we granted options to purchase an aggregate of 186,150 shares of our common stock at an exercise price per share equal to the initial public offering price to certain recently hired employees following effectiveness of the registration statement of which this prospectus forms a part; and</w:t>
      </w:r>
    </w:p>
    <w:p>
      <w:pPr>
        <w:spacing w:after="0" w:line="99" w:lineRule="exact"/>
        <w:rPr>
          <w:rFonts w:ascii="Arial" w:cs="Arial" w:eastAsia="Arial" w:hAnsi="Arial"/>
          <w:sz w:val="17"/>
          <w:szCs w:val="17"/>
          <w:color w:val="auto"/>
        </w:rPr>
      </w:pPr>
    </w:p>
    <w:p>
      <w:pPr>
        <w:ind w:left="1100" w:right="160" w:hanging="210"/>
        <w:spacing w:after="0" w:line="259" w:lineRule="auto"/>
        <w:tabs>
          <w:tab w:leader="none" w:pos="11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311,850 additional shares of our common stock that are available for future issuance under our 2018 employee stock purchase plan.</w:t>
      </w:r>
    </w:p>
    <w:p>
      <w:pPr>
        <w:spacing w:after="0" w:line="18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If the underwriters exercise their option to purchase additional shares in full, the following will occur:</w:t>
      </w:r>
    </w:p>
    <w:p>
      <w:pPr>
        <w:spacing w:after="0" w:line="119" w:lineRule="exact"/>
        <w:rPr>
          <w:sz w:val="20"/>
          <w:szCs w:val="20"/>
          <w:color w:val="auto"/>
        </w:rPr>
      </w:pPr>
    </w:p>
    <w:p>
      <w:pPr>
        <w:ind w:left="1100" w:right="280" w:hanging="210"/>
        <w:spacing w:after="0" w:line="259" w:lineRule="auto"/>
        <w:tabs>
          <w:tab w:leader="none" w:pos="11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percentage of shares of our common stock held by existing stockholders will decrease to approximately 74.1% of the total number of shares of our common stock outstanding after this offering; and</w:t>
      </w:r>
    </w:p>
    <w:p>
      <w:pPr>
        <w:spacing w:after="0" w:line="89" w:lineRule="exact"/>
        <w:rPr>
          <w:rFonts w:ascii="Arial" w:cs="Arial" w:eastAsia="Arial" w:hAnsi="Arial"/>
          <w:sz w:val="17"/>
          <w:szCs w:val="17"/>
          <w:color w:val="auto"/>
        </w:rPr>
      </w:pPr>
    </w:p>
    <w:p>
      <w:pPr>
        <w:ind w:left="1100" w:right="100" w:hanging="210"/>
        <w:spacing w:after="0" w:line="259" w:lineRule="auto"/>
        <w:tabs>
          <w:tab w:leader="none" w:pos="11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number of shares of our common stock held by new investors will increase to 8,625,000, or approximately 25.9% of the total number of shares of our common stock outstanding after this offering.</w:t>
      </w:r>
    </w:p>
    <w:p>
      <w:pPr>
        <w:spacing w:after="0" w:line="181" w:lineRule="exact"/>
        <w:rPr>
          <w:sz w:val="20"/>
          <w:szCs w:val="20"/>
          <w:color w:val="auto"/>
        </w:rPr>
      </w:pPr>
    </w:p>
    <w:p>
      <w:pPr>
        <w:ind w:left="360" w:right="120" w:firstLine="535"/>
        <w:spacing w:after="0" w:line="259" w:lineRule="auto"/>
        <w:rPr>
          <w:sz w:val="20"/>
          <w:szCs w:val="20"/>
          <w:color w:val="auto"/>
        </w:rPr>
      </w:pPr>
      <w:r>
        <w:rPr>
          <w:rFonts w:ascii="Arial" w:cs="Arial" w:eastAsia="Arial" w:hAnsi="Arial"/>
          <w:sz w:val="17"/>
          <w:szCs w:val="17"/>
          <w:color w:val="auto"/>
        </w:rPr>
        <w:t>To the extent that stock options are issued and exercised under our equity incentive plans, there will be further dilution to investors purchasing common stock in this offering.</w:t>
      </w:r>
    </w:p>
    <w:p>
      <w:pPr>
        <w:spacing w:after="0" w:line="181" w:lineRule="exact"/>
        <w:rPr>
          <w:sz w:val="20"/>
          <w:szCs w:val="20"/>
          <w:color w:val="auto"/>
        </w:rPr>
      </w:pPr>
    </w:p>
    <w:p>
      <w:pPr>
        <w:ind w:left="360" w:right="300" w:firstLine="535"/>
        <w:spacing w:after="0" w:line="250" w:lineRule="auto"/>
        <w:rPr>
          <w:sz w:val="20"/>
          <w:szCs w:val="20"/>
          <w:color w:val="auto"/>
        </w:rPr>
      </w:pPr>
      <w:r>
        <w:rPr>
          <w:rFonts w:ascii="Arial" w:cs="Arial" w:eastAsia="Arial" w:hAnsi="Arial"/>
          <w:sz w:val="17"/>
          <w:szCs w:val="17"/>
          <w:color w:val="auto"/>
        </w:rPr>
        <w:t>Certain of our existing principal stockholders and their affiliated entities have indicated an interest in purchasing an aggregate of approximately $53 million in shares of our common stock in this offering at the initial public offering price and on the same terms and conditions as the other purchasers in this</w:t>
      </w:r>
    </w:p>
    <w:p>
      <w:pPr>
        <w:spacing w:after="0" w:line="12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060"/>
          </w:cols>
          <w:pgMar w:left="240" w:top="450" w:right="599" w:bottom="1440" w:gutter="0" w:footer="0" w:header="0"/>
        </w:sectPr>
      </w:pPr>
    </w:p>
    <w:bookmarkStart w:id="70" w:name="page71"/>
    <w:bookmarkEnd w:id="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spacing w:after="0" w:line="245" w:lineRule="auto"/>
        <w:rPr>
          <w:sz w:val="20"/>
          <w:szCs w:val="20"/>
          <w:color w:val="auto"/>
        </w:rPr>
      </w:pPr>
      <w:r>
        <w:rPr>
          <w:rFonts w:ascii="Arial" w:cs="Arial" w:eastAsia="Arial" w:hAnsi="Arial"/>
          <w:sz w:val="17"/>
          <w:szCs w:val="17"/>
          <w:color w:val="auto"/>
        </w:rPr>
        <w:t>offering. However, because indications of interest are not binding agreements or commitments to purchase, the underwriters could determine to sell more, fewer or no shares to any of these potential purchasers, and any of these potential purchasers could determine to purchase more, fewer or no shares in this offering. The underwriters will receive the same underwriting discounts and commissions on any shares purchased by these parties as they will on any other shares sold to the public in this offering. The foregoing discussion and tables do not reflect any potential purchases by these potential purchasers.</w:t>
      </w:r>
    </w:p>
    <w:p>
      <w:pPr>
        <w:spacing w:after="0" w:line="13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040"/>
          </w:cols>
          <w:pgMar w:left="240" w:top="449" w:right="619" w:bottom="1440" w:gutter="0" w:footer="0" w:header="0"/>
        </w:sectPr>
      </w:pPr>
    </w:p>
    <w:bookmarkStart w:id="71" w:name="page72"/>
    <w:bookmarkEnd w:id="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SELECTED CONSOLIDATED FINANCIAL DATA</w:t>
      </w:r>
    </w:p>
    <w:p>
      <w:pPr>
        <w:spacing w:after="0" w:line="233" w:lineRule="exact"/>
        <w:rPr>
          <w:sz w:val="20"/>
          <w:szCs w:val="20"/>
          <w:color w:val="auto"/>
        </w:rPr>
      </w:pPr>
    </w:p>
    <w:p>
      <w:pPr>
        <w:ind w:left="360" w:right="60" w:firstLine="535"/>
        <w:spacing w:after="0" w:line="243" w:lineRule="auto"/>
        <w:rPr>
          <w:sz w:val="20"/>
          <w:szCs w:val="20"/>
          <w:color w:val="auto"/>
        </w:rPr>
      </w:pPr>
      <w:r>
        <w:rPr>
          <w:rFonts w:ascii="Arial" w:cs="Arial" w:eastAsia="Arial" w:hAnsi="Arial"/>
          <w:sz w:val="17"/>
          <w:szCs w:val="17"/>
          <w:color w:val="auto"/>
        </w:rPr>
        <w:t>You should read the following selected consolidated financial data together with our consolidated financial statements and the related notes appearing at the end of this prospectus and the “Management’s Discussion and Analysis of Financial Condition and Results of Operations” section of this prospectus. We have derived the consolidated statements of operations data for the years ended December 31, 2017 and 2016 and the consolidated balance sheet data as of December 31, 2017 and 2016 from our audited consolidated financial statements appearing at the end of this prospectus. The consolidated interim statements of operations data for the six months ended June 30, 2018 and 2017 and the consolidated balance sheet data as of June 30, 2018 have been derived from our unaudited condensed consolidated financial statements appearing at the end of this prospectus and have been prepared on the same basis as the audited consolidated financial statements. Our historical results are not necessarily indicative of results that should be expected in any future period, and our results for any interim period are not necessarily indicative of results that should be expected for any full year.</w:t>
      </w:r>
    </w:p>
    <w:p>
      <w:pPr>
        <w:spacing w:after="0" w:line="214" w:lineRule="exact"/>
        <w:rPr>
          <w:sz w:val="20"/>
          <w:szCs w:val="20"/>
          <w:color w:val="auto"/>
        </w:rPr>
      </w:pPr>
    </w:p>
    <w:tbl>
      <w:tblPr>
        <w:tblLayout w:type="fixed"/>
        <w:tblInd w:w="36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56"/>
              <w:spacing w:after="0" w:line="151"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14"/>
              <w:spacing w:after="0" w:line="151"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5"/>
              <w:spacing w:after="0" w:line="151"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54"/>
              <w:spacing w:after="0" w:line="151"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120" w:type="dxa"/>
            <w:vAlign w:val="bottom"/>
            <w:gridSpan w:val="13"/>
          </w:tcPr>
          <w:p>
            <w:pPr>
              <w:jc w:val="right"/>
              <w:ind w:right="654"/>
              <w:spacing w:after="0" w:line="151" w:lineRule="exact"/>
              <w:rPr>
                <w:sz w:val="20"/>
                <w:szCs w:val="20"/>
                <w:color w:val="auto"/>
              </w:rPr>
            </w:pPr>
            <w:r>
              <w:rPr>
                <w:rFonts w:ascii="Arial" w:cs="Arial" w:eastAsia="Arial" w:hAnsi="Arial"/>
                <w:sz w:val="14"/>
                <w:szCs w:val="14"/>
                <w:b w:val="1"/>
                <w:bCs w:val="1"/>
                <w:color w:val="auto"/>
              </w:rPr>
              <w:t>(in thousands, except unit/share and per unit/share data)</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Statements of Operations Data:</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Revenue</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7,579</w:t>
            </w:r>
          </w:p>
        </w:tc>
        <w:tc>
          <w:tcPr>
            <w:tcW w:w="26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6,669</w:t>
            </w:r>
          </w:p>
        </w:tc>
        <w:tc>
          <w:tcPr>
            <w:tcW w:w="26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7,508</w:t>
            </w:r>
          </w:p>
        </w:tc>
        <w:tc>
          <w:tcPr>
            <w:tcW w:w="260" w:type="dxa"/>
            <w:vAlign w:val="bottom"/>
          </w:tcPr>
          <w:p>
            <w:pPr>
              <w:spacing w:after="0"/>
              <w:rPr>
                <w:sz w:val="17"/>
                <w:szCs w:val="17"/>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3,338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tcPr>
          <w:p>
            <w:pPr>
              <w:ind w:left="340"/>
              <w:spacing w:after="0"/>
              <w:rPr>
                <w:sz w:val="20"/>
                <w:szCs w:val="20"/>
                <w:color w:val="auto"/>
              </w:rPr>
            </w:pPr>
            <w:r>
              <w:rPr>
                <w:rFonts w:ascii="Arial" w:cs="Arial" w:eastAsia="Arial" w:hAnsi="Arial"/>
                <w:sz w:val="17"/>
                <w:szCs w:val="17"/>
                <w:color w:val="auto"/>
              </w:rPr>
              <w:t>Research and development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28,793</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19,942</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17,482</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14,880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General and administrative</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3,546</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3,196</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2,826</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160" w:type="dxa"/>
            <w:vAlign w:val="bottom"/>
            <w:gridSpan w:val="2"/>
          </w:tcPr>
          <w:p>
            <w:pPr>
              <w:spacing w:after="0"/>
              <w:rPr>
                <w:sz w:val="20"/>
                <w:szCs w:val="20"/>
                <w:color w:val="auto"/>
              </w:rPr>
            </w:pPr>
            <w:r>
              <w:rPr>
                <w:rFonts w:ascii="Arial" w:cs="Arial" w:eastAsia="Arial" w:hAnsi="Arial"/>
                <w:sz w:val="17"/>
                <w:szCs w:val="17"/>
                <w:color w:val="auto"/>
              </w:rPr>
              <w:t>Total operating expenses</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32,339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23,138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20,308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(24,760)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(16,469)</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(12,800)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(13,042)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Other income (expenses)</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711</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2,031</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795</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Loss before income taxes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(24,049)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(14,438)</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(12,005)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(12,924)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Benefit from income taxes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87</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(24,049)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(14,351)</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(12,005)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(12,924)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tcPr>
          <w:p>
            <w:pPr>
              <w:ind w:left="340"/>
              <w:spacing w:after="0"/>
              <w:rPr>
                <w:sz w:val="20"/>
                <w:szCs w:val="20"/>
                <w:color w:val="auto"/>
              </w:rPr>
            </w:pPr>
            <w:r>
              <w:rPr>
                <w:rFonts w:ascii="Arial" w:cs="Arial" w:eastAsia="Arial" w:hAnsi="Arial"/>
                <w:sz w:val="17"/>
                <w:szCs w:val="17"/>
                <w:color w:val="auto"/>
              </w:rPr>
              <w:t>Change in redemption value of preferred units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(4,571)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1,997</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(86,316)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Net loss attributable to common units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(28,620)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(12,354)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(98,321)</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(12,924)</w:t>
            </w:r>
          </w:p>
        </w:tc>
        <w:tc>
          <w:tcPr>
            <w:tcW w:w="0" w:type="dxa"/>
            <w:vAlign w:val="bottom"/>
          </w:tcPr>
          <w:p>
            <w:pPr>
              <w:spacing w:after="0"/>
              <w:rPr>
                <w:sz w:val="1"/>
                <w:szCs w:val="1"/>
                <w:color w:val="auto"/>
              </w:rPr>
            </w:pPr>
          </w:p>
        </w:tc>
      </w:tr>
      <w:tr>
        <w:trPr>
          <w:trHeight w:val="20"/>
        </w:trPr>
        <w:tc>
          <w:tcPr>
            <w:tcW w:w="5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160" w:type="dxa"/>
            <w:vAlign w:val="bottom"/>
            <w:gridSpan w:val="2"/>
          </w:tcPr>
          <w:p>
            <w:pPr>
              <w:spacing w:after="0" w:line="189" w:lineRule="exact"/>
              <w:rPr>
                <w:sz w:val="20"/>
                <w:szCs w:val="20"/>
                <w:color w:val="auto"/>
              </w:rPr>
            </w:pPr>
            <w:r>
              <w:rPr>
                <w:rFonts w:ascii="Arial" w:cs="Arial" w:eastAsia="Arial" w:hAnsi="Arial"/>
                <w:sz w:val="17"/>
                <w:szCs w:val="17"/>
                <w:color w:val="auto"/>
              </w:rPr>
              <w:t>Net loss per common unit, basic and diluted(1)</w:t>
            </w:r>
          </w:p>
        </w:tc>
        <w:tc>
          <w:tcPr>
            <w:tcW w:w="3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(15.08)</w:t>
            </w:r>
          </w:p>
        </w:tc>
        <w:tc>
          <w:tcPr>
            <w:tcW w:w="3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(6.51)</w:t>
            </w:r>
          </w:p>
        </w:tc>
        <w:tc>
          <w:tcPr>
            <w:tcW w:w="3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(51.81)</w:t>
            </w:r>
          </w:p>
        </w:tc>
        <w:tc>
          <w:tcPr>
            <w:tcW w:w="34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(6.81)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Weighted average common units outstanding, basic and diluted</w:t>
            </w:r>
          </w:p>
        </w:tc>
        <w:tc>
          <w:tcPr>
            <w:tcW w:w="2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1,897,544</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1,897,544</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1,897,544</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1,897,544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7"/>
                <w:szCs w:val="17"/>
                <w:color w:val="auto"/>
              </w:rPr>
              <w:t>Pro forma net loss per common share, basic and diluted</w:t>
            </w: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tcPr>
          <w:p>
            <w:pPr>
              <w:ind w:left="160"/>
              <w:spacing w:after="0"/>
              <w:rPr>
                <w:sz w:val="20"/>
                <w:szCs w:val="20"/>
                <w:color w:val="auto"/>
              </w:rPr>
            </w:pPr>
            <w:r>
              <w:rPr>
                <w:rFonts w:ascii="Arial" w:cs="Arial" w:eastAsia="Arial" w:hAnsi="Arial"/>
                <w:sz w:val="17"/>
                <w:szCs w:val="17"/>
                <w:color w:val="auto"/>
              </w:rPr>
              <w:t>(unaudited)(1)</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(1.35)</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(0.58)</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Pro forma weighted average common shares outstanding, basic</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and diluted (unaudited)</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17,879,297</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20,731,838</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83185</wp:posOffset>
            </wp:positionV>
            <wp:extent cx="6743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4370" cy="8255"/>
                    </a:xfrm>
                    <a:prstGeom prst="rect">
                      <a:avLst/>
                    </a:prstGeom>
                    <a:noFill/>
                  </pic:spPr>
                </pic:pic>
              </a:graphicData>
            </a:graphic>
          </wp:anchor>
        </w:drawing>
      </w:r>
    </w:p>
    <w:p>
      <w:pPr>
        <w:spacing w:after="0" w:line="163" w:lineRule="exact"/>
        <w:rPr>
          <w:sz w:val="20"/>
          <w:szCs w:val="20"/>
          <w:color w:val="auto"/>
        </w:rPr>
      </w:pPr>
    </w:p>
    <w:p>
      <w:pPr>
        <w:ind w:left="880" w:right="80" w:hanging="515"/>
        <w:spacing w:after="0" w:line="247" w:lineRule="auto"/>
        <w:tabs>
          <w:tab w:leader="none" w:pos="8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See Note 13 to our financial statements as of and for the years ended December 31, 2017 and 2016 and Note 10 to our financial statements as of and for the six months ended June 30, 2018 and for the six months ended June 30, 2017, appearing at the end of this prospectus for further details on the calculation of basic and diluted net loss per unit/share attributable to common unitholders and common stockholders.</w:t>
      </w:r>
    </w:p>
    <w:p>
      <w:pPr>
        <w:spacing w:after="0" w:line="12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060"/>
          </w:cols>
          <w:pgMar w:left="240" w:top="449" w:right="599" w:bottom="1440" w:gutter="0" w:footer="0" w:header="0"/>
        </w:sectPr>
      </w:pPr>
    </w:p>
    <w:bookmarkStart w:id="72" w:name="page73"/>
    <w:bookmarkEnd w:id="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tbl>
      <w:tblPr>
        <w:tblLayout w:type="fixed"/>
        <w:tblInd w:w="36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840" w:type="dxa"/>
            <w:vAlign w:val="bottom"/>
            <w:gridSpan w:val="3"/>
          </w:tcPr>
          <w:p>
            <w:pPr>
              <w:jc w:val="right"/>
              <w:ind w:right="1040"/>
              <w:spacing w:after="0"/>
              <w:rPr>
                <w:sz w:val="20"/>
                <w:szCs w:val="20"/>
                <w:color w:val="auto"/>
              </w:rPr>
            </w:pPr>
            <w:r>
              <w:rPr>
                <w:rFonts w:ascii="Arial" w:cs="Arial" w:eastAsia="Arial" w:hAnsi="Arial"/>
                <w:sz w:val="14"/>
                <w:szCs w:val="14"/>
                <w:b w:val="1"/>
                <w:bCs w:val="1"/>
                <w:color w:val="auto"/>
              </w:rPr>
              <w:t>As of December 31,</w:t>
            </w:r>
          </w:p>
        </w:tc>
        <w:tc>
          <w:tcPr>
            <w:tcW w:w="1420" w:type="dxa"/>
            <w:vAlign w:val="bottom"/>
            <w:gridSpan w:val="4"/>
          </w:tcPr>
          <w:p>
            <w:pPr>
              <w:ind w:left="320"/>
              <w:spacing w:after="0"/>
              <w:rPr>
                <w:sz w:val="20"/>
                <w:szCs w:val="20"/>
                <w:color w:val="auto"/>
              </w:rPr>
            </w:pPr>
            <w:r>
              <w:rPr>
                <w:rFonts w:ascii="Arial" w:cs="Arial" w:eastAsia="Arial" w:hAnsi="Arial"/>
                <w:sz w:val="14"/>
                <w:szCs w:val="14"/>
                <w:b w:val="1"/>
                <w:bCs w:val="1"/>
                <w:color w:val="auto"/>
              </w:rPr>
              <w:t>As of June 30,</w:t>
            </w:r>
          </w:p>
        </w:tc>
      </w:tr>
      <w:tr>
        <w:trPr>
          <w:trHeight w:val="150"/>
        </w:trPr>
        <w:tc>
          <w:tcPr>
            <w:tcW w:w="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180" w:type="dxa"/>
            <w:vAlign w:val="bottom"/>
            <w:tcBorders>
              <w:top w:val="single" w:sz="8" w:color="auto"/>
              <w:bottom w:val="single" w:sz="8" w:color="auto"/>
            </w:tcBorders>
          </w:tcPr>
          <w:p>
            <w:pPr>
              <w:jc w:val="right"/>
              <w:ind w:right="584"/>
              <w:spacing w:after="0" w:line="151" w:lineRule="exact"/>
              <w:rPr>
                <w:sz w:val="20"/>
                <w:szCs w:val="20"/>
                <w:color w:val="auto"/>
              </w:rPr>
            </w:pPr>
            <w:r>
              <w:rPr>
                <w:rFonts w:ascii="Arial" w:cs="Arial" w:eastAsia="Arial" w:hAnsi="Arial"/>
                <w:sz w:val="14"/>
                <w:szCs w:val="14"/>
                <w:b w:val="1"/>
                <w:bCs w:val="1"/>
                <w:color w:val="auto"/>
              </w:rPr>
              <w:t>2017</w:t>
            </w:r>
          </w:p>
        </w:tc>
        <w:tc>
          <w:tcPr>
            <w:tcW w:w="1100" w:type="dxa"/>
            <w:vAlign w:val="bottom"/>
            <w:tcBorders>
              <w:top w:val="single" w:sz="8" w:color="auto"/>
              <w:bottom w:val="single" w:sz="8" w:color="auto"/>
            </w:tcBorders>
          </w:tcPr>
          <w:p>
            <w:pPr>
              <w:jc w:val="right"/>
              <w:ind w:right="116"/>
              <w:spacing w:after="0" w:line="151"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54"/>
              <w:spacing w:after="0" w:line="151"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r>
      <w:tr>
        <w:trPr>
          <w:trHeight w:val="150"/>
        </w:trPr>
        <w:tc>
          <w:tcPr>
            <w:tcW w:w="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60" w:type="dxa"/>
            <w:vAlign w:val="bottom"/>
            <w:gridSpan w:val="2"/>
          </w:tcPr>
          <w:p>
            <w:pPr>
              <w:jc w:val="right"/>
              <w:ind w:right="300"/>
              <w:spacing w:after="0" w:line="151" w:lineRule="exact"/>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97"/>
        </w:trPr>
        <w:tc>
          <w:tcPr>
            <w:tcW w:w="20" w:type="dxa"/>
            <w:vAlign w:val="bottom"/>
          </w:tcPr>
          <w:p>
            <w:pPr>
              <w:spacing w:after="0"/>
              <w:rPr>
                <w:sz w:val="17"/>
                <w:szCs w:val="17"/>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Sheet Data:</w:t>
            </w:r>
          </w:p>
        </w:tc>
        <w:tc>
          <w:tcPr>
            <w:tcW w:w="17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464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2960" w:type="dxa"/>
            <w:vAlign w:val="bottom"/>
            <w:gridSpan w:val="2"/>
          </w:tcPr>
          <w:p>
            <w:pPr>
              <w:jc w:val="right"/>
              <w:ind w:right="384"/>
              <w:spacing w:after="0"/>
              <w:rPr>
                <w:sz w:val="20"/>
                <w:szCs w:val="20"/>
                <w:color w:val="auto"/>
              </w:rPr>
            </w:pPr>
            <w:r>
              <w:rPr>
                <w:rFonts w:ascii="Arial" w:cs="Arial" w:eastAsia="Arial" w:hAnsi="Arial"/>
                <w:sz w:val="17"/>
                <w:szCs w:val="17"/>
                <w:color w:val="auto"/>
              </w:rPr>
              <w:t>$ 30,912</w:t>
            </w:r>
          </w:p>
        </w:tc>
        <w:tc>
          <w:tcPr>
            <w:tcW w:w="1100" w:type="dxa"/>
            <w:vAlign w:val="bottom"/>
          </w:tcPr>
          <w:p>
            <w:pPr>
              <w:jc w:val="right"/>
              <w:spacing w:after="0"/>
              <w:rPr>
                <w:sz w:val="20"/>
                <w:szCs w:val="20"/>
                <w:color w:val="auto"/>
              </w:rPr>
            </w:pPr>
            <w:r>
              <w:rPr>
                <w:rFonts w:ascii="Arial" w:cs="Arial" w:eastAsia="Arial" w:hAnsi="Arial"/>
                <w:sz w:val="17"/>
                <w:szCs w:val="17"/>
                <w:color w:val="auto"/>
              </w:rPr>
              <w:t>$  5,089</w:t>
            </w:r>
          </w:p>
        </w:tc>
        <w:tc>
          <w:tcPr>
            <w:tcW w:w="560" w:type="dxa"/>
            <w:vAlign w:val="bottom"/>
          </w:tcPr>
          <w:p>
            <w:pPr>
              <w:spacing w:after="0"/>
              <w:rPr>
                <w:sz w:val="17"/>
                <w:szCs w:val="17"/>
                <w:color w:val="auto"/>
              </w:rPr>
            </w:pPr>
          </w:p>
        </w:tc>
        <w:tc>
          <w:tcPr>
            <w:tcW w:w="50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3,353</w:t>
            </w:r>
          </w:p>
        </w:tc>
        <w:tc>
          <w:tcPr>
            <w:tcW w:w="14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Marketable securities</w:t>
            </w:r>
          </w:p>
        </w:tc>
        <w:tc>
          <w:tcPr>
            <w:tcW w:w="2960" w:type="dxa"/>
            <w:vAlign w:val="bottom"/>
            <w:gridSpan w:val="2"/>
            <w:shd w:val="clear" w:color="auto" w:fill="CCEEFF"/>
          </w:tcPr>
          <w:p>
            <w:pPr>
              <w:jc w:val="right"/>
              <w:ind w:right="384"/>
              <w:spacing w:after="0"/>
              <w:rPr>
                <w:sz w:val="20"/>
                <w:szCs w:val="20"/>
                <w:color w:val="auto"/>
              </w:rPr>
            </w:pPr>
            <w:r>
              <w:rPr>
                <w:rFonts w:ascii="Arial" w:cs="Arial" w:eastAsia="Arial" w:hAnsi="Arial"/>
                <w:sz w:val="17"/>
                <w:szCs w:val="17"/>
                <w:color w:val="auto"/>
              </w:rPr>
              <w:t>8,259</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30,469</w:t>
            </w: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96,387</w:t>
            </w:r>
          </w:p>
        </w:tc>
        <w:tc>
          <w:tcPr>
            <w:tcW w:w="14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4640" w:type="dxa"/>
            <w:vAlign w:val="bottom"/>
          </w:tcPr>
          <w:p>
            <w:pPr>
              <w:spacing w:after="0"/>
              <w:rPr>
                <w:sz w:val="20"/>
                <w:szCs w:val="20"/>
                <w:color w:val="auto"/>
              </w:rPr>
            </w:pPr>
            <w:r>
              <w:rPr>
                <w:rFonts w:ascii="Arial" w:cs="Arial" w:eastAsia="Arial" w:hAnsi="Arial"/>
                <w:sz w:val="17"/>
                <w:szCs w:val="17"/>
                <w:color w:val="auto"/>
              </w:rPr>
              <w:t>Working capital(1)</w:t>
            </w:r>
          </w:p>
        </w:tc>
        <w:tc>
          <w:tcPr>
            <w:tcW w:w="2960" w:type="dxa"/>
            <w:vAlign w:val="bottom"/>
            <w:gridSpan w:val="2"/>
          </w:tcPr>
          <w:p>
            <w:pPr>
              <w:jc w:val="right"/>
              <w:ind w:right="384"/>
              <w:spacing w:after="0"/>
              <w:rPr>
                <w:sz w:val="20"/>
                <w:szCs w:val="20"/>
                <w:color w:val="auto"/>
              </w:rPr>
            </w:pPr>
            <w:r>
              <w:rPr>
                <w:rFonts w:ascii="Arial" w:cs="Arial" w:eastAsia="Arial" w:hAnsi="Arial"/>
                <w:sz w:val="17"/>
                <w:szCs w:val="17"/>
                <w:color w:val="auto"/>
              </w:rPr>
              <w:t>47,674</w:t>
            </w:r>
          </w:p>
        </w:tc>
        <w:tc>
          <w:tcPr>
            <w:tcW w:w="1100" w:type="dxa"/>
            <w:vAlign w:val="bottom"/>
          </w:tcPr>
          <w:p>
            <w:pPr>
              <w:jc w:val="right"/>
              <w:spacing w:after="0"/>
              <w:rPr>
                <w:sz w:val="20"/>
                <w:szCs w:val="20"/>
                <w:color w:val="auto"/>
              </w:rPr>
            </w:pPr>
            <w:r>
              <w:rPr>
                <w:rFonts w:ascii="Arial" w:cs="Arial" w:eastAsia="Arial" w:hAnsi="Arial"/>
                <w:sz w:val="17"/>
                <w:szCs w:val="17"/>
                <w:color w:val="auto"/>
              </w:rPr>
              <w:t>27,248</w:t>
            </w: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86,382</w:t>
            </w:r>
          </w:p>
        </w:tc>
        <w:tc>
          <w:tcPr>
            <w:tcW w:w="14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2960" w:type="dxa"/>
            <w:vAlign w:val="bottom"/>
            <w:gridSpan w:val="2"/>
            <w:shd w:val="clear" w:color="auto" w:fill="CCEEFF"/>
          </w:tcPr>
          <w:p>
            <w:pPr>
              <w:jc w:val="right"/>
              <w:ind w:right="384"/>
              <w:spacing w:after="0"/>
              <w:rPr>
                <w:sz w:val="20"/>
                <w:szCs w:val="20"/>
                <w:color w:val="auto"/>
              </w:rPr>
            </w:pPr>
            <w:r>
              <w:rPr>
                <w:rFonts w:ascii="Arial" w:cs="Arial" w:eastAsia="Arial" w:hAnsi="Arial"/>
                <w:sz w:val="17"/>
                <w:szCs w:val="17"/>
                <w:color w:val="auto"/>
              </w:rPr>
              <w:t>66,848</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37,937</w:t>
            </w: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105,991</w:t>
            </w:r>
          </w:p>
        </w:tc>
        <w:tc>
          <w:tcPr>
            <w:tcW w:w="14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4640" w:type="dxa"/>
            <w:vAlign w:val="bottom"/>
          </w:tcPr>
          <w:p>
            <w:pPr>
              <w:spacing w:after="0"/>
              <w:rPr>
                <w:sz w:val="20"/>
                <w:szCs w:val="20"/>
                <w:color w:val="auto"/>
              </w:rPr>
            </w:pPr>
            <w:r>
              <w:rPr>
                <w:rFonts w:ascii="Arial" w:cs="Arial" w:eastAsia="Arial" w:hAnsi="Arial"/>
                <w:sz w:val="17"/>
                <w:szCs w:val="17"/>
                <w:color w:val="auto"/>
              </w:rPr>
              <w:t>Long-term debt-net of current portion</w:t>
            </w:r>
          </w:p>
        </w:tc>
        <w:tc>
          <w:tcPr>
            <w:tcW w:w="2960" w:type="dxa"/>
            <w:vAlign w:val="bottom"/>
            <w:gridSpan w:val="2"/>
          </w:tcPr>
          <w:p>
            <w:pPr>
              <w:jc w:val="right"/>
              <w:ind w:right="384"/>
              <w:spacing w:after="0"/>
              <w:rPr>
                <w:sz w:val="20"/>
                <w:szCs w:val="20"/>
                <w:color w:val="auto"/>
              </w:rPr>
            </w:pPr>
            <w:r>
              <w:rPr>
                <w:rFonts w:ascii="Arial" w:cs="Arial" w:eastAsia="Arial" w:hAnsi="Arial"/>
                <w:sz w:val="17"/>
                <w:szCs w:val="17"/>
                <w:color w:val="auto"/>
              </w:rPr>
              <w:t>151</w:t>
            </w:r>
          </w:p>
        </w:tc>
        <w:tc>
          <w:tcPr>
            <w:tcW w:w="1100" w:type="dxa"/>
            <w:vAlign w:val="bottom"/>
          </w:tcPr>
          <w:p>
            <w:pPr>
              <w:jc w:val="right"/>
              <w:spacing w:after="0"/>
              <w:rPr>
                <w:sz w:val="20"/>
                <w:szCs w:val="20"/>
                <w:color w:val="auto"/>
              </w:rPr>
            </w:pPr>
            <w:r>
              <w:rPr>
                <w:rFonts w:ascii="Arial" w:cs="Arial" w:eastAsia="Arial" w:hAnsi="Arial"/>
                <w:sz w:val="17"/>
                <w:szCs w:val="17"/>
                <w:color w:val="auto"/>
              </w:rPr>
              <w:t>313</w:t>
            </w: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65</w:t>
            </w:r>
          </w:p>
        </w:tc>
        <w:tc>
          <w:tcPr>
            <w:tcW w:w="14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Common units</w:t>
            </w:r>
          </w:p>
        </w:tc>
        <w:tc>
          <w:tcPr>
            <w:tcW w:w="2960" w:type="dxa"/>
            <w:vAlign w:val="bottom"/>
            <w:gridSpan w:val="2"/>
            <w:shd w:val="clear" w:color="auto" w:fill="CCEEFF"/>
          </w:tcPr>
          <w:p>
            <w:pPr>
              <w:jc w:val="right"/>
              <w:ind w:right="384"/>
              <w:spacing w:after="0"/>
              <w:rPr>
                <w:sz w:val="20"/>
                <w:szCs w:val="20"/>
                <w:color w:val="auto"/>
              </w:rPr>
            </w:pPr>
            <w:r>
              <w:rPr>
                <w:rFonts w:ascii="Arial" w:cs="Arial" w:eastAsia="Arial" w:hAnsi="Arial"/>
                <w:sz w:val="17"/>
                <w:szCs w:val="17"/>
                <w:color w:val="auto"/>
              </w:rPr>
              <w:t>6</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4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4640" w:type="dxa"/>
            <w:vAlign w:val="bottom"/>
          </w:tcPr>
          <w:p>
            <w:pPr>
              <w:spacing w:after="0"/>
              <w:rPr>
                <w:sz w:val="20"/>
                <w:szCs w:val="20"/>
                <w:color w:val="auto"/>
              </w:rPr>
            </w:pPr>
            <w:r>
              <w:rPr>
                <w:rFonts w:ascii="Arial" w:cs="Arial" w:eastAsia="Arial" w:hAnsi="Arial"/>
                <w:sz w:val="17"/>
                <w:szCs w:val="17"/>
                <w:color w:val="auto"/>
              </w:rPr>
              <w:t>Preferred units</w:t>
            </w:r>
          </w:p>
        </w:tc>
        <w:tc>
          <w:tcPr>
            <w:tcW w:w="2960" w:type="dxa"/>
            <w:vAlign w:val="bottom"/>
            <w:gridSpan w:val="2"/>
          </w:tcPr>
          <w:p>
            <w:pPr>
              <w:jc w:val="right"/>
              <w:ind w:right="384"/>
              <w:spacing w:after="0"/>
              <w:rPr>
                <w:sz w:val="20"/>
                <w:szCs w:val="20"/>
                <w:color w:val="auto"/>
              </w:rPr>
            </w:pPr>
            <w:r>
              <w:rPr>
                <w:rFonts w:ascii="Arial" w:cs="Arial" w:eastAsia="Arial" w:hAnsi="Arial"/>
                <w:sz w:val="17"/>
                <w:szCs w:val="17"/>
                <w:color w:val="auto"/>
              </w:rPr>
              <w:t>61,480</w:t>
            </w:r>
          </w:p>
        </w:tc>
        <w:tc>
          <w:tcPr>
            <w:tcW w:w="1100" w:type="dxa"/>
            <w:vAlign w:val="bottom"/>
          </w:tcPr>
          <w:p>
            <w:pPr>
              <w:jc w:val="right"/>
              <w:spacing w:after="0"/>
              <w:rPr>
                <w:sz w:val="20"/>
                <w:szCs w:val="20"/>
                <w:color w:val="auto"/>
              </w:rPr>
            </w:pPr>
            <w:r>
              <w:rPr>
                <w:rFonts w:ascii="Arial" w:cs="Arial" w:eastAsia="Arial" w:hAnsi="Arial"/>
                <w:sz w:val="17"/>
                <w:szCs w:val="17"/>
                <w:color w:val="auto"/>
              </w:rPr>
              <w:t>56,910</w:t>
            </w: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202,797</w:t>
            </w:r>
          </w:p>
        </w:tc>
        <w:tc>
          <w:tcPr>
            <w:tcW w:w="14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Additional paid-in capital</w:t>
            </w:r>
          </w:p>
        </w:tc>
        <w:tc>
          <w:tcPr>
            <w:tcW w:w="17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84"/>
              <w:spacing w:after="0"/>
              <w:rPr>
                <w:sz w:val="20"/>
                <w:szCs w:val="20"/>
                <w:color w:val="auto"/>
              </w:rPr>
            </w:pPr>
            <w:r>
              <w:rPr>
                <w:rFonts w:ascii="Arial" w:cs="Arial" w:eastAsia="Arial" w:hAnsi="Arial"/>
                <w:sz w:val="17"/>
                <w:szCs w:val="17"/>
                <w:color w:val="auto"/>
              </w:rPr>
              <w:t>—</w:t>
            </w:r>
          </w:p>
        </w:tc>
        <w:tc>
          <w:tcPr>
            <w:tcW w:w="166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197"/>
        </w:trPr>
        <w:tc>
          <w:tcPr>
            <w:tcW w:w="20" w:type="dxa"/>
            <w:vAlign w:val="bottom"/>
          </w:tcPr>
          <w:p>
            <w:pPr>
              <w:spacing w:after="0"/>
              <w:rPr>
                <w:sz w:val="17"/>
                <w:szCs w:val="17"/>
                <w:color w:val="auto"/>
              </w:rPr>
            </w:pPr>
          </w:p>
        </w:tc>
        <w:tc>
          <w:tcPr>
            <w:tcW w:w="4640" w:type="dxa"/>
            <w:vAlign w:val="bottom"/>
          </w:tcPr>
          <w:p>
            <w:pPr>
              <w:spacing w:after="0"/>
              <w:rPr>
                <w:sz w:val="20"/>
                <w:szCs w:val="20"/>
                <w:color w:val="auto"/>
              </w:rPr>
            </w:pPr>
            <w:r>
              <w:rPr>
                <w:rFonts w:ascii="Arial" w:cs="Arial" w:eastAsia="Arial" w:hAnsi="Arial"/>
                <w:sz w:val="17"/>
                <w:szCs w:val="17"/>
                <w:color w:val="auto"/>
              </w:rPr>
              <w:t>Accumulated deficit</w:t>
            </w:r>
          </w:p>
        </w:tc>
        <w:tc>
          <w:tcPr>
            <w:tcW w:w="2960" w:type="dxa"/>
            <w:vAlign w:val="bottom"/>
            <w:gridSpan w:val="2"/>
          </w:tcPr>
          <w:p>
            <w:pPr>
              <w:jc w:val="right"/>
              <w:ind w:right="344"/>
              <w:spacing w:after="0"/>
              <w:rPr>
                <w:sz w:val="20"/>
                <w:szCs w:val="20"/>
                <w:color w:val="auto"/>
              </w:rPr>
            </w:pPr>
            <w:r>
              <w:rPr>
                <w:rFonts w:ascii="Arial" w:cs="Arial" w:eastAsia="Arial" w:hAnsi="Arial"/>
                <w:sz w:val="17"/>
                <w:szCs w:val="17"/>
                <w:color w:val="auto"/>
              </w:rPr>
              <w:t>(62,417)</w:t>
            </w:r>
          </w:p>
        </w:tc>
        <w:tc>
          <w:tcPr>
            <w:tcW w:w="1660" w:type="dxa"/>
            <w:vAlign w:val="bottom"/>
            <w:gridSpan w:val="2"/>
          </w:tcPr>
          <w:p>
            <w:pPr>
              <w:jc w:val="right"/>
              <w:ind w:right="500"/>
              <w:spacing w:after="0"/>
              <w:rPr>
                <w:sz w:val="20"/>
                <w:szCs w:val="20"/>
                <w:color w:val="auto"/>
              </w:rPr>
            </w:pPr>
            <w:r>
              <w:rPr>
                <w:rFonts w:ascii="Arial" w:cs="Arial" w:eastAsia="Arial" w:hAnsi="Arial"/>
                <w:sz w:val="17"/>
                <w:szCs w:val="17"/>
                <w:color w:val="auto"/>
              </w:rPr>
              <w:t>(33,798)</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(96,614)</w:t>
            </w:r>
          </w:p>
        </w:tc>
      </w:tr>
      <w:tr>
        <w:trPr>
          <w:trHeight w:val="197"/>
        </w:trPr>
        <w:tc>
          <w:tcPr>
            <w:tcW w:w="20" w:type="dxa"/>
            <w:vAlign w:val="bottom"/>
          </w:tcPr>
          <w:p>
            <w:pPr>
              <w:spacing w:after="0"/>
              <w:rPr>
                <w:sz w:val="17"/>
                <w:szCs w:val="17"/>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Total members’ / stockholders’ deficit</w:t>
            </w:r>
          </w:p>
        </w:tc>
        <w:tc>
          <w:tcPr>
            <w:tcW w:w="2960" w:type="dxa"/>
            <w:vAlign w:val="bottom"/>
            <w:gridSpan w:val="2"/>
            <w:shd w:val="clear" w:color="auto" w:fill="CCEEFF"/>
          </w:tcPr>
          <w:p>
            <w:pPr>
              <w:jc w:val="right"/>
              <w:ind w:right="344"/>
              <w:spacing w:after="0"/>
              <w:rPr>
                <w:sz w:val="20"/>
                <w:szCs w:val="20"/>
                <w:color w:val="auto"/>
              </w:rPr>
            </w:pPr>
            <w:r>
              <w:rPr>
                <w:rFonts w:ascii="Arial" w:cs="Arial" w:eastAsia="Arial" w:hAnsi="Arial"/>
                <w:sz w:val="17"/>
                <w:szCs w:val="17"/>
                <w:color w:val="auto"/>
              </w:rPr>
              <w:t>(61,235)</w:t>
            </w:r>
          </w:p>
        </w:tc>
        <w:tc>
          <w:tcPr>
            <w:tcW w:w="16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(32,879)</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(158,516)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83185</wp:posOffset>
            </wp:positionV>
            <wp:extent cx="6743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4370" cy="8255"/>
                    </a:xfrm>
                    <a:prstGeom prst="rect">
                      <a:avLst/>
                    </a:prstGeom>
                    <a:noFill/>
                  </pic:spPr>
                </pic:pic>
              </a:graphicData>
            </a:graphic>
          </wp:anchor>
        </w:drawing>
      </w:r>
    </w:p>
    <w:p>
      <w:pPr>
        <w:spacing w:after="0" w:line="163" w:lineRule="exact"/>
        <w:rPr>
          <w:sz w:val="20"/>
          <w:szCs w:val="20"/>
          <w:color w:val="auto"/>
        </w:rPr>
      </w:pPr>
    </w:p>
    <w:p>
      <w:pPr>
        <w:ind w:left="5620" w:right="5100" w:hanging="5255"/>
        <w:spacing w:after="0" w:line="436" w:lineRule="auto"/>
        <w:tabs>
          <w:tab w:leader="none" w:pos="893" w:val="left"/>
        </w:tabs>
        <w:numPr>
          <w:ilvl w:val="0"/>
          <w:numId w:val="53"/>
        </w:numPr>
        <w:rPr>
          <w:rFonts w:ascii="Arial" w:cs="Arial" w:eastAsia="Arial" w:hAnsi="Arial"/>
          <w:sz w:val="17"/>
          <w:szCs w:val="17"/>
          <w:color w:val="auto"/>
        </w:rPr>
      </w:pPr>
      <w:r>
        <w:rPr>
          <w:rFonts w:ascii="Arial" w:cs="Arial" w:eastAsia="Arial" w:hAnsi="Arial"/>
          <w:sz w:val="17"/>
          <w:szCs w:val="17"/>
          <w:color w:val="auto"/>
        </w:rPr>
        <w:t>We define working capital as current assets less current liabilities. 71</w:t>
      </w:r>
    </w:p>
    <w:p>
      <w:pPr>
        <w:sectPr>
          <w:pgSz w:w="11900" w:h="16838" w:orient="portrait"/>
          <w:cols w:equalWidth="0" w:num="1">
            <w:col w:w="11060"/>
          </w:cols>
          <w:pgMar w:left="240" w:top="450" w:right="599" w:bottom="1440" w:gutter="0" w:footer="0" w:header="0"/>
        </w:sectPr>
      </w:pPr>
    </w:p>
    <w:bookmarkStart w:id="73" w:name="page74"/>
    <w:bookmarkEnd w:id="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MANAGEMENT’S DISCUSSION AND ANALYSIS OF</w:t>
      </w:r>
    </w:p>
    <w:p>
      <w:pPr>
        <w:spacing w:after="0" w:line="23"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FINANCIAL CONDITION AND RESULTS OF OPERATIONS</w:t>
      </w:r>
    </w:p>
    <w:p>
      <w:pPr>
        <w:spacing w:after="0" w:line="193" w:lineRule="exact"/>
        <w:rPr>
          <w:sz w:val="20"/>
          <w:szCs w:val="20"/>
          <w:color w:val="auto"/>
        </w:rPr>
      </w:pPr>
    </w:p>
    <w:p>
      <w:pPr>
        <w:ind w:left="360" w:right="100" w:firstLine="535"/>
        <w:spacing w:after="0" w:line="249" w:lineRule="auto"/>
        <w:rPr>
          <w:sz w:val="20"/>
          <w:szCs w:val="20"/>
          <w:color w:val="auto"/>
        </w:rPr>
      </w:pPr>
      <w:r>
        <w:rPr>
          <w:rFonts w:ascii="Arial" w:cs="Arial" w:eastAsia="Arial" w:hAnsi="Arial"/>
          <w:sz w:val="17"/>
          <w:szCs w:val="17"/>
          <w:i w:val="1"/>
          <w:iCs w:val="1"/>
          <w:color w:val="auto"/>
        </w:rPr>
        <w:t>You should read the following discussion and analysis of financial condition and operating results together with the section titled “Selected Consolidated Financial Data” and our consolidated financial statements and the related notes appearing at the end of this prospectus. This discussion contains forward-looking statements that involve risks and uncertainties. As a result of many factors, such as those set forth in the section titled “Risk Factors” and elsewhere in this prospectus, our actual results may differ materially from those anticipated in or implied by these forward-looking statements. For convenience of presentation some of the numbers have been rounded in the text below.</w:t>
      </w:r>
    </w:p>
    <w:p>
      <w:pPr>
        <w:spacing w:after="0" w:line="274"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Overview</w:t>
      </w:r>
    </w:p>
    <w:p>
      <w:pPr>
        <w:spacing w:after="0" w:line="233" w:lineRule="exact"/>
        <w:rPr>
          <w:sz w:val="20"/>
          <w:szCs w:val="20"/>
          <w:color w:val="auto"/>
        </w:rPr>
      </w:pPr>
    </w:p>
    <w:p>
      <w:pPr>
        <w:ind w:left="360" w:firstLine="535"/>
        <w:spacing w:after="0" w:line="243" w:lineRule="auto"/>
        <w:rPr>
          <w:sz w:val="20"/>
          <w:szCs w:val="20"/>
          <w:color w:val="auto"/>
        </w:rPr>
      </w:pPr>
      <w:r>
        <w:rPr>
          <w:rFonts w:ascii="Arial" w:cs="Arial" w:eastAsia="Arial" w:hAnsi="Arial"/>
          <w:sz w:val="17"/>
          <w:szCs w:val="17"/>
          <w:color w:val="auto"/>
        </w:rPr>
        <w:t>We are a biopharmaceutical company dedicated to improving the lives of patients suffering from debilitating and life-threatening diseases through the discovery, development and commercialization of therapies to degrade disease-causing proteins. We use our proprietary technology platform to engineer proteolysis targeting chimeras, or PROTACs, that are designed to harness the body’s own natural protein disposal system to selectively and efficiently degrade and remove disease-causing proteins. We believe that our targeted protein degradation approach is a new therapeutic modality that may provide distinct advantages over existing modalities, including traditional small molecule therapies and gene-based medicines. Our small molecule PROTAC technology has the potential to address a broad range of intracellular disease targets, including those representing the up to 80% of proteins that cannot be addressed by existing small molecule therapies, commonly referred to as undruggable targets. We are using our PROTAC platform to build an extensive pipeline of protein degradation product candidates to target diseases in a wide range of organ systems and tissues. We are preparing to advance our lead product candidates, ARV-110 and ARV-471, into Phase 1 clinical trials. We expect to initiate a Phase 1 clinical trial for ARV-110 in men with metastatic castration-resistant prostate cancer, or mCRPC, in the first quarter of 2019 and a Phase 1 clinical trial for ARV-471 in women with metastatic ER positive / HER2 negative breast cancer, or ER+ breast cancer, in mid-2019.</w:t>
      </w:r>
    </w:p>
    <w:p>
      <w:pPr>
        <w:spacing w:after="0" w:line="194" w:lineRule="exact"/>
        <w:rPr>
          <w:sz w:val="20"/>
          <w:szCs w:val="20"/>
          <w:color w:val="auto"/>
        </w:rPr>
      </w:pPr>
    </w:p>
    <w:p>
      <w:pPr>
        <w:ind w:left="360" w:right="40" w:firstLine="535"/>
        <w:spacing w:after="0" w:line="245" w:lineRule="auto"/>
        <w:rPr>
          <w:sz w:val="20"/>
          <w:szCs w:val="20"/>
          <w:color w:val="auto"/>
        </w:rPr>
      </w:pPr>
      <w:r>
        <w:rPr>
          <w:rFonts w:ascii="Arial" w:cs="Arial" w:eastAsia="Arial" w:hAnsi="Arial"/>
          <w:sz w:val="17"/>
          <w:szCs w:val="17"/>
          <w:color w:val="auto"/>
        </w:rPr>
        <w:t>Our two lead product candidates are ARV-110 and ARV-471. We are developing ARV-110, a PROTAC targeting the androgen receptor protein, or AR, for the treatment of men with mCRPC. We expect to submit an investigational new drug application, or IND, to the U.S. Food and Drug Administration, or FDA, for ARV-110 in the second half of 2018, initiate a Phase 1 trial in the first quarter of 2019 and receive preliminary clinical data in the second half of 2019. We are developing ARV-471, a PROTAC targeting the estrogen receptor protein, or ER, for the treatment of women with metastatic ER+ breast cancer. We expect to submit an IND to the FDA for ARV-471 in the first half of 2019, initiate a Phase 1 trial in mid-2019 and receive preliminary clinical data in 2020.</w:t>
      </w:r>
    </w:p>
    <w:p>
      <w:pPr>
        <w:spacing w:after="0" w:line="192" w:lineRule="exact"/>
        <w:rPr>
          <w:sz w:val="20"/>
          <w:szCs w:val="20"/>
          <w:color w:val="auto"/>
        </w:rPr>
      </w:pPr>
    </w:p>
    <w:p>
      <w:pPr>
        <w:ind w:left="360" w:firstLine="535"/>
        <w:spacing w:after="0" w:line="244" w:lineRule="auto"/>
        <w:rPr>
          <w:sz w:val="20"/>
          <w:szCs w:val="20"/>
          <w:color w:val="auto"/>
        </w:rPr>
      </w:pPr>
      <w:r>
        <w:rPr>
          <w:rFonts w:ascii="Arial" w:cs="Arial" w:eastAsia="Arial" w:hAnsi="Arial"/>
          <w:sz w:val="17"/>
          <w:szCs w:val="17"/>
          <w:color w:val="auto"/>
        </w:rPr>
        <w:t>We commenced operations in 2013, and our operations to date have been limited to organizing and staffing our company, business planning, raising capital, conducting discovery and research activities, filing patent applications, identifying potential product candidates, undertaking preclinical studies and establishing arrangements with third parties for the manufacture of initial quantities of our product candidates. To date, we have not generated any revenue from product sales and have financed our operations primarily through sales of our equity interests, proceeds from our collaborations, grant funding and debt financing. Through June 30, 2018, we raised approximately $111.9 million in gross proceeds from the sale of series A, series B and series C convertible preferred units, and had received an aggregate of $86.9 million in payments from collaboration partners, grant funding and loans from the State of Connecticut.</w:t>
      </w:r>
    </w:p>
    <w:p>
      <w:pPr>
        <w:spacing w:after="0" w:line="195" w:lineRule="exact"/>
        <w:rPr>
          <w:sz w:val="20"/>
          <w:szCs w:val="20"/>
          <w:color w:val="auto"/>
        </w:rPr>
      </w:pPr>
    </w:p>
    <w:p>
      <w:pPr>
        <w:ind w:left="360" w:right="340" w:firstLine="535"/>
        <w:spacing w:after="0" w:line="259" w:lineRule="auto"/>
        <w:rPr>
          <w:sz w:val="20"/>
          <w:szCs w:val="20"/>
          <w:color w:val="auto"/>
        </w:rPr>
      </w:pPr>
      <w:r>
        <w:rPr>
          <w:rFonts w:ascii="Arial" w:cs="Arial" w:eastAsia="Arial" w:hAnsi="Arial"/>
          <w:sz w:val="17"/>
          <w:szCs w:val="17"/>
          <w:color w:val="auto"/>
        </w:rPr>
        <w:t>We are a development stage company and our lead product candidates and our research initiatives are at a preclinical stage of development. Our ability to generate revenue from product sales</w:t>
      </w:r>
    </w:p>
    <w:p>
      <w:pPr>
        <w:spacing w:after="0" w:line="11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040"/>
          </w:cols>
          <w:pgMar w:left="240" w:top="449" w:right="619" w:bottom="1440" w:gutter="0" w:footer="0" w:header="0"/>
        </w:sectPr>
      </w:pPr>
    </w:p>
    <w:bookmarkStart w:id="74" w:name="page75"/>
    <w:bookmarkEnd w:id="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spacing w:after="0" w:line="245" w:lineRule="auto"/>
        <w:rPr>
          <w:sz w:val="20"/>
          <w:szCs w:val="20"/>
          <w:color w:val="auto"/>
        </w:rPr>
      </w:pPr>
      <w:r>
        <w:rPr>
          <w:rFonts w:ascii="Arial" w:cs="Arial" w:eastAsia="Arial" w:hAnsi="Arial"/>
          <w:sz w:val="17"/>
          <w:szCs w:val="17"/>
          <w:color w:val="auto"/>
        </w:rPr>
        <w:t>sufficient to achieve profitability will depend heavily on the successful development and eventual commercialization of one or more of our product candidates. Since inception, we have incurred significant operating losses. We expect to continue to incur significant expenses and increasing operating losses for at least the next several years. Our net loss was $12.0 million for the six months ended June 30, 2018, $24.0 million for the year ended December 31, 2017 and $14.4 million for the year ended December 31, 2016. As of June 30, 2018, we had an accumulated deficit of $160.7 million.</w:t>
      </w:r>
    </w:p>
    <w:p>
      <w:pPr>
        <w:spacing w:after="0" w:line="195" w:lineRule="exact"/>
        <w:rPr>
          <w:sz w:val="20"/>
          <w:szCs w:val="20"/>
          <w:color w:val="auto"/>
        </w:rPr>
      </w:pPr>
    </w:p>
    <w:p>
      <w:pPr>
        <w:ind w:left="360" w:right="20" w:firstLine="535"/>
        <w:spacing w:after="0" w:line="243" w:lineRule="auto"/>
        <w:rPr>
          <w:sz w:val="20"/>
          <w:szCs w:val="20"/>
          <w:color w:val="auto"/>
        </w:rPr>
      </w:pPr>
      <w:r>
        <w:rPr>
          <w:rFonts w:ascii="Arial" w:cs="Arial" w:eastAsia="Arial" w:hAnsi="Arial"/>
          <w:sz w:val="17"/>
          <w:szCs w:val="17"/>
          <w:color w:val="auto"/>
        </w:rPr>
        <w:t>Our total operating expenses were $ 32.3 million for the year ended December 31, 2017 and $23.1 million for the year ended December 31, 2016. We anticipate that our expenses will increase substantially due to costs associated with our preclinical activities for our lead product candidates and the advancement of these candidates into Phase 1 clinical trials in the United States, which we expect to initiate in the first quarter of 2019 for ARV-110 and in mid-2019 for ARV-471, development activities associated with our other product candidates, research activities in oncology, neurological and other disease areas to expand our pipeline, hiring additional personnel in research, clinical trials, quality and other functional areas, increased expenses incurred with contract manufacturing organizations, or CMOs, to supply us with product for our preclinical and clinical studies, as well as other associated costs including the management of our intellectual property portfolio. In addition, upon the closing of this offering, we expect to incur additional costs associated with operating as a public company.</w:t>
      </w:r>
    </w:p>
    <w:p>
      <w:pPr>
        <w:spacing w:after="0" w:line="396" w:lineRule="exact"/>
        <w:rPr>
          <w:sz w:val="20"/>
          <w:szCs w:val="20"/>
          <w:color w:val="auto"/>
        </w:rPr>
      </w:pPr>
    </w:p>
    <w:p>
      <w:pPr>
        <w:ind w:left="360" w:right="160" w:firstLine="535"/>
        <w:spacing w:after="0" w:line="245" w:lineRule="auto"/>
        <w:rPr>
          <w:sz w:val="20"/>
          <w:szCs w:val="20"/>
          <w:color w:val="auto"/>
        </w:rPr>
      </w:pPr>
      <w:r>
        <w:rPr>
          <w:rFonts w:ascii="Arial" w:cs="Arial" w:eastAsia="Arial" w:hAnsi="Arial"/>
          <w:sz w:val="17"/>
          <w:szCs w:val="17"/>
          <w:color w:val="auto"/>
        </w:rPr>
        <w:t>We do not expect to generate revenue from sales of any product for many years, if ever. Accordingly, we will need to obtain substantial additional funding in connection with our continuing operations. If we are unable to raise capital when needed or on attractive terms, we could be forced to delay, reduce or eliminate our research or product development programs or any future commercialization efforts, or to relinquish valuable rights to our technologies, future revenue streams, research programs or product candidates or grant licenses on terms that may not be favorable to us.</w:t>
      </w:r>
    </w:p>
    <w:p>
      <w:pPr>
        <w:spacing w:after="0" w:line="173"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Financial Operations Overview</w:t>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Revenue</w:t>
      </w:r>
    </w:p>
    <w:p>
      <w:pPr>
        <w:spacing w:after="0" w:line="126" w:lineRule="exact"/>
        <w:rPr>
          <w:sz w:val="20"/>
          <w:szCs w:val="20"/>
          <w:color w:val="auto"/>
        </w:rPr>
      </w:pPr>
    </w:p>
    <w:p>
      <w:pPr>
        <w:ind w:left="360" w:right="100" w:firstLine="535"/>
        <w:spacing w:after="0" w:line="245" w:lineRule="auto"/>
        <w:rPr>
          <w:sz w:val="20"/>
          <w:szCs w:val="20"/>
          <w:color w:val="auto"/>
        </w:rPr>
      </w:pPr>
      <w:r>
        <w:rPr>
          <w:rFonts w:ascii="Arial" w:cs="Arial" w:eastAsia="Arial" w:hAnsi="Arial"/>
          <w:sz w:val="17"/>
          <w:szCs w:val="17"/>
          <w:color w:val="auto"/>
        </w:rPr>
        <w:t>To date, we have not generated any revenue from product sales and do not expect to generate any revenue from the sale of products in the foreseeable future. Our revenues to date have been generated through research collaboration and license agreements. Revenue is recognized ratably over our expected performance period under each agreement. We expect that our revenue for the next several years will be derived primarily from our current collaboration agreements and any additional collaborations that we may enter into in the future. To date, we have not received any royalties under any of the collaboration agreements.</w:t>
      </w:r>
    </w:p>
    <w:p>
      <w:pPr>
        <w:spacing w:after="0" w:line="280"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Genentech License Agreement</w:t>
      </w:r>
    </w:p>
    <w:p>
      <w:pPr>
        <w:spacing w:after="0" w:line="126" w:lineRule="exact"/>
        <w:rPr>
          <w:sz w:val="20"/>
          <w:szCs w:val="20"/>
          <w:color w:val="auto"/>
        </w:rPr>
      </w:pPr>
    </w:p>
    <w:p>
      <w:pPr>
        <w:ind w:left="360" w:right="380" w:firstLine="535"/>
        <w:spacing w:after="0" w:line="245" w:lineRule="auto"/>
        <w:rPr>
          <w:sz w:val="20"/>
          <w:szCs w:val="20"/>
          <w:color w:val="auto"/>
        </w:rPr>
      </w:pPr>
      <w:r>
        <w:rPr>
          <w:rFonts w:ascii="Arial" w:cs="Arial" w:eastAsia="Arial" w:hAnsi="Arial"/>
          <w:sz w:val="17"/>
          <w:szCs w:val="17"/>
          <w:color w:val="auto"/>
        </w:rPr>
        <w:t>In September 2015, we entered into an Option and License Agreement with Genentech, Inc. and F. Hoffmann-La Roche Ltd, collectively referred to as Genentech, focused on PROTAC discovery and research for target proteins, or Targets, based on our proprietary platform technology, other than excluded Targets as described below. This collaboration was expanded in November 2017 through an Amended and Restated Option, License and Collaboration Agreement, which we refer to as the Restated Genentech Agreement.</w:t>
      </w:r>
    </w:p>
    <w:p>
      <w:pPr>
        <w:spacing w:after="0" w:line="195" w:lineRule="exact"/>
        <w:rPr>
          <w:sz w:val="20"/>
          <w:szCs w:val="20"/>
          <w:color w:val="auto"/>
        </w:rPr>
      </w:pPr>
    </w:p>
    <w:p>
      <w:pPr>
        <w:ind w:left="360" w:right="160" w:firstLine="535"/>
        <w:spacing w:after="0" w:line="245" w:lineRule="auto"/>
        <w:rPr>
          <w:sz w:val="20"/>
          <w:szCs w:val="20"/>
          <w:color w:val="auto"/>
        </w:rPr>
      </w:pPr>
      <w:r>
        <w:rPr>
          <w:rFonts w:ascii="Arial" w:cs="Arial" w:eastAsia="Arial" w:hAnsi="Arial"/>
          <w:sz w:val="17"/>
          <w:szCs w:val="17"/>
          <w:color w:val="auto"/>
        </w:rPr>
        <w:t>Under the Restated Genentech Agreement, Genentech has the right to designate up to ten Targets for further discovery and research utilizing our PROTAC platform technology. Genentech may designate as a Target any protein to which a PROTAC, by design, binds to achieve its mechanism of action, subject to certain exclusions. Genentech also has the right to remove a Target from the collaboration and substitute a different Target that is not an excluded Target at any time prior to us commencing research on such Target or in certain circumstances following commencement of research by us.</w:t>
      </w:r>
    </w:p>
    <w:p>
      <w:pPr>
        <w:spacing w:after="0" w:line="13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040"/>
          </w:cols>
          <w:pgMar w:left="240" w:top="450" w:right="619" w:bottom="1440" w:gutter="0" w:footer="0" w:header="0"/>
        </w:sectPr>
      </w:pPr>
    </w:p>
    <w:bookmarkStart w:id="75" w:name="page76"/>
    <w:bookmarkEnd w:id="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firstLine="535"/>
        <w:spacing w:after="0" w:line="243" w:lineRule="auto"/>
        <w:rPr>
          <w:sz w:val="20"/>
          <w:szCs w:val="20"/>
          <w:color w:val="auto"/>
        </w:rPr>
      </w:pPr>
      <w:r>
        <w:rPr>
          <w:rFonts w:ascii="Arial" w:cs="Arial" w:eastAsia="Arial" w:hAnsi="Arial"/>
          <w:sz w:val="17"/>
          <w:szCs w:val="17"/>
          <w:color w:val="auto"/>
        </w:rPr>
        <w:t>At the time we entered into the original agreement with Genentech we received an upfront payment of $11.0 million, and at the time we entered into the Restated Genentech Agreement, we also received an additional $34.5 million in upfront payments and expansion target payments for the three expansion Targets currently included in the collaboration. We are eligible to receive up to an aggregate of $27.5 million in additional expansion target payments if Genentech exercises its options for all remaining Targets. We are also eligible to receive payments aggregating up to $44.0 million per Target upon the achievement of specified development milestones; payments aggregating up to $52.5 million per Target (assuming approval of two indications) subject to the achievement of specified regulatory milestones; and payments aggregating up to $60.0 million per PROTAC directed against the applicable Target, subject to the achievement of specified sales milestones. These milestone payments are subject to reduction if we do not have a valid patent claim covering the licensed PROTAC at the time the milestone is achieved. We are also eligible to receive, on net sales of licensed PROTACs, mid-single digit royalties, which may be subject to reductions.</w:t>
      </w:r>
    </w:p>
    <w:p>
      <w:pPr>
        <w:spacing w:after="0" w:line="282"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Pfizer License Agreement</w:t>
      </w:r>
    </w:p>
    <w:p>
      <w:pPr>
        <w:spacing w:after="0" w:line="126" w:lineRule="exact"/>
        <w:rPr>
          <w:sz w:val="20"/>
          <w:szCs w:val="20"/>
          <w:color w:val="auto"/>
        </w:rPr>
      </w:pPr>
    </w:p>
    <w:p>
      <w:pPr>
        <w:ind w:left="360" w:right="220" w:firstLine="535"/>
        <w:spacing w:after="0" w:line="247" w:lineRule="auto"/>
        <w:rPr>
          <w:sz w:val="20"/>
          <w:szCs w:val="20"/>
          <w:color w:val="auto"/>
        </w:rPr>
      </w:pPr>
      <w:r>
        <w:rPr>
          <w:rFonts w:ascii="Arial" w:cs="Arial" w:eastAsia="Arial" w:hAnsi="Arial"/>
          <w:sz w:val="17"/>
          <w:szCs w:val="17"/>
          <w:color w:val="auto"/>
        </w:rPr>
        <w:t>In December 2017, we entered into a Research Collaboration and License Agreement with Pfizer, Inc., or Pfizer, setting forth our collaboration to identify or optimize PROTACs that mediate for degradation of target proteins, or Targets, using our proprietary platform technology that are identified in the agreement or subsequently selected by Pfizer, subject to certain exclusions. We refer to this agreement as the Pfizer Collaboration Agreement.</w:t>
      </w:r>
    </w:p>
    <w:p>
      <w:pPr>
        <w:spacing w:after="0" w:line="192" w:lineRule="exact"/>
        <w:rPr>
          <w:sz w:val="20"/>
          <w:szCs w:val="20"/>
          <w:color w:val="auto"/>
        </w:rPr>
      </w:pPr>
    </w:p>
    <w:p>
      <w:pPr>
        <w:jc w:val="both"/>
        <w:ind w:left="360" w:right="340" w:firstLine="535"/>
        <w:spacing w:after="0" w:line="250" w:lineRule="auto"/>
        <w:rPr>
          <w:sz w:val="20"/>
          <w:szCs w:val="20"/>
          <w:color w:val="auto"/>
        </w:rPr>
      </w:pPr>
      <w:r>
        <w:rPr>
          <w:rFonts w:ascii="Arial" w:cs="Arial" w:eastAsia="Arial" w:hAnsi="Arial"/>
          <w:sz w:val="17"/>
          <w:szCs w:val="17"/>
          <w:color w:val="auto"/>
        </w:rPr>
        <w:t>Under the Pfizer Collaboration Agreement, Pfizer has designated a number of initial Targets. For each identified Target, we and Pfizer will conduct a separate research program pursuant to a research plan. Pfizer may make substitutions for any of the initial Target candidates, subject to the stage of research for such Target.</w:t>
      </w:r>
    </w:p>
    <w:p>
      <w:pPr>
        <w:spacing w:after="0" w:line="189" w:lineRule="exact"/>
        <w:rPr>
          <w:sz w:val="20"/>
          <w:szCs w:val="20"/>
          <w:color w:val="auto"/>
        </w:rPr>
      </w:pPr>
    </w:p>
    <w:p>
      <w:pPr>
        <w:ind w:left="360" w:right="60" w:firstLine="535"/>
        <w:spacing w:after="0" w:line="245" w:lineRule="auto"/>
        <w:rPr>
          <w:sz w:val="20"/>
          <w:szCs w:val="20"/>
          <w:color w:val="auto"/>
        </w:rPr>
      </w:pPr>
      <w:r>
        <w:rPr>
          <w:rFonts w:ascii="Arial" w:cs="Arial" w:eastAsia="Arial" w:hAnsi="Arial"/>
          <w:sz w:val="17"/>
          <w:szCs w:val="17"/>
          <w:color w:val="auto"/>
        </w:rPr>
        <w:t>In the six months ended June 30, 2018, we received an aggregate of $28.0 million in upfront payments and certain additional payments under the terms of the Pfizer Collaboration Agreement. We are also entitled to receive further potential option and development and sales-based milestone payments aggregating up to an additional $802.0 million, subject to the achievement of specified development and sales-based milestones for all designated Targets. In addition, we are eligible to receive, on net sales of PROTAC-related products, mid- to high-single digit tiered royalties, which may be subject to reductions.</w:t>
      </w:r>
    </w:p>
    <w:p>
      <w:pPr>
        <w:spacing w:after="0" w:line="280"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Prior License Agreements</w:t>
      </w:r>
    </w:p>
    <w:p>
      <w:pPr>
        <w:spacing w:after="0" w:line="126" w:lineRule="exact"/>
        <w:rPr>
          <w:sz w:val="20"/>
          <w:szCs w:val="20"/>
          <w:color w:val="auto"/>
        </w:rPr>
      </w:pPr>
    </w:p>
    <w:p>
      <w:pPr>
        <w:jc w:val="both"/>
        <w:ind w:left="360" w:right="40" w:firstLine="535"/>
        <w:spacing w:after="0" w:line="250" w:lineRule="auto"/>
        <w:rPr>
          <w:sz w:val="20"/>
          <w:szCs w:val="20"/>
          <w:color w:val="auto"/>
        </w:rPr>
      </w:pPr>
      <w:r>
        <w:rPr>
          <w:rFonts w:ascii="Arial" w:cs="Arial" w:eastAsia="Arial" w:hAnsi="Arial"/>
          <w:sz w:val="17"/>
          <w:szCs w:val="17"/>
          <w:color w:val="auto"/>
        </w:rPr>
        <w:t>In April 2015, we entered into a collaboration agreement with Merck Sharp &amp; Dohme Corp. We received an upfront non-refundable payment of $7.0 million, which was recognized as revenue over the total estimated period of performance. The agreement expired in April 2018.</w:t>
      </w:r>
    </w:p>
    <w:p>
      <w:pPr>
        <w:spacing w:after="0" w:line="274"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26" w:lineRule="exact"/>
        <w:rPr>
          <w:sz w:val="20"/>
          <w:szCs w:val="20"/>
          <w:color w:val="auto"/>
        </w:rPr>
      </w:pPr>
    </w:p>
    <w:p>
      <w:pPr>
        <w:ind w:left="900"/>
        <w:spacing w:after="0"/>
        <w:rPr>
          <w:sz w:val="20"/>
          <w:szCs w:val="20"/>
          <w:color w:val="auto"/>
        </w:rPr>
      </w:pPr>
      <w:r>
        <w:rPr>
          <w:rFonts w:ascii="Arial" w:cs="Arial" w:eastAsia="Arial" w:hAnsi="Arial"/>
          <w:sz w:val="17"/>
          <w:szCs w:val="17"/>
          <w:color w:val="auto"/>
        </w:rPr>
        <w:t>Our operating expenses since inception have consisted solely of research and development costs and general and administrative</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costs.</w:t>
      </w:r>
    </w:p>
    <w:p>
      <w:pPr>
        <w:spacing w:after="0" w:line="296"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26" w:lineRule="exact"/>
        <w:rPr>
          <w:sz w:val="20"/>
          <w:szCs w:val="20"/>
          <w:color w:val="auto"/>
        </w:rPr>
      </w:pPr>
    </w:p>
    <w:p>
      <w:pPr>
        <w:ind w:left="360" w:right="120" w:firstLine="535"/>
        <w:spacing w:after="0" w:line="259" w:lineRule="auto"/>
        <w:rPr>
          <w:sz w:val="20"/>
          <w:szCs w:val="20"/>
          <w:color w:val="auto"/>
        </w:rPr>
      </w:pPr>
      <w:r>
        <w:rPr>
          <w:rFonts w:ascii="Arial" w:cs="Arial" w:eastAsia="Arial" w:hAnsi="Arial"/>
          <w:sz w:val="17"/>
          <w:szCs w:val="17"/>
          <w:color w:val="auto"/>
        </w:rPr>
        <w:t>Research and development expenses consist primarily of costs incurred for our research activities, including our discovery efforts, and the development of our product candidates, and include:</w:t>
      </w:r>
    </w:p>
    <w:p>
      <w:pPr>
        <w:spacing w:after="0" w:line="89" w:lineRule="exact"/>
        <w:rPr>
          <w:sz w:val="20"/>
          <w:szCs w:val="20"/>
          <w:color w:val="auto"/>
        </w:rPr>
      </w:pPr>
    </w:p>
    <w:p>
      <w:pPr>
        <w:ind w:left="1100" w:right="80" w:hanging="210"/>
        <w:spacing w:after="0" w:line="259" w:lineRule="auto"/>
        <w:tabs>
          <w:tab w:leader="none" w:pos="11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salaries, benefits and other related costs, including stock-based compensation expense, for personnel engaged in research and development functions;</w:t>
      </w:r>
    </w:p>
    <w:p>
      <w:pPr>
        <w:spacing w:after="0" w:line="11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040"/>
          </w:cols>
          <w:pgMar w:left="240" w:top="449" w:right="619" w:bottom="1440" w:gutter="0" w:footer="0" w:header="0"/>
        </w:sectPr>
      </w:pPr>
    </w:p>
    <w:bookmarkStart w:id="76" w:name="page77"/>
    <w:bookmarkEnd w:id="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1100" w:right="120" w:hanging="210"/>
        <w:spacing w:after="0" w:line="250" w:lineRule="auto"/>
        <w:tabs>
          <w:tab w:leader="none" w:pos="11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expenses incurred under agreements with third parties, including contract research organizations and other third parties that conduct research and preclinical activities on our behalf as well as third parties that manufacture our product candidates for use in our preclinical and potential future clinical trials;</w:t>
      </w:r>
    </w:p>
    <w:p>
      <w:pPr>
        <w:spacing w:after="0" w:line="97" w:lineRule="exact"/>
        <w:rPr>
          <w:rFonts w:ascii="Arial" w:cs="Arial" w:eastAsia="Arial" w:hAnsi="Arial"/>
          <w:sz w:val="17"/>
          <w:szCs w:val="17"/>
          <w:color w:val="auto"/>
        </w:rPr>
      </w:pPr>
    </w:p>
    <w:p>
      <w:pPr>
        <w:ind w:left="1100" w:hanging="210"/>
        <w:spacing w:after="0"/>
        <w:tabs>
          <w:tab w:leader="none" w:pos="11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costs of outside consultants, including their fees, unit-based compensation and related travel expenses;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costs of laboratory supplies and acquiring, developing preclinical studies and clinical trial materials;</w:t>
      </w:r>
    </w:p>
    <w:p>
      <w:pPr>
        <w:spacing w:after="0" w:line="119" w:lineRule="exact"/>
        <w:rPr>
          <w:rFonts w:ascii="Arial" w:cs="Arial" w:eastAsia="Arial" w:hAnsi="Arial"/>
          <w:sz w:val="17"/>
          <w:szCs w:val="17"/>
          <w:color w:val="auto"/>
        </w:rPr>
      </w:pPr>
    </w:p>
    <w:p>
      <w:pPr>
        <w:ind w:left="1100" w:right="80" w:hanging="210"/>
        <w:spacing w:after="0" w:line="259" w:lineRule="auto"/>
        <w:tabs>
          <w:tab w:leader="none" w:pos="11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facility-related expenses, which include direct depreciation costs of equipment and allocated expenses for rent and maintenance of facilities and other operating costs; and</w:t>
      </w:r>
    </w:p>
    <w:p>
      <w:pPr>
        <w:spacing w:after="0" w:line="89" w:lineRule="exact"/>
        <w:rPr>
          <w:rFonts w:ascii="Arial" w:cs="Arial" w:eastAsia="Arial" w:hAnsi="Arial"/>
          <w:sz w:val="17"/>
          <w:szCs w:val="17"/>
          <w:color w:val="auto"/>
        </w:rPr>
      </w:pPr>
    </w:p>
    <w:p>
      <w:pPr>
        <w:ind w:left="1100" w:hanging="210"/>
        <w:spacing w:after="0"/>
        <w:tabs>
          <w:tab w:leader="none" w:pos="11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third-party licensing fees.</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We expense research and development costs as incurred.</w:t>
      </w:r>
    </w:p>
    <w:p>
      <w:pPr>
        <w:spacing w:after="0" w:line="211" w:lineRule="exact"/>
        <w:rPr>
          <w:sz w:val="20"/>
          <w:szCs w:val="20"/>
          <w:color w:val="auto"/>
        </w:rPr>
      </w:pPr>
    </w:p>
    <w:p>
      <w:pPr>
        <w:jc w:val="both"/>
        <w:ind w:left="360" w:right="520" w:firstLine="535"/>
        <w:spacing w:after="0" w:line="250" w:lineRule="auto"/>
        <w:rPr>
          <w:sz w:val="20"/>
          <w:szCs w:val="20"/>
          <w:color w:val="auto"/>
        </w:rPr>
      </w:pPr>
      <w:r>
        <w:rPr>
          <w:rFonts w:ascii="Arial" w:cs="Arial" w:eastAsia="Arial" w:hAnsi="Arial"/>
          <w:sz w:val="17"/>
          <w:szCs w:val="17"/>
          <w:color w:val="auto"/>
        </w:rPr>
        <w:t>We typically use our employee and infrastructure resources across our development programs, and as such, do not track our internal research and development expenses on a program-by-program basis. We track outsourced development costs and certain personnel costs by product candidate. Other internal costs are not allocated.</w:t>
      </w:r>
    </w:p>
    <w:p>
      <w:pPr>
        <w:spacing w:after="0" w:line="189"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following table summarizes our external research and development expenses by product candidate or development program:</w:t>
      </w:r>
    </w:p>
    <w:p>
      <w:pPr>
        <w:spacing w:after="0" w:line="223"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4"/>
          </w:tcPr>
          <w:p>
            <w:pPr>
              <w:jc w:val="right"/>
              <w:ind w:right="376"/>
              <w:spacing w:after="0"/>
              <w:rPr>
                <w:sz w:val="20"/>
                <w:szCs w:val="20"/>
                <w:color w:val="auto"/>
              </w:rPr>
            </w:pPr>
            <w:r>
              <w:rPr>
                <w:rFonts w:ascii="Arial" w:cs="Arial" w:eastAsia="Arial" w:hAnsi="Arial"/>
                <w:sz w:val="14"/>
                <w:szCs w:val="14"/>
                <w:b w:val="1"/>
                <w:bCs w:val="1"/>
                <w:color w:val="auto"/>
              </w:rPr>
              <w:t>Year Ended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ind w:left="1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9"/>
        </w:trPr>
        <w:tc>
          <w:tcPr>
            <w:tcW w:w="6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296"/>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69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80"/>
              <w:spacing w:after="0" w:line="151" w:lineRule="exact"/>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96"/>
              <w:spacing w:after="0" w:line="151" w:lineRule="exact"/>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80"/>
              <w:spacing w:after="0" w:line="151" w:lineRule="exact"/>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96"/>
              <w:spacing w:after="0" w:line="151"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96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AR program development costs</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9,837</w:t>
            </w:r>
          </w:p>
        </w:tc>
        <w:tc>
          <w:tcPr>
            <w:tcW w:w="3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3,899</w:t>
            </w:r>
          </w:p>
        </w:tc>
        <w:tc>
          <w:tcPr>
            <w:tcW w:w="3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5,034</w:t>
            </w:r>
          </w:p>
        </w:tc>
        <w:tc>
          <w:tcPr>
            <w:tcW w:w="3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5,317</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Arial" w:cs="Arial" w:eastAsia="Arial" w:hAnsi="Arial"/>
                <w:sz w:val="17"/>
                <w:szCs w:val="17"/>
                <w:color w:val="auto"/>
              </w:rPr>
              <w:t>ER program development costs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6,660</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1,146</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2,315</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3,456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7"/>
                <w:szCs w:val="17"/>
                <w:color w:val="auto"/>
              </w:rPr>
              <w:t>Other research and development costs</w:t>
            </w: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12,296</w:t>
            </w:r>
          </w:p>
        </w:tc>
        <w:tc>
          <w:tcPr>
            <w:tcW w:w="3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14,897</w:t>
            </w:r>
          </w:p>
        </w:tc>
        <w:tc>
          <w:tcPr>
            <w:tcW w:w="3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10,133</w:t>
            </w:r>
          </w:p>
        </w:tc>
        <w:tc>
          <w:tcPr>
            <w:tcW w:w="3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6,107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80" w:type="dxa"/>
            <w:vAlign w:val="bottom"/>
            <w:gridSpan w:val="2"/>
          </w:tcPr>
          <w:p>
            <w:pPr>
              <w:spacing w:after="0"/>
              <w:rPr>
                <w:sz w:val="20"/>
                <w:szCs w:val="20"/>
                <w:color w:val="auto"/>
              </w:rPr>
            </w:pPr>
            <w:r>
              <w:rPr>
                <w:rFonts w:ascii="Arial" w:cs="Arial" w:eastAsia="Arial" w:hAnsi="Arial"/>
                <w:sz w:val="17"/>
                <w:szCs w:val="17"/>
                <w:color w:val="auto"/>
              </w:rPr>
              <w:t>Total research and development costs</w:t>
            </w:r>
          </w:p>
        </w:tc>
        <w:tc>
          <w:tcPr>
            <w:tcW w:w="10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28,793</w:t>
            </w:r>
          </w:p>
        </w:tc>
        <w:tc>
          <w:tcPr>
            <w:tcW w:w="48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19,942</w:t>
            </w:r>
          </w:p>
        </w:tc>
        <w:tc>
          <w:tcPr>
            <w:tcW w:w="4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17,482</w:t>
            </w:r>
          </w:p>
        </w:tc>
        <w:tc>
          <w:tcPr>
            <w:tcW w:w="48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14,880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360" w:right="200" w:firstLine="535"/>
        <w:spacing w:after="0" w:line="250" w:lineRule="auto"/>
        <w:rPr>
          <w:sz w:val="20"/>
          <w:szCs w:val="20"/>
          <w:color w:val="auto"/>
        </w:rPr>
      </w:pPr>
      <w:r>
        <w:rPr>
          <w:rFonts w:ascii="Arial" w:cs="Arial" w:eastAsia="Arial" w:hAnsi="Arial"/>
          <w:sz w:val="17"/>
          <w:szCs w:val="17"/>
          <w:color w:val="auto"/>
        </w:rPr>
        <w:t>Research and development activities are central to our business model. We expect that our research and development expenses will continue to increase substantially for the foreseeable future as we advance ARV-110 and ARV-471 into clinical trials, including our Phase 1 clinical trials, and continue to discover and develop additional product candidates.</w:t>
      </w:r>
    </w:p>
    <w:p>
      <w:pPr>
        <w:spacing w:after="0" w:line="189" w:lineRule="exact"/>
        <w:rPr>
          <w:sz w:val="20"/>
          <w:szCs w:val="20"/>
          <w:color w:val="auto"/>
        </w:rPr>
      </w:pPr>
    </w:p>
    <w:p>
      <w:pPr>
        <w:ind w:left="360" w:right="140" w:firstLine="535"/>
        <w:spacing w:after="0" w:line="245" w:lineRule="auto"/>
        <w:rPr>
          <w:sz w:val="20"/>
          <w:szCs w:val="20"/>
          <w:color w:val="auto"/>
        </w:rPr>
      </w:pPr>
      <w:r>
        <w:rPr>
          <w:rFonts w:ascii="Arial" w:cs="Arial" w:eastAsia="Arial" w:hAnsi="Arial"/>
          <w:sz w:val="17"/>
          <w:szCs w:val="17"/>
          <w:color w:val="auto"/>
        </w:rPr>
        <w:t>We cannot reasonably estimate or determine with certainty the duration and costs of future clinical trials of ARV-110 and ARV-471 or any other product candidate we may develop or if, when, or to what extent we will generate revenue from the commercialization and sale of any product candidate for which we obtain marketing approval. We may never succeed in obtaining marketing approval for any product candidate. The successful development and commercialization of our product candidates is highly uncertain. This is due to the numerous risks and uncertainties associated with developing drugs, including the uncertainty of:</w:t>
      </w:r>
    </w:p>
    <w:p>
      <w:pPr>
        <w:spacing w:after="0" w:line="103" w:lineRule="exact"/>
        <w:rPr>
          <w:sz w:val="20"/>
          <w:szCs w:val="20"/>
          <w:color w:val="auto"/>
        </w:rPr>
      </w:pPr>
    </w:p>
    <w:p>
      <w:pPr>
        <w:ind w:left="1100" w:hanging="210"/>
        <w:spacing w:after="0"/>
        <w:tabs>
          <w:tab w:leader="none" w:pos="11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successful completion of preclinical studies;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successful initiation of clinical trials;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successful patient enrollment in and completion of clinical trials;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receipt and related terms of marketing approvals from applicable regulatory authorities;</w:t>
      </w:r>
    </w:p>
    <w:p>
      <w:pPr>
        <w:spacing w:after="0" w:line="119" w:lineRule="exact"/>
        <w:rPr>
          <w:rFonts w:ascii="Arial" w:cs="Arial" w:eastAsia="Arial" w:hAnsi="Arial"/>
          <w:sz w:val="17"/>
          <w:szCs w:val="17"/>
          <w:color w:val="auto"/>
        </w:rPr>
      </w:pPr>
    </w:p>
    <w:p>
      <w:pPr>
        <w:jc w:val="center"/>
        <w:ind w:left="5620" w:right="1180" w:hanging="4730"/>
        <w:spacing w:after="0" w:line="436" w:lineRule="auto"/>
        <w:tabs>
          <w:tab w:leader="none" w:pos="1103" w:val="left"/>
        </w:tabs>
        <w:numPr>
          <w:ilvl w:val="0"/>
          <w:numId w:val="56"/>
        </w:numPr>
        <w:rPr>
          <w:rFonts w:ascii="Arial" w:cs="Arial" w:eastAsia="Arial" w:hAnsi="Arial"/>
          <w:sz w:val="17"/>
          <w:szCs w:val="17"/>
          <w:color w:val="auto"/>
        </w:rPr>
      </w:pPr>
      <w:r>
        <w:rPr>
          <w:rFonts w:ascii="Arial" w:cs="Arial" w:eastAsia="Arial" w:hAnsi="Arial"/>
          <w:sz w:val="17"/>
          <w:szCs w:val="17"/>
          <w:color w:val="auto"/>
        </w:rPr>
        <w:t>obtaining and maintaining patent and trade secret protection and regulatory exclusivity for our product candidates; 75</w:t>
      </w:r>
    </w:p>
    <w:p>
      <w:pPr>
        <w:sectPr>
          <w:pgSz w:w="11900" w:h="16838" w:orient="portrait"/>
          <w:cols w:equalWidth="0" w:num="1">
            <w:col w:w="11060"/>
          </w:cols>
          <w:pgMar w:left="240" w:top="449" w:right="599" w:bottom="1440" w:gutter="0" w:footer="0" w:header="0"/>
        </w:sectPr>
      </w:pPr>
    </w:p>
    <w:bookmarkStart w:id="77" w:name="page78"/>
    <w:bookmarkEnd w:id="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1100" w:right="80" w:hanging="210"/>
        <w:spacing w:after="0" w:line="259" w:lineRule="auto"/>
        <w:tabs>
          <w:tab w:leader="none" w:pos="11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making arrangements with third-party manufacturers, or establishing manufacturing capabilities, for both clinical and commercial supplies of our product candidates;</w:t>
      </w:r>
    </w:p>
    <w:p>
      <w:pPr>
        <w:spacing w:after="0" w:line="89" w:lineRule="exact"/>
        <w:rPr>
          <w:rFonts w:ascii="Arial" w:cs="Arial" w:eastAsia="Arial" w:hAnsi="Arial"/>
          <w:sz w:val="17"/>
          <w:szCs w:val="17"/>
          <w:color w:val="auto"/>
        </w:rPr>
      </w:pPr>
    </w:p>
    <w:p>
      <w:pPr>
        <w:ind w:left="1100" w:hanging="210"/>
        <w:spacing w:after="0" w:line="259" w:lineRule="auto"/>
        <w:tabs>
          <w:tab w:leader="none" w:pos="11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establishing sales, marketing and distribution capabilities and launching commercial sales of our products, if and when approved, whether alone or in collaboration with others;</w:t>
      </w:r>
    </w:p>
    <w:p>
      <w:pPr>
        <w:spacing w:after="0" w:line="89" w:lineRule="exact"/>
        <w:rPr>
          <w:rFonts w:ascii="Arial" w:cs="Arial" w:eastAsia="Arial" w:hAnsi="Arial"/>
          <w:sz w:val="17"/>
          <w:szCs w:val="17"/>
          <w:color w:val="auto"/>
        </w:rPr>
      </w:pPr>
    </w:p>
    <w:p>
      <w:pPr>
        <w:ind w:left="1100" w:hanging="210"/>
        <w:spacing w:after="0"/>
        <w:tabs>
          <w:tab w:leader="none" w:pos="11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acceptance of our products, if and when approved, by patients, the medical community and third-party payors;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obtaining and maintaining third-party coverage and adequate reimbursement;</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maintaining a continued acceptable safety profile of the products following approval; and</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effectively competing with other therapies.</w:t>
      </w:r>
    </w:p>
    <w:p>
      <w:pPr>
        <w:spacing w:after="0" w:line="211" w:lineRule="exact"/>
        <w:rPr>
          <w:sz w:val="20"/>
          <w:szCs w:val="20"/>
          <w:color w:val="auto"/>
        </w:rPr>
      </w:pPr>
    </w:p>
    <w:p>
      <w:pPr>
        <w:ind w:left="360" w:right="60" w:firstLine="535"/>
        <w:spacing w:after="0" w:line="245" w:lineRule="auto"/>
        <w:rPr>
          <w:sz w:val="20"/>
          <w:szCs w:val="20"/>
          <w:color w:val="auto"/>
        </w:rPr>
      </w:pPr>
      <w:r>
        <w:rPr>
          <w:rFonts w:ascii="Arial" w:cs="Arial" w:eastAsia="Arial" w:hAnsi="Arial"/>
          <w:sz w:val="17"/>
          <w:szCs w:val="17"/>
          <w:color w:val="auto"/>
        </w:rPr>
        <w:t>A change in the outcome of any of these variables with respect to the development of a product candidate could mean a significant change in the costs and timing associated with the development of that product candidate.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would be required to expend significant additional financial resources and time on the completion of clinical development.</w:t>
      </w:r>
    </w:p>
    <w:p>
      <w:pPr>
        <w:spacing w:after="0" w:line="280"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126" w:lineRule="exact"/>
        <w:rPr>
          <w:sz w:val="20"/>
          <w:szCs w:val="20"/>
          <w:color w:val="auto"/>
        </w:rPr>
      </w:pPr>
    </w:p>
    <w:p>
      <w:pPr>
        <w:ind w:left="360" w:right="80" w:firstLine="535"/>
        <w:spacing w:after="0" w:line="245" w:lineRule="auto"/>
        <w:rPr>
          <w:sz w:val="20"/>
          <w:szCs w:val="20"/>
          <w:color w:val="auto"/>
        </w:rPr>
      </w:pPr>
      <w:r>
        <w:rPr>
          <w:rFonts w:ascii="Arial" w:cs="Arial" w:eastAsia="Arial" w:hAnsi="Arial"/>
          <w:sz w:val="17"/>
          <w:szCs w:val="17"/>
          <w:color w:val="auto"/>
        </w:rPr>
        <w:t>General and administrative expenses consist primarily of salaries and other related costs, including stock-based compensation, for personnel in our executive, finance, business development and administrative functions. General and administrative expenses also include legal fees relating to intellectual property and corporate matters; professional fees for accounting, auditing, tax and consulting services; insurance costs; travel expenses; and facility-related expenses, which include direct depreciation costs and allocated expenses for rent and maintenance of facilities and other operating costs.</w:t>
      </w:r>
    </w:p>
    <w:p>
      <w:pPr>
        <w:spacing w:after="0" w:line="195" w:lineRule="exact"/>
        <w:rPr>
          <w:sz w:val="20"/>
          <w:szCs w:val="20"/>
          <w:color w:val="auto"/>
        </w:rPr>
      </w:pPr>
    </w:p>
    <w:p>
      <w:pPr>
        <w:ind w:left="360" w:right="140" w:firstLine="535"/>
        <w:spacing w:after="0" w:line="247" w:lineRule="auto"/>
        <w:rPr>
          <w:sz w:val="20"/>
          <w:szCs w:val="20"/>
          <w:color w:val="auto"/>
        </w:rPr>
      </w:pPr>
      <w:r>
        <w:rPr>
          <w:rFonts w:ascii="Arial" w:cs="Arial" w:eastAsia="Arial" w:hAnsi="Arial"/>
          <w:sz w:val="17"/>
          <w:szCs w:val="17"/>
          <w:color w:val="auto"/>
        </w:rPr>
        <w:t>We expect that our general and administrative expenses will increase in the future as we increase our personnel headcount to support increased research and development activities relating to our product candidates. We also expect to incur increased expenses associated with being a public company, including costs of accounting, audit, legal, regulatory and tax-related services associated with maintaining compliance with Nasdaq and SEC requirements; director and officer insurance costs; and investor and public relations costs.</w:t>
      </w:r>
    </w:p>
    <w:p>
      <w:pPr>
        <w:spacing w:after="0" w:line="276"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Interest Income (Expense)</w:t>
      </w:r>
    </w:p>
    <w:p>
      <w:pPr>
        <w:spacing w:after="0" w:line="126" w:lineRule="exact"/>
        <w:rPr>
          <w:sz w:val="20"/>
          <w:szCs w:val="20"/>
          <w:color w:val="auto"/>
        </w:rPr>
      </w:pPr>
    </w:p>
    <w:p>
      <w:pPr>
        <w:ind w:left="360" w:right="20" w:firstLine="535"/>
        <w:spacing w:after="0" w:line="245" w:lineRule="auto"/>
        <w:rPr>
          <w:sz w:val="20"/>
          <w:szCs w:val="20"/>
          <w:color w:val="auto"/>
        </w:rPr>
      </w:pPr>
      <w:r>
        <w:rPr>
          <w:rFonts w:ascii="Arial" w:cs="Arial" w:eastAsia="Arial" w:hAnsi="Arial"/>
          <w:sz w:val="17"/>
          <w:szCs w:val="17"/>
          <w:color w:val="auto"/>
        </w:rPr>
        <w:t>Interest income consists of interest income earned on our cash, cash equivalents and short-term investments. Our interest income had decreased due to lower investment balances as we proceeded through 2017. Interest income has increased in 2018 as we invest our excess cash from the proceeds of the series C financing and the payments received under the collaboration agreements. Interest expense consists of interest paid or accrued on our outstanding debt. Interest expense was approximately $50,000 in 2017 and is expected to decrease each year until the debt is paid in full.</w:t>
      </w:r>
    </w:p>
    <w:p>
      <w:pPr>
        <w:spacing w:after="0" w:line="280"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Income Taxes</w:t>
      </w:r>
    </w:p>
    <w:p>
      <w:pPr>
        <w:spacing w:after="0" w:line="126" w:lineRule="exact"/>
        <w:rPr>
          <w:sz w:val="20"/>
          <w:szCs w:val="20"/>
          <w:color w:val="auto"/>
        </w:rPr>
      </w:pPr>
    </w:p>
    <w:p>
      <w:pPr>
        <w:ind w:left="360" w:right="20" w:firstLine="535"/>
        <w:spacing w:after="0" w:line="250" w:lineRule="auto"/>
        <w:rPr>
          <w:sz w:val="20"/>
          <w:szCs w:val="20"/>
          <w:color w:val="auto"/>
        </w:rPr>
      </w:pPr>
      <w:r>
        <w:rPr>
          <w:rFonts w:ascii="Arial" w:cs="Arial" w:eastAsia="Arial" w:hAnsi="Arial"/>
          <w:sz w:val="17"/>
          <w:szCs w:val="17"/>
          <w:color w:val="auto"/>
        </w:rPr>
        <w:t>Since our inception in 2013, we have not recorded any U.S. federal or state income tax benefits for the net losses we have incurred in any year or for our federal earned research and development tax credits, due to our uncertainty of realizing a benefit from those items. As of December 31, 2017, we</w:t>
      </w:r>
    </w:p>
    <w:p>
      <w:pPr>
        <w:spacing w:after="0" w:line="123"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060"/>
          </w:cols>
          <w:pgMar w:left="240" w:top="450" w:right="599" w:bottom="1440" w:gutter="0" w:footer="0" w:header="0"/>
        </w:sectPr>
      </w:pPr>
    </w:p>
    <w:bookmarkStart w:id="78" w:name="page79"/>
    <w:bookmarkEnd w:id="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160"/>
        <w:spacing w:after="0" w:line="250" w:lineRule="auto"/>
        <w:rPr>
          <w:sz w:val="20"/>
          <w:szCs w:val="20"/>
          <w:color w:val="auto"/>
        </w:rPr>
      </w:pPr>
      <w:r>
        <w:rPr>
          <w:rFonts w:ascii="Arial" w:cs="Arial" w:eastAsia="Arial" w:hAnsi="Arial"/>
          <w:sz w:val="17"/>
          <w:szCs w:val="17"/>
          <w:color w:val="auto"/>
        </w:rPr>
        <w:t>had federal net operating loss carryforwards of $52.3 million, which begin to expire in 2033. As of December 31, 2017 and 2016, we also had federal and state research and development tax credit carryforwards of $1.7 million and $1.0 million, respectively, which begin to expire in 2033 and 2028, respectively.</w:t>
      </w:r>
    </w:p>
    <w:p>
      <w:pPr>
        <w:spacing w:after="0" w:line="189" w:lineRule="exact"/>
        <w:rPr>
          <w:sz w:val="20"/>
          <w:szCs w:val="20"/>
          <w:color w:val="auto"/>
        </w:rPr>
      </w:pPr>
    </w:p>
    <w:p>
      <w:pPr>
        <w:ind w:left="360" w:firstLine="535"/>
        <w:spacing w:after="0" w:line="245" w:lineRule="auto"/>
        <w:rPr>
          <w:sz w:val="20"/>
          <w:szCs w:val="20"/>
          <w:color w:val="auto"/>
        </w:rPr>
      </w:pPr>
      <w:r>
        <w:rPr>
          <w:rFonts w:ascii="Arial" w:cs="Arial" w:eastAsia="Arial" w:hAnsi="Arial"/>
          <w:sz w:val="17"/>
          <w:szCs w:val="17"/>
          <w:color w:val="auto"/>
        </w:rPr>
        <w:t>As of June 30, 2018, Arvinas Holding Company, LLC had five wholly owned subsidiaries organized as C-corporations: Arvinas, Inc., Arvinas Androgen Receptor, Inc., Arvinas Estrogen Receptor, Inc., Arvinas BRD4, Inc. and Arvinas Winchester, Inc. These subsidiaries are separate filers for federal tax purposes. Net operating loss carryforwards are generated from the C-corporation subsidiaries’ filings. We have provided a valuation allowance against the full amount of the deferred tax assets since, in the opinion of management, based upon our earnings history, it is more likely than not that the benefits will not be realized.</w:t>
      </w:r>
    </w:p>
    <w:p>
      <w:pPr>
        <w:spacing w:after="0" w:line="195" w:lineRule="exact"/>
        <w:rPr>
          <w:sz w:val="20"/>
          <w:szCs w:val="20"/>
          <w:color w:val="auto"/>
        </w:rPr>
      </w:pPr>
    </w:p>
    <w:p>
      <w:pPr>
        <w:ind w:left="360" w:right="80" w:firstLine="535"/>
        <w:spacing w:after="0" w:line="245" w:lineRule="auto"/>
        <w:rPr>
          <w:sz w:val="20"/>
          <w:szCs w:val="20"/>
          <w:color w:val="auto"/>
        </w:rPr>
      </w:pPr>
      <w:r>
        <w:rPr>
          <w:rFonts w:ascii="Arial" w:cs="Arial" w:eastAsia="Arial" w:hAnsi="Arial"/>
          <w:sz w:val="17"/>
          <w:szCs w:val="17"/>
          <w:color w:val="auto"/>
        </w:rPr>
        <w:t>In December 2017, the United States enacted the Tax Cuts and Jobs Act, or TCJA. The TCJA significantly changes U.S. corporate income tax laws by, among other provisions, reducing the maximum U.S. corporate income tax rate from 35% to 21% starting in 2018. During the year ended December 31, 2017, we reduced our deferred income tax asset by approximately $7.2 million as a result of the re-measurement of deferred tax assets and liabilities to the new lower statutory rate of 21%. The rate change did not result in an income tax expense as the change was offset by the change in the valuation allowance.</w:t>
      </w:r>
    </w:p>
    <w:p>
      <w:pPr>
        <w:spacing w:after="0" w:line="278"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Critical Accounting Policies and Use of Estimates</w:t>
      </w:r>
    </w:p>
    <w:p>
      <w:pPr>
        <w:spacing w:after="0" w:line="233" w:lineRule="exact"/>
        <w:rPr>
          <w:sz w:val="20"/>
          <w:szCs w:val="20"/>
          <w:color w:val="auto"/>
        </w:rPr>
      </w:pPr>
    </w:p>
    <w:p>
      <w:pPr>
        <w:ind w:left="360" w:right="80" w:firstLine="535"/>
        <w:spacing w:after="0" w:line="244" w:lineRule="auto"/>
        <w:rPr>
          <w:sz w:val="20"/>
          <w:szCs w:val="20"/>
          <w:color w:val="auto"/>
        </w:rPr>
      </w:pPr>
      <w:r>
        <w:rPr>
          <w:rFonts w:ascii="Arial" w:cs="Arial" w:eastAsia="Arial" w:hAnsi="Arial"/>
          <w:sz w:val="17"/>
          <w:szCs w:val="17"/>
          <w:color w:val="auto"/>
        </w:rPr>
        <w:t>Our management’s discussion and analysis of financial condition and results of operations is based on our consolidated financial statements, which have been prepared in accordance with generally accepted accounting principles in the United States. The preparation of our consolidated financial statements and related disclosures requires us to make estimates and assumptions that affect the reported amounts of assets and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93" w:lineRule="exact"/>
        <w:rPr>
          <w:sz w:val="20"/>
          <w:szCs w:val="20"/>
          <w:color w:val="auto"/>
        </w:rPr>
      </w:pPr>
    </w:p>
    <w:p>
      <w:pPr>
        <w:ind w:left="360" w:right="440" w:firstLine="535"/>
        <w:spacing w:after="0" w:line="250" w:lineRule="auto"/>
        <w:rPr>
          <w:sz w:val="20"/>
          <w:szCs w:val="20"/>
          <w:color w:val="auto"/>
        </w:rPr>
      </w:pPr>
      <w:r>
        <w:rPr>
          <w:rFonts w:ascii="Arial" w:cs="Arial" w:eastAsia="Arial" w:hAnsi="Arial"/>
          <w:sz w:val="17"/>
          <w:szCs w:val="17"/>
          <w:color w:val="auto"/>
        </w:rPr>
        <w:t>While our significant accounting policies are described in more detail in the notes to our consolidated financial statements appearing at the end of this prospectus, we believe that the following accounting policies are those most critical to the judgments and estimates used in the preparation of our consolidated financial statements.</w:t>
      </w:r>
    </w:p>
    <w:p>
      <w:pPr>
        <w:spacing w:after="0" w:line="274"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11"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Revenues from Contracts</w:t>
      </w:r>
    </w:p>
    <w:p>
      <w:pPr>
        <w:spacing w:after="0" w:line="126" w:lineRule="exact"/>
        <w:rPr>
          <w:sz w:val="20"/>
          <w:szCs w:val="20"/>
          <w:color w:val="auto"/>
        </w:rPr>
      </w:pPr>
    </w:p>
    <w:p>
      <w:pPr>
        <w:ind w:left="360" w:right="40" w:firstLine="535"/>
        <w:spacing w:after="0" w:line="247" w:lineRule="auto"/>
        <w:rPr>
          <w:sz w:val="20"/>
          <w:szCs w:val="20"/>
          <w:color w:val="auto"/>
        </w:rPr>
      </w:pPr>
      <w:r>
        <w:rPr>
          <w:rFonts w:ascii="Arial" w:cs="Arial" w:eastAsia="Arial" w:hAnsi="Arial"/>
          <w:sz w:val="17"/>
          <w:szCs w:val="17"/>
          <w:color w:val="auto"/>
        </w:rPr>
        <w:t xml:space="preserve">As discussed in Note 2 to our consolidated audited financial statements appearing at the end of this prospectus, we adopted Accounting Standards Codification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 of January 1, 2017 using the full retrospective method. For the year ended December 31, 2016, the effect of the changes in revenue recognition under ASC 606 was immaterial from the amount that was reported under the previous guidance.</w:t>
      </w:r>
    </w:p>
    <w:p>
      <w:pPr>
        <w:spacing w:after="0" w:line="192" w:lineRule="exact"/>
        <w:rPr>
          <w:sz w:val="20"/>
          <w:szCs w:val="20"/>
          <w:color w:val="auto"/>
        </w:rPr>
      </w:pPr>
    </w:p>
    <w:p>
      <w:pPr>
        <w:ind w:left="360" w:right="20" w:firstLine="535"/>
        <w:spacing w:after="0" w:line="259" w:lineRule="auto"/>
        <w:rPr>
          <w:sz w:val="20"/>
          <w:szCs w:val="20"/>
          <w:color w:val="auto"/>
        </w:rPr>
      </w:pPr>
      <w:r>
        <w:rPr>
          <w:rFonts w:ascii="Arial" w:cs="Arial" w:eastAsia="Arial" w:hAnsi="Arial"/>
          <w:sz w:val="17"/>
          <w:szCs w:val="17"/>
          <w:color w:val="auto"/>
        </w:rPr>
        <w:t>Our revenue is generated through research collaboration and license agreements with pharmaceutical partners. The terms of these agreements contain multiple goods and services which</w:t>
      </w:r>
    </w:p>
    <w:p>
      <w:pPr>
        <w:spacing w:after="0" w:line="11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060"/>
          </w:cols>
          <w:pgMar w:left="240" w:top="449" w:right="599" w:bottom="1440" w:gutter="0" w:footer="0" w:header="0"/>
        </w:sectPr>
      </w:pPr>
    </w:p>
    <w:bookmarkStart w:id="79" w:name="page80"/>
    <w:bookmarkEnd w:id="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spacing w:after="0" w:line="245" w:lineRule="auto"/>
        <w:rPr>
          <w:sz w:val="20"/>
          <w:szCs w:val="20"/>
          <w:color w:val="auto"/>
        </w:rPr>
      </w:pPr>
      <w:r>
        <w:rPr>
          <w:rFonts w:ascii="Arial" w:cs="Arial" w:eastAsia="Arial" w:hAnsi="Arial"/>
          <w:sz w:val="17"/>
          <w:szCs w:val="17"/>
          <w:color w:val="auto"/>
        </w:rPr>
        <w:t>may include (i) licenses, (ii) research and development activities and (iii) participation in joint research and development steering committees. The terms of these agreements may include non-refundable upfront license or option fees, payments for research and development activities, payments upon the achievement of certain milestones, and royalty payments based on product sales derived from the collaboration. Under ASC 606, we evaluate whether the license agreement, research and development services, and participation in research and development steering committees, represent separate or combined performance obligations. We have determined that these services within our existing contracts represent a combined single performance obligation.</w:t>
      </w:r>
    </w:p>
    <w:p>
      <w:pPr>
        <w:spacing w:after="0" w:line="192" w:lineRule="exact"/>
        <w:rPr>
          <w:sz w:val="20"/>
          <w:szCs w:val="20"/>
          <w:color w:val="auto"/>
        </w:rPr>
      </w:pPr>
    </w:p>
    <w:p>
      <w:pPr>
        <w:ind w:left="360" w:right="20" w:firstLine="535"/>
        <w:spacing w:after="0" w:line="245" w:lineRule="auto"/>
        <w:rPr>
          <w:sz w:val="20"/>
          <w:szCs w:val="20"/>
          <w:color w:val="auto"/>
        </w:rPr>
      </w:pPr>
      <w:r>
        <w:rPr>
          <w:rFonts w:ascii="Arial" w:cs="Arial" w:eastAsia="Arial" w:hAnsi="Arial"/>
          <w:sz w:val="17"/>
          <w:szCs w:val="17"/>
          <w:color w:val="auto"/>
        </w:rPr>
        <w:t>The research collaboration and license agreements typically include contingent milestone payments related to specified preclinical and clinical development milestones and regulatory milestones. These milestone payments represent variable consideration that are not initially recognized within the transaction price as they are fully constrained under the guidance in ASC 606. We will continue to assess the probability of significant reversals for any amounts that become likely to be realized prior to recognizing the variable consideration associated with these payments within the transaction price.</w:t>
      </w:r>
    </w:p>
    <w:p>
      <w:pPr>
        <w:spacing w:after="0" w:line="195" w:lineRule="exact"/>
        <w:rPr>
          <w:sz w:val="20"/>
          <w:szCs w:val="20"/>
          <w:color w:val="auto"/>
        </w:rPr>
      </w:pPr>
    </w:p>
    <w:p>
      <w:pPr>
        <w:ind w:left="360" w:right="40" w:firstLine="535"/>
        <w:spacing w:after="0" w:line="247" w:lineRule="auto"/>
        <w:rPr>
          <w:sz w:val="20"/>
          <w:szCs w:val="20"/>
          <w:color w:val="auto"/>
        </w:rPr>
      </w:pPr>
      <w:r>
        <w:rPr>
          <w:rFonts w:ascii="Arial" w:cs="Arial" w:eastAsia="Arial" w:hAnsi="Arial"/>
          <w:sz w:val="17"/>
          <w:szCs w:val="17"/>
          <w:color w:val="auto"/>
        </w:rPr>
        <w:t>Revenue is recognized ratably over our expected performance period under each respective arrangement. We make our best estimate of the period over which we expect to fulfill our performance obligations, which includes access to technology through the license agreement and research activities. Given the uncertainties of these collaboration arrangements, significant judgement is required to determine the duration of the performance period.</w:t>
      </w:r>
    </w:p>
    <w:p>
      <w:pPr>
        <w:spacing w:after="0" w:line="192" w:lineRule="exact"/>
        <w:rPr>
          <w:sz w:val="20"/>
          <w:szCs w:val="20"/>
          <w:color w:val="auto"/>
        </w:rPr>
      </w:pPr>
    </w:p>
    <w:p>
      <w:pPr>
        <w:ind w:left="360" w:right="80" w:firstLine="535"/>
        <w:spacing w:after="0" w:line="245" w:lineRule="auto"/>
        <w:rPr>
          <w:sz w:val="20"/>
          <w:szCs w:val="20"/>
          <w:color w:val="auto"/>
        </w:rPr>
      </w:pPr>
      <w:r>
        <w:rPr>
          <w:rFonts w:ascii="Arial" w:cs="Arial" w:eastAsia="Arial" w:hAnsi="Arial"/>
          <w:sz w:val="17"/>
          <w:szCs w:val="17"/>
          <w:color w:val="auto"/>
        </w:rPr>
        <w:t>For the years ended December 31, 2017 and 2016, transaction price allocated to the combined performance obligation identified under the agreements was recognized as revenue on a straight-line basis over the estimated performance period under each respective arrangement. Straight-line basis was considered the best measure of progress in which control of the combined obligation transfers to the customers, due to the contract containing license rights to technology, research and development services, and joint committee participation, which in totality are expected to occur ratably over the performance period.</w:t>
      </w:r>
    </w:p>
    <w:p>
      <w:pPr>
        <w:spacing w:after="0" w:line="195" w:lineRule="exact"/>
        <w:rPr>
          <w:sz w:val="20"/>
          <w:szCs w:val="20"/>
          <w:color w:val="auto"/>
        </w:rPr>
      </w:pPr>
    </w:p>
    <w:p>
      <w:pPr>
        <w:ind w:left="360" w:right="100" w:firstLine="535"/>
        <w:spacing w:after="0" w:line="245" w:lineRule="auto"/>
        <w:rPr>
          <w:sz w:val="20"/>
          <w:szCs w:val="20"/>
          <w:color w:val="auto"/>
        </w:rPr>
      </w:pPr>
      <w:r>
        <w:rPr>
          <w:rFonts w:ascii="Arial" w:cs="Arial" w:eastAsia="Arial" w:hAnsi="Arial"/>
          <w:sz w:val="17"/>
          <w:szCs w:val="17"/>
          <w:color w:val="auto"/>
        </w:rPr>
        <w:t>Our contracts may also call for certain sales-based milestone and royalty payments upon successful commercialization of a target. In accordance with ASC 606-10-55-65, we recognize revenues from sales-based milestone and royalty payments at the later of (i) the occurrence of the subsequent sale; or (ii) the performance obligation to which some or all of the sales-based milestone or royalty payments has been allocated has been satisfied (or partially satisfied). We anticipate recognizing these milestone and royalty payments if and when subsequent sales are generated by the customer from the use of the technology. To date, no revenue from these sales-based milestone and royalty payments has been recognized for any periods.</w:t>
      </w:r>
    </w:p>
    <w:p>
      <w:pPr>
        <w:spacing w:after="0" w:line="192" w:lineRule="exact"/>
        <w:rPr>
          <w:sz w:val="20"/>
          <w:szCs w:val="20"/>
          <w:color w:val="auto"/>
        </w:rPr>
      </w:pPr>
    </w:p>
    <w:p>
      <w:pPr>
        <w:ind w:left="360" w:right="100" w:firstLine="535"/>
        <w:spacing w:after="0" w:line="259" w:lineRule="auto"/>
        <w:rPr>
          <w:sz w:val="20"/>
          <w:szCs w:val="20"/>
          <w:color w:val="auto"/>
        </w:rPr>
      </w:pPr>
      <w:r>
        <w:rPr>
          <w:rFonts w:ascii="Arial" w:cs="Arial" w:eastAsia="Arial" w:hAnsi="Arial"/>
          <w:sz w:val="17"/>
          <w:szCs w:val="17"/>
          <w:color w:val="auto"/>
        </w:rPr>
        <w:t>Amounts received prior to satisfying the above revenue recognition criteria are recorded as a contract liability in our accompanying consolidated balance sheets.</w:t>
      </w:r>
    </w:p>
    <w:p>
      <w:pPr>
        <w:spacing w:after="0" w:line="266"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Incentive Units</w:t>
      </w:r>
    </w:p>
    <w:p>
      <w:pPr>
        <w:spacing w:after="0" w:line="126" w:lineRule="exact"/>
        <w:rPr>
          <w:sz w:val="20"/>
          <w:szCs w:val="20"/>
          <w:color w:val="auto"/>
        </w:rPr>
      </w:pPr>
    </w:p>
    <w:p>
      <w:pPr>
        <w:ind w:left="360" w:right="100" w:firstLine="535"/>
        <w:spacing w:after="0" w:line="245" w:lineRule="auto"/>
        <w:rPr>
          <w:sz w:val="20"/>
          <w:szCs w:val="20"/>
          <w:color w:val="auto"/>
        </w:rPr>
      </w:pPr>
      <w:r>
        <w:rPr>
          <w:rFonts w:ascii="Arial" w:cs="Arial" w:eastAsia="Arial" w:hAnsi="Arial"/>
          <w:sz w:val="17"/>
          <w:szCs w:val="17"/>
          <w:color w:val="auto"/>
        </w:rPr>
        <w:t>Prior to this offering, we issued equity-based compensation awards to employees and non-employees through the granting of incentive units. We have periodically granted incentive units to employees and non-employees, which generally vest over a four-year period. The incentive units represent a separate substantive class of equity with defined rights within our LLC Operating Agreement. The incentive units represent profit interest in the increase in the value of the entity over a participation threshold, as determined at the time of grant. The holder, therefore, has the right to</w:t>
      </w:r>
    </w:p>
    <w:p>
      <w:pPr>
        <w:spacing w:after="0" w:line="13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060"/>
          </w:cols>
          <w:pgMar w:left="240" w:top="449" w:right="599" w:bottom="1440" w:gutter="0" w:footer="0" w:header="0"/>
        </w:sectPr>
      </w:pPr>
    </w:p>
    <w:bookmarkStart w:id="80" w:name="page81"/>
    <w:bookmarkEnd w:id="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160"/>
        <w:spacing w:after="0" w:line="259" w:lineRule="auto"/>
        <w:rPr>
          <w:sz w:val="20"/>
          <w:szCs w:val="20"/>
          <w:color w:val="auto"/>
        </w:rPr>
      </w:pPr>
      <w:r>
        <w:rPr>
          <w:rFonts w:ascii="Arial" w:cs="Arial" w:eastAsia="Arial" w:hAnsi="Arial"/>
          <w:sz w:val="17"/>
          <w:szCs w:val="17"/>
          <w:color w:val="auto"/>
        </w:rPr>
        <w:t>participate in distributions of profits only in excess of such participation threshold. The participation threshold is based on the valuation of the incentive unit on or around the grant date.</w:t>
      </w:r>
    </w:p>
    <w:p>
      <w:pPr>
        <w:spacing w:after="0" w:line="163" w:lineRule="exact"/>
        <w:rPr>
          <w:sz w:val="20"/>
          <w:szCs w:val="20"/>
          <w:color w:val="auto"/>
        </w:rPr>
      </w:pPr>
    </w:p>
    <w:p>
      <w:pPr>
        <w:ind w:left="360" w:right="400" w:firstLine="535"/>
        <w:spacing w:after="0" w:line="261" w:lineRule="auto"/>
        <w:rPr>
          <w:sz w:val="20"/>
          <w:szCs w:val="20"/>
          <w:color w:val="auto"/>
        </w:rPr>
      </w:pPr>
      <w:r>
        <w:rPr>
          <w:rFonts w:ascii="Arial" w:cs="Arial" w:eastAsia="Arial" w:hAnsi="Arial"/>
          <w:sz w:val="17"/>
          <w:szCs w:val="17"/>
          <w:color w:val="auto"/>
        </w:rPr>
        <w:t xml:space="preserve">We account for unit-based compensation in accordance with ASC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(ASC 718). In accordance with ASC 718, compensation cost is measured at estimated fair value and is included as compensation expense over the vesting period during which an employee provides service in exchange for the award.</w:t>
      </w:r>
    </w:p>
    <w:p>
      <w:pPr>
        <w:spacing w:after="0" w:line="180" w:lineRule="exact"/>
        <w:rPr>
          <w:sz w:val="20"/>
          <w:szCs w:val="20"/>
          <w:color w:val="auto"/>
        </w:rPr>
      </w:pPr>
    </w:p>
    <w:p>
      <w:pPr>
        <w:ind w:left="360" w:right="100" w:firstLine="535"/>
        <w:spacing w:after="0" w:line="244" w:lineRule="auto"/>
        <w:rPr>
          <w:sz w:val="20"/>
          <w:szCs w:val="20"/>
          <w:color w:val="auto"/>
        </w:rPr>
      </w:pPr>
      <w:r>
        <w:rPr>
          <w:rFonts w:ascii="Arial" w:cs="Arial" w:eastAsia="Arial" w:hAnsi="Arial"/>
          <w:sz w:val="17"/>
          <w:szCs w:val="17"/>
          <w:color w:val="auto"/>
        </w:rPr>
        <w:t>We use a Black-Scholes option pricing model to determine fair value of our incentive units, due to the existence of a participation threshold. The Black-Scholes option pricing model includes various assumptions, including the expected life of incentive units, the expected volatility and the expected risk-free interest rate. The fair value of the underlying common units represents the exercise price utilized in the Black-Scholes option pricing model. These assumptions reflect our best estimates, but they involve inherent uncertainties based on market conditions generally outside our control. As a result, if other assumptions had been used, unit-based compensation cost could have been materially impacted. Furthermore, if we use different assumptions for future grants, unit-based compensation cost could be materially impacted in future periods.</w:t>
      </w:r>
    </w:p>
    <w:p>
      <w:pPr>
        <w:spacing w:after="0" w:line="195" w:lineRule="exact"/>
        <w:rPr>
          <w:sz w:val="20"/>
          <w:szCs w:val="20"/>
          <w:color w:val="auto"/>
        </w:rPr>
      </w:pPr>
    </w:p>
    <w:p>
      <w:pPr>
        <w:ind w:left="360" w:firstLine="535"/>
        <w:spacing w:after="0" w:line="242" w:lineRule="auto"/>
        <w:rPr>
          <w:sz w:val="20"/>
          <w:szCs w:val="20"/>
          <w:color w:val="auto"/>
        </w:rPr>
      </w:pPr>
      <w:r>
        <w:rPr>
          <w:rFonts w:ascii="Arial" w:cs="Arial" w:eastAsia="Arial" w:hAnsi="Arial"/>
          <w:sz w:val="17"/>
          <w:szCs w:val="17"/>
          <w:color w:val="auto"/>
        </w:rPr>
        <w:t xml:space="preserve">As there has been no public market for our common units to date, the estimated fair value of our common units has been determined by our board of directors as of the date of each incentive unit grant, with input from management, considering our most recently available third-party valuations of common stock units. Valuations are updated when facts and circumstances indicate that the most recent valuation is no longer valid, such as changes in the stage of our development efforts, various exit strategies and their timing, and other scientific developments that could be related to the valuation of our company, or, at a minimum, annually. Third-party valuations were performed in accordance with the guidance outlined in the American Institute of Certified Public Accountants’ Accounting and Valuation Guide, </w:t>
      </w:r>
      <w:r>
        <w:rPr>
          <w:rFonts w:ascii="Arial" w:cs="Arial" w:eastAsia="Arial" w:hAnsi="Arial"/>
          <w:sz w:val="17"/>
          <w:szCs w:val="17"/>
          <w:i w:val="1"/>
          <w:iCs w:val="1"/>
          <w:color w:val="auto"/>
        </w:rPr>
        <w:t>Valuation of Privately-Held-Company Equity Securities Issued as Compensation</w:t>
      </w:r>
      <w:r>
        <w:rPr>
          <w:rFonts w:ascii="Arial" w:cs="Arial" w:eastAsia="Arial" w:hAnsi="Arial"/>
          <w:sz w:val="17"/>
          <w:szCs w:val="17"/>
          <w:color w:val="auto"/>
        </w:rPr>
        <w:t>. Our common unit valuations in 2016, 2017 and January 2018 were prepared using a market approach, specifically the subject company transaction method. The subject company transaction method solves for the total equity value which allocates a probability-weighted present value to the series B preferred unit holders consistent with the investment amount of that financing round adjusted to account for the impact of progress or changes in the business since the closing of the series B financing. Our common unit valuation as of June 30, 2018 was prepared using the income and market approaches simultaneously. Under the income approach, the hybrid method was used, which is a combination of the probability weighted expected return method, or PWERM, and the option pricing method, or OPM. Under the market approach, the subject company transaction method was used. Within both the PWERM and OPM, the subject company transaction method was used to solve for the total equity value which allocates a probability weighted present value to the series C preferred unit holders consistent with the investment amount of that financing round.</w:t>
      </w:r>
    </w:p>
    <w:p>
      <w:pPr>
        <w:spacing w:after="0" w:line="399" w:lineRule="exact"/>
        <w:rPr>
          <w:sz w:val="20"/>
          <w:szCs w:val="20"/>
          <w:color w:val="auto"/>
        </w:rPr>
      </w:pPr>
    </w:p>
    <w:p>
      <w:pPr>
        <w:ind w:left="360" w:right="360" w:firstLine="535"/>
        <w:spacing w:after="0" w:line="250" w:lineRule="auto"/>
        <w:rPr>
          <w:sz w:val="20"/>
          <w:szCs w:val="20"/>
          <w:color w:val="auto"/>
        </w:rPr>
      </w:pPr>
      <w:r>
        <w:rPr>
          <w:rFonts w:ascii="Arial" w:cs="Arial" w:eastAsia="Arial" w:hAnsi="Arial"/>
          <w:sz w:val="17"/>
          <w:szCs w:val="17"/>
          <w:color w:val="auto"/>
        </w:rPr>
        <w:t>These third-party valuations resulted in participation thresholds of $127.1 million as of December 31, 2017, $270.8 million as of March 31, 2018 and $292.0 million as of June 30, 2018. Fair value estimates of underlying shares will no longer be necessary to determine the fair value of new equity awards once the underlying shares begin trading in the public market.</w:t>
      </w:r>
    </w:p>
    <w:p>
      <w:pPr>
        <w:spacing w:after="0" w:line="12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1060"/>
          </w:cols>
          <w:pgMar w:left="240" w:top="449" w:right="599" w:bottom="1440" w:gutter="0" w:footer="0" w:header="0"/>
        </w:sectPr>
      </w:pPr>
    </w:p>
    <w:bookmarkStart w:id="81" w:name="page82"/>
    <w:bookmarkEnd w:id="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100" w:firstLine="535"/>
        <w:spacing w:after="0" w:line="247" w:lineRule="auto"/>
        <w:rPr>
          <w:sz w:val="20"/>
          <w:szCs w:val="20"/>
          <w:color w:val="auto"/>
        </w:rPr>
      </w:pPr>
      <w:r>
        <w:rPr>
          <w:rFonts w:ascii="Arial" w:cs="Arial" w:eastAsia="Arial" w:hAnsi="Arial"/>
          <w:sz w:val="17"/>
          <w:szCs w:val="17"/>
          <w:color w:val="auto"/>
        </w:rPr>
        <w:t>In connection with the Conversion, incentive units in Arvinas LLC were exchanged for common stock and restricted common stock of Arvinas, Inc. The following table summarizes by grant date the number of incentive units granted from January 1, 2016 through June 30, 2018, the participation threshold price per incentive unit and the pro forma number of shares of common stock that were issued in the Conversion for each grant of incentive units:</w:t>
      </w:r>
    </w:p>
    <w:p>
      <w:pPr>
        <w:spacing w:after="0" w:line="204"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9"/>
              </w:rPr>
              <w:t>Participation</w:t>
            </w:r>
          </w:p>
        </w:tc>
        <w:tc>
          <w:tcPr>
            <w:tcW w:w="2060" w:type="dxa"/>
            <w:vAlign w:val="bottom"/>
            <w:gridSpan w:val="3"/>
          </w:tcPr>
          <w:p>
            <w:pPr>
              <w:jc w:val="center"/>
              <w:ind w:left="514"/>
              <w:spacing w:after="0"/>
              <w:rPr>
                <w:sz w:val="20"/>
                <w:szCs w:val="20"/>
                <w:color w:val="auto"/>
              </w:rPr>
            </w:pPr>
            <w:r>
              <w:rPr>
                <w:rFonts w:ascii="Arial" w:cs="Arial" w:eastAsia="Arial" w:hAnsi="Arial"/>
                <w:sz w:val="14"/>
                <w:szCs w:val="14"/>
                <w:b w:val="1"/>
                <w:bCs w:val="1"/>
                <w:color w:val="auto"/>
                <w:w w:val="99"/>
              </w:rPr>
              <w:t>Pro Forma Common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Outstanding</w:t>
            </w:r>
          </w:p>
        </w:tc>
        <w:tc>
          <w:tcPr>
            <w:tcW w:w="1740" w:type="dxa"/>
            <w:vAlign w:val="bottom"/>
            <w:gridSpan w:val="2"/>
          </w:tcPr>
          <w:p>
            <w:pPr>
              <w:jc w:val="right"/>
              <w:spacing w:after="0" w:line="157" w:lineRule="exact"/>
              <w:rPr>
                <w:sz w:val="20"/>
                <w:szCs w:val="20"/>
                <w:color w:val="auto"/>
              </w:rPr>
            </w:pPr>
            <w:r>
              <w:rPr>
                <w:rFonts w:ascii="Arial" w:cs="Arial" w:eastAsia="Arial" w:hAnsi="Arial"/>
                <w:sz w:val="14"/>
                <w:szCs w:val="14"/>
                <w:b w:val="1"/>
                <w:bCs w:val="1"/>
                <w:color w:val="auto"/>
              </w:rPr>
              <w:t>Threshold Price</w:t>
            </w:r>
          </w:p>
        </w:tc>
        <w:tc>
          <w:tcPr>
            <w:tcW w:w="660" w:type="dxa"/>
            <w:vAlign w:val="bottom"/>
          </w:tcPr>
          <w:p>
            <w:pPr>
              <w:spacing w:after="0"/>
              <w:rPr>
                <w:sz w:val="13"/>
                <w:szCs w:val="13"/>
                <w:color w:val="auto"/>
              </w:rPr>
            </w:pPr>
          </w:p>
        </w:tc>
        <w:tc>
          <w:tcPr>
            <w:tcW w:w="1400" w:type="dxa"/>
            <w:vAlign w:val="bottom"/>
            <w:gridSpan w:val="2"/>
          </w:tcPr>
          <w:p>
            <w:pPr>
              <w:jc w:val="center"/>
              <w:ind w:right="60"/>
              <w:spacing w:after="0" w:line="157" w:lineRule="exact"/>
              <w:rPr>
                <w:sz w:val="20"/>
                <w:szCs w:val="20"/>
                <w:color w:val="auto"/>
              </w:rPr>
            </w:pPr>
            <w:r>
              <w:rPr>
                <w:rFonts w:ascii="Arial" w:cs="Arial" w:eastAsia="Arial" w:hAnsi="Arial"/>
                <w:sz w:val="14"/>
                <w:szCs w:val="14"/>
                <w:b w:val="1"/>
                <w:bCs w:val="1"/>
                <w:color w:val="auto"/>
                <w:w w:val="99"/>
              </w:rPr>
              <w:t>Stock Issued</w:t>
            </w:r>
          </w:p>
        </w:tc>
        <w:tc>
          <w:tcPr>
            <w:tcW w:w="0" w:type="dxa"/>
            <w:vAlign w:val="bottom"/>
          </w:tcPr>
          <w:p>
            <w:pPr>
              <w:spacing w:after="0"/>
              <w:rPr>
                <w:sz w:val="1"/>
                <w:szCs w:val="1"/>
                <w:color w:val="auto"/>
              </w:rPr>
            </w:pPr>
          </w:p>
        </w:tc>
      </w:tr>
      <w:tr>
        <w:trPr>
          <w:trHeight w:val="157"/>
        </w:trPr>
        <w:tc>
          <w:tcPr>
            <w:tcW w:w="2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Grant Date</w:t>
            </w:r>
          </w:p>
        </w:tc>
        <w:tc>
          <w:tcPr>
            <w:tcW w:w="2580" w:type="dxa"/>
            <w:vAlign w:val="bottom"/>
            <w:gridSpan w:val="2"/>
          </w:tcPr>
          <w:p>
            <w:pPr>
              <w:jc w:val="right"/>
              <w:spacing w:after="0" w:line="157" w:lineRule="exact"/>
              <w:rPr>
                <w:sz w:val="20"/>
                <w:szCs w:val="20"/>
                <w:color w:val="auto"/>
              </w:rPr>
            </w:pPr>
            <w:r>
              <w:rPr>
                <w:rFonts w:ascii="Arial" w:cs="Arial" w:eastAsia="Arial" w:hAnsi="Arial"/>
                <w:sz w:val="14"/>
                <w:szCs w:val="14"/>
                <w:b w:val="1"/>
                <w:bCs w:val="1"/>
                <w:color w:val="auto"/>
              </w:rPr>
              <w:t>Incentive Units</w:t>
            </w:r>
          </w:p>
        </w:tc>
        <w:tc>
          <w:tcPr>
            <w:tcW w:w="1860" w:type="dxa"/>
            <w:vAlign w:val="bottom"/>
            <w:gridSpan w:val="2"/>
          </w:tcPr>
          <w:p>
            <w:pPr>
              <w:jc w:val="center"/>
              <w:ind w:left="594"/>
              <w:spacing w:after="0" w:line="157" w:lineRule="exact"/>
              <w:rPr>
                <w:sz w:val="20"/>
                <w:szCs w:val="20"/>
                <w:color w:val="auto"/>
              </w:rPr>
            </w:pPr>
            <w:r>
              <w:rPr>
                <w:rFonts w:ascii="Arial" w:cs="Arial" w:eastAsia="Arial" w:hAnsi="Arial"/>
                <w:sz w:val="14"/>
                <w:szCs w:val="14"/>
                <w:b w:val="1"/>
                <w:bCs w:val="1"/>
                <w:color w:val="auto"/>
                <w:w w:val="99"/>
              </w:rPr>
              <w:t>Incentive Units as</w:t>
            </w:r>
          </w:p>
        </w:tc>
        <w:tc>
          <w:tcPr>
            <w:tcW w:w="680" w:type="dxa"/>
            <w:vAlign w:val="bottom"/>
          </w:tcPr>
          <w:p>
            <w:pPr>
              <w:spacing w:after="0"/>
              <w:rPr>
                <w:sz w:val="13"/>
                <w:szCs w:val="13"/>
                <w:color w:val="auto"/>
              </w:rPr>
            </w:pPr>
          </w:p>
        </w:tc>
        <w:tc>
          <w:tcPr>
            <w:tcW w:w="10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as of June 30,</w:t>
            </w:r>
          </w:p>
        </w:tc>
        <w:tc>
          <w:tcPr>
            <w:tcW w:w="660" w:type="dxa"/>
            <w:vAlign w:val="bottom"/>
          </w:tcPr>
          <w:p>
            <w:pPr>
              <w:spacing w:after="0"/>
              <w:rPr>
                <w:sz w:val="13"/>
                <w:szCs w:val="13"/>
                <w:color w:val="auto"/>
              </w:rPr>
            </w:pPr>
          </w:p>
        </w:tc>
        <w:tc>
          <w:tcPr>
            <w:tcW w:w="1400" w:type="dxa"/>
            <w:vAlign w:val="bottom"/>
            <w:gridSpan w:val="2"/>
          </w:tcPr>
          <w:p>
            <w:pPr>
              <w:jc w:val="center"/>
              <w:ind w:right="40"/>
              <w:spacing w:after="0" w:line="157" w:lineRule="exact"/>
              <w:rPr>
                <w:sz w:val="20"/>
                <w:szCs w:val="20"/>
                <w:color w:val="auto"/>
              </w:rPr>
            </w:pPr>
            <w:r>
              <w:rPr>
                <w:rFonts w:ascii="Arial" w:cs="Arial" w:eastAsia="Arial" w:hAnsi="Arial"/>
                <w:sz w:val="14"/>
                <w:szCs w:val="14"/>
                <w:b w:val="1"/>
                <w:bCs w:val="1"/>
                <w:color w:val="auto"/>
              </w:rPr>
              <w:t>in Respect of</w:t>
            </w:r>
          </w:p>
        </w:tc>
        <w:tc>
          <w:tcPr>
            <w:tcW w:w="0" w:type="dxa"/>
            <w:vAlign w:val="bottom"/>
          </w:tcPr>
          <w:p>
            <w:pPr>
              <w:spacing w:after="0"/>
              <w:rPr>
                <w:sz w:val="1"/>
                <w:szCs w:val="1"/>
                <w:color w:val="auto"/>
              </w:rPr>
            </w:pPr>
          </w:p>
        </w:tc>
      </w:tr>
      <w:tr>
        <w:trPr>
          <w:trHeight w:val="176"/>
        </w:trPr>
        <w:tc>
          <w:tcPr>
            <w:tcW w:w="2460" w:type="dxa"/>
            <w:vAlign w:val="bottom"/>
            <w:gridSpan w:val="3"/>
            <w:vMerge w:val="continue"/>
          </w:tcPr>
          <w:p>
            <w:pPr>
              <w:spacing w:after="0"/>
              <w:rPr>
                <w:sz w:val="15"/>
                <w:szCs w:val="15"/>
                <w:color w:val="auto"/>
              </w:rPr>
            </w:pPr>
          </w:p>
        </w:tc>
        <w:tc>
          <w:tcPr>
            <w:tcW w:w="1580" w:type="dxa"/>
            <w:vAlign w:val="bottom"/>
          </w:tcPr>
          <w:p>
            <w:pPr>
              <w:spacing w:after="0"/>
              <w:rPr>
                <w:sz w:val="15"/>
                <w:szCs w:val="15"/>
                <w:color w:val="auto"/>
              </w:rPr>
            </w:pPr>
          </w:p>
        </w:tc>
        <w:tc>
          <w:tcPr>
            <w:tcW w:w="1000" w:type="dxa"/>
            <w:vAlign w:val="bottom"/>
          </w:tcPr>
          <w:p>
            <w:pPr>
              <w:jc w:val="right"/>
              <w:ind w:right="161"/>
              <w:spacing w:after="0" w:line="155" w:lineRule="exact"/>
              <w:rPr>
                <w:sz w:val="20"/>
                <w:szCs w:val="20"/>
                <w:color w:val="auto"/>
              </w:rPr>
            </w:pPr>
            <w:r>
              <w:rPr>
                <w:rFonts w:ascii="Arial" w:cs="Arial" w:eastAsia="Arial" w:hAnsi="Arial"/>
                <w:sz w:val="14"/>
                <w:szCs w:val="14"/>
                <w:b w:val="1"/>
                <w:bCs w:val="1"/>
                <w:color w:val="auto"/>
              </w:rPr>
              <w:t>Granted</w:t>
            </w:r>
          </w:p>
        </w:tc>
        <w:tc>
          <w:tcPr>
            <w:tcW w:w="680" w:type="dxa"/>
            <w:vAlign w:val="bottom"/>
          </w:tcPr>
          <w:p>
            <w:pPr>
              <w:spacing w:after="0"/>
              <w:rPr>
                <w:sz w:val="15"/>
                <w:szCs w:val="15"/>
                <w:color w:val="auto"/>
              </w:rPr>
            </w:pPr>
          </w:p>
        </w:tc>
        <w:tc>
          <w:tcPr>
            <w:tcW w:w="11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9"/>
              </w:rPr>
              <w:t>of June 30, 2018</w:t>
            </w:r>
          </w:p>
        </w:tc>
        <w:tc>
          <w:tcPr>
            <w:tcW w:w="1740" w:type="dxa"/>
            <w:vAlign w:val="bottom"/>
            <w:gridSpan w:val="2"/>
          </w:tcPr>
          <w:p>
            <w:pPr>
              <w:jc w:val="center"/>
              <w:ind w:left="575"/>
              <w:spacing w:after="0" w:line="155" w:lineRule="exact"/>
              <w:rPr>
                <w:sz w:val="20"/>
                <w:szCs w:val="20"/>
                <w:color w:val="auto"/>
              </w:rPr>
            </w:pPr>
            <w:r>
              <w:rPr>
                <w:rFonts w:ascii="Arial" w:cs="Arial" w:eastAsia="Arial" w:hAnsi="Arial"/>
                <w:sz w:val="14"/>
                <w:szCs w:val="14"/>
                <w:b w:val="1"/>
                <w:bCs w:val="1"/>
                <w:color w:val="auto"/>
                <w:w w:val="98"/>
              </w:rPr>
              <w:t>2018 ($)(1)</w:t>
            </w:r>
          </w:p>
        </w:tc>
        <w:tc>
          <w:tcPr>
            <w:tcW w:w="660" w:type="dxa"/>
            <w:vAlign w:val="bottom"/>
          </w:tcPr>
          <w:p>
            <w:pPr>
              <w:spacing w:after="0"/>
              <w:rPr>
                <w:sz w:val="15"/>
                <w:szCs w:val="15"/>
                <w:color w:val="auto"/>
              </w:rPr>
            </w:pPr>
          </w:p>
        </w:tc>
        <w:tc>
          <w:tcPr>
            <w:tcW w:w="1400" w:type="dxa"/>
            <w:vAlign w:val="bottom"/>
            <w:gridSpan w:val="2"/>
          </w:tcPr>
          <w:p>
            <w:pPr>
              <w:jc w:val="center"/>
              <w:ind w:right="40"/>
              <w:spacing w:after="0" w:line="155" w:lineRule="exact"/>
              <w:rPr>
                <w:sz w:val="20"/>
                <w:szCs w:val="20"/>
                <w:color w:val="auto"/>
              </w:rPr>
            </w:pPr>
            <w:r>
              <w:rPr>
                <w:rFonts w:ascii="Arial" w:cs="Arial" w:eastAsia="Arial" w:hAnsi="Arial"/>
                <w:sz w:val="14"/>
                <w:szCs w:val="14"/>
                <w:b w:val="1"/>
                <w:bCs w:val="1"/>
                <w:color w:val="auto"/>
                <w:w w:val="99"/>
              </w:rPr>
              <w:t>Incentive Units(2)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2/9/2016</w:t>
            </w:r>
          </w:p>
        </w:tc>
        <w:tc>
          <w:tcPr>
            <w:tcW w:w="172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70,697</w:t>
            </w:r>
          </w:p>
        </w:tc>
        <w:tc>
          <w:tcPr>
            <w:tcW w:w="68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35,628</w:t>
            </w:r>
          </w:p>
        </w:tc>
        <w:tc>
          <w:tcPr>
            <w:tcW w:w="6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127,077,101</w:t>
            </w:r>
          </w:p>
        </w:tc>
        <w:tc>
          <w:tcPr>
            <w:tcW w:w="66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23,591</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40" w:type="dxa"/>
            <w:vAlign w:val="bottom"/>
            <w:gridSpan w:val="2"/>
          </w:tcPr>
          <w:p>
            <w:pPr>
              <w:spacing w:after="0"/>
              <w:rPr>
                <w:sz w:val="20"/>
                <w:szCs w:val="20"/>
                <w:color w:val="auto"/>
              </w:rPr>
            </w:pPr>
            <w:r>
              <w:rPr>
                <w:rFonts w:ascii="Arial" w:cs="Arial" w:eastAsia="Arial" w:hAnsi="Arial"/>
                <w:sz w:val="17"/>
                <w:szCs w:val="17"/>
                <w:color w:val="auto"/>
              </w:rPr>
              <w:t>2/10/2016</w:t>
            </w:r>
          </w:p>
        </w:tc>
        <w:tc>
          <w:tcPr>
            <w:tcW w:w="2580" w:type="dxa"/>
            <w:vAlign w:val="bottom"/>
            <w:gridSpan w:val="2"/>
          </w:tcPr>
          <w:p>
            <w:pPr>
              <w:jc w:val="right"/>
              <w:spacing w:after="0"/>
              <w:rPr>
                <w:sz w:val="20"/>
                <w:szCs w:val="20"/>
                <w:color w:val="auto"/>
              </w:rPr>
            </w:pPr>
            <w:r>
              <w:rPr>
                <w:rFonts w:ascii="Arial" w:cs="Arial" w:eastAsia="Arial" w:hAnsi="Arial"/>
                <w:sz w:val="17"/>
                <w:szCs w:val="17"/>
                <w:color w:val="auto"/>
              </w:rPr>
              <w:t>623,945</w:t>
            </w:r>
          </w:p>
        </w:tc>
        <w:tc>
          <w:tcPr>
            <w:tcW w:w="1860" w:type="dxa"/>
            <w:vAlign w:val="bottom"/>
            <w:gridSpan w:val="2"/>
          </w:tcPr>
          <w:p>
            <w:pPr>
              <w:jc w:val="right"/>
              <w:spacing w:after="0"/>
              <w:rPr>
                <w:sz w:val="20"/>
                <w:szCs w:val="20"/>
                <w:color w:val="auto"/>
              </w:rPr>
            </w:pPr>
            <w:r>
              <w:rPr>
                <w:rFonts w:ascii="Arial" w:cs="Arial" w:eastAsia="Arial" w:hAnsi="Arial"/>
                <w:sz w:val="17"/>
                <w:szCs w:val="17"/>
                <w:color w:val="auto"/>
              </w:rPr>
              <w:t>277,254</w:t>
            </w:r>
          </w:p>
        </w:tc>
        <w:tc>
          <w:tcPr>
            <w:tcW w:w="1740" w:type="dxa"/>
            <w:vAlign w:val="bottom"/>
            <w:gridSpan w:val="2"/>
          </w:tcPr>
          <w:p>
            <w:pPr>
              <w:jc w:val="right"/>
              <w:spacing w:after="0"/>
              <w:rPr>
                <w:sz w:val="20"/>
                <w:szCs w:val="20"/>
                <w:color w:val="auto"/>
              </w:rPr>
            </w:pPr>
            <w:r>
              <w:rPr>
                <w:rFonts w:ascii="Arial" w:cs="Arial" w:eastAsia="Arial" w:hAnsi="Arial"/>
                <w:sz w:val="17"/>
                <w:szCs w:val="17"/>
                <w:color w:val="auto"/>
              </w:rPr>
              <w:t>127,077,101</w:t>
            </w:r>
          </w:p>
        </w:tc>
        <w:tc>
          <w:tcPr>
            <w:tcW w:w="2020" w:type="dxa"/>
            <w:vAlign w:val="bottom"/>
            <w:gridSpan w:val="2"/>
          </w:tcPr>
          <w:p>
            <w:pPr>
              <w:jc w:val="right"/>
              <w:spacing w:after="0"/>
              <w:rPr>
                <w:sz w:val="20"/>
                <w:szCs w:val="20"/>
                <w:color w:val="auto"/>
              </w:rPr>
            </w:pPr>
            <w:r>
              <w:rPr>
                <w:rFonts w:ascii="Arial" w:cs="Arial" w:eastAsia="Arial" w:hAnsi="Arial"/>
                <w:sz w:val="17"/>
                <w:szCs w:val="17"/>
                <w:color w:val="auto"/>
              </w:rPr>
              <w:t>182,742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5/17/2016</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32,307</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32,307</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127,077,101</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21,393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40" w:type="dxa"/>
            <w:vAlign w:val="bottom"/>
            <w:gridSpan w:val="2"/>
          </w:tcPr>
          <w:p>
            <w:pPr>
              <w:spacing w:after="0"/>
              <w:rPr>
                <w:sz w:val="20"/>
                <w:szCs w:val="20"/>
                <w:color w:val="auto"/>
              </w:rPr>
            </w:pPr>
            <w:r>
              <w:rPr>
                <w:rFonts w:ascii="Arial" w:cs="Arial" w:eastAsia="Arial" w:hAnsi="Arial"/>
                <w:sz w:val="17"/>
                <w:szCs w:val="17"/>
                <w:color w:val="auto"/>
              </w:rPr>
              <w:t>5/19/2016</w:t>
            </w:r>
          </w:p>
        </w:tc>
        <w:tc>
          <w:tcPr>
            <w:tcW w:w="2580" w:type="dxa"/>
            <w:vAlign w:val="bottom"/>
            <w:gridSpan w:val="2"/>
          </w:tcPr>
          <w:p>
            <w:pPr>
              <w:jc w:val="right"/>
              <w:spacing w:after="0"/>
              <w:rPr>
                <w:sz w:val="20"/>
                <w:szCs w:val="20"/>
                <w:color w:val="auto"/>
              </w:rPr>
            </w:pPr>
            <w:r>
              <w:rPr>
                <w:rFonts w:ascii="Arial" w:cs="Arial" w:eastAsia="Arial" w:hAnsi="Arial"/>
                <w:sz w:val="17"/>
                <w:szCs w:val="17"/>
                <w:color w:val="auto"/>
              </w:rPr>
              <w:t>15,384</w:t>
            </w:r>
          </w:p>
        </w:tc>
        <w:tc>
          <w:tcPr>
            <w:tcW w:w="1860" w:type="dxa"/>
            <w:vAlign w:val="bottom"/>
            <w:gridSpan w:val="2"/>
          </w:tcPr>
          <w:p>
            <w:pPr>
              <w:jc w:val="right"/>
              <w:spacing w:after="0"/>
              <w:rPr>
                <w:sz w:val="20"/>
                <w:szCs w:val="20"/>
                <w:color w:val="auto"/>
              </w:rPr>
            </w:pPr>
            <w:r>
              <w:rPr>
                <w:rFonts w:ascii="Arial" w:cs="Arial" w:eastAsia="Arial" w:hAnsi="Arial"/>
                <w:sz w:val="17"/>
                <w:szCs w:val="17"/>
                <w:color w:val="auto"/>
              </w:rPr>
              <w:t>9,615</w:t>
            </w:r>
          </w:p>
        </w:tc>
        <w:tc>
          <w:tcPr>
            <w:tcW w:w="1740" w:type="dxa"/>
            <w:vAlign w:val="bottom"/>
            <w:gridSpan w:val="2"/>
          </w:tcPr>
          <w:p>
            <w:pPr>
              <w:jc w:val="right"/>
              <w:spacing w:after="0"/>
              <w:rPr>
                <w:sz w:val="20"/>
                <w:szCs w:val="20"/>
                <w:color w:val="auto"/>
              </w:rPr>
            </w:pPr>
            <w:r>
              <w:rPr>
                <w:rFonts w:ascii="Arial" w:cs="Arial" w:eastAsia="Arial" w:hAnsi="Arial"/>
                <w:sz w:val="17"/>
                <w:szCs w:val="17"/>
                <w:color w:val="auto"/>
              </w:rPr>
              <w:t>127,077,101</w:t>
            </w:r>
          </w:p>
        </w:tc>
        <w:tc>
          <w:tcPr>
            <w:tcW w:w="2020" w:type="dxa"/>
            <w:vAlign w:val="bottom"/>
            <w:gridSpan w:val="2"/>
          </w:tcPr>
          <w:p>
            <w:pPr>
              <w:jc w:val="right"/>
              <w:spacing w:after="0"/>
              <w:rPr>
                <w:sz w:val="20"/>
                <w:szCs w:val="20"/>
                <w:color w:val="auto"/>
              </w:rPr>
            </w:pPr>
            <w:r>
              <w:rPr>
                <w:rFonts w:ascii="Arial" w:cs="Arial" w:eastAsia="Arial" w:hAnsi="Arial"/>
                <w:sz w:val="17"/>
                <w:szCs w:val="17"/>
                <w:color w:val="auto"/>
              </w:rPr>
              <w:t>6,366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7"/>
                <w:szCs w:val="17"/>
                <w:color w:val="auto"/>
              </w:rPr>
              <w:t>9/1/2016</w:t>
            </w:r>
          </w:p>
        </w:tc>
        <w:tc>
          <w:tcPr>
            <w:tcW w:w="1720" w:type="dxa"/>
            <w:vAlign w:val="bottom"/>
            <w:shd w:val="clear" w:color="auto" w:fill="CCEEFF"/>
          </w:tcPr>
          <w:p>
            <w:pPr>
              <w:spacing w:after="0"/>
              <w:rPr>
                <w:sz w:val="17"/>
                <w:szCs w:val="17"/>
                <w:color w:val="auto"/>
              </w:rPr>
            </w:pP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295,666</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192,685</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127,077,101</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127,586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40" w:type="dxa"/>
            <w:vAlign w:val="bottom"/>
            <w:gridSpan w:val="2"/>
          </w:tcPr>
          <w:p>
            <w:pPr>
              <w:spacing w:after="0"/>
              <w:rPr>
                <w:sz w:val="20"/>
                <w:szCs w:val="20"/>
                <w:color w:val="auto"/>
              </w:rPr>
            </w:pPr>
            <w:r>
              <w:rPr>
                <w:rFonts w:ascii="Arial" w:cs="Arial" w:eastAsia="Arial" w:hAnsi="Arial"/>
                <w:sz w:val="17"/>
                <w:szCs w:val="17"/>
                <w:color w:val="auto"/>
              </w:rPr>
              <w:t>12/13/2016</w:t>
            </w:r>
          </w:p>
        </w:tc>
        <w:tc>
          <w:tcPr>
            <w:tcW w:w="2580" w:type="dxa"/>
            <w:vAlign w:val="bottom"/>
            <w:gridSpan w:val="2"/>
          </w:tcPr>
          <w:p>
            <w:pPr>
              <w:jc w:val="right"/>
              <w:spacing w:after="0"/>
              <w:rPr>
                <w:sz w:val="20"/>
                <w:szCs w:val="20"/>
                <w:color w:val="auto"/>
              </w:rPr>
            </w:pPr>
            <w:r>
              <w:rPr>
                <w:rFonts w:ascii="Arial" w:cs="Arial" w:eastAsia="Arial" w:hAnsi="Arial"/>
                <w:sz w:val="17"/>
                <w:szCs w:val="17"/>
                <w:color w:val="auto"/>
              </w:rPr>
              <w:t>83,527</w:t>
            </w:r>
          </w:p>
        </w:tc>
        <w:tc>
          <w:tcPr>
            <w:tcW w:w="1860" w:type="dxa"/>
            <w:vAlign w:val="bottom"/>
            <w:gridSpan w:val="2"/>
          </w:tcPr>
          <w:p>
            <w:pPr>
              <w:jc w:val="right"/>
              <w:spacing w:after="0"/>
              <w:rPr>
                <w:sz w:val="20"/>
                <w:szCs w:val="20"/>
                <w:color w:val="auto"/>
              </w:rPr>
            </w:pPr>
            <w:r>
              <w:rPr>
                <w:rFonts w:ascii="Arial" w:cs="Arial" w:eastAsia="Arial" w:hAnsi="Arial"/>
                <w:sz w:val="17"/>
                <w:szCs w:val="17"/>
                <w:color w:val="auto"/>
              </w:rPr>
              <w:t>83,527</w:t>
            </w:r>
          </w:p>
        </w:tc>
        <w:tc>
          <w:tcPr>
            <w:tcW w:w="1740" w:type="dxa"/>
            <w:vAlign w:val="bottom"/>
            <w:gridSpan w:val="2"/>
          </w:tcPr>
          <w:p>
            <w:pPr>
              <w:jc w:val="right"/>
              <w:spacing w:after="0"/>
              <w:rPr>
                <w:sz w:val="20"/>
                <w:szCs w:val="20"/>
                <w:color w:val="auto"/>
              </w:rPr>
            </w:pPr>
            <w:r>
              <w:rPr>
                <w:rFonts w:ascii="Arial" w:cs="Arial" w:eastAsia="Arial" w:hAnsi="Arial"/>
                <w:sz w:val="17"/>
                <w:szCs w:val="17"/>
                <w:color w:val="auto"/>
              </w:rPr>
              <w:t>124,167,262</w:t>
            </w:r>
          </w:p>
        </w:tc>
        <w:tc>
          <w:tcPr>
            <w:tcW w:w="2020" w:type="dxa"/>
            <w:vAlign w:val="bottom"/>
            <w:gridSpan w:val="2"/>
          </w:tcPr>
          <w:p>
            <w:pPr>
              <w:jc w:val="right"/>
              <w:spacing w:after="0"/>
              <w:rPr>
                <w:sz w:val="20"/>
                <w:szCs w:val="20"/>
                <w:color w:val="auto"/>
              </w:rPr>
            </w:pPr>
            <w:r>
              <w:rPr>
                <w:rFonts w:ascii="Arial" w:cs="Arial" w:eastAsia="Arial" w:hAnsi="Arial"/>
                <w:sz w:val="17"/>
                <w:szCs w:val="17"/>
                <w:color w:val="auto"/>
              </w:rPr>
              <w:t>55,889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3/23/2017</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423,922</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423,922</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124,167,262</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283,678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40" w:type="dxa"/>
            <w:vAlign w:val="bottom"/>
            <w:gridSpan w:val="2"/>
          </w:tcPr>
          <w:p>
            <w:pPr>
              <w:spacing w:after="0"/>
              <w:rPr>
                <w:sz w:val="20"/>
                <w:szCs w:val="20"/>
                <w:color w:val="auto"/>
              </w:rPr>
            </w:pPr>
            <w:r>
              <w:rPr>
                <w:rFonts w:ascii="Arial" w:cs="Arial" w:eastAsia="Arial" w:hAnsi="Arial"/>
                <w:sz w:val="17"/>
                <w:szCs w:val="17"/>
                <w:color w:val="auto"/>
              </w:rPr>
              <w:t>7/12/2017</w:t>
            </w:r>
          </w:p>
        </w:tc>
        <w:tc>
          <w:tcPr>
            <w:tcW w:w="2580" w:type="dxa"/>
            <w:vAlign w:val="bottom"/>
            <w:gridSpan w:val="2"/>
          </w:tcPr>
          <w:p>
            <w:pPr>
              <w:jc w:val="right"/>
              <w:spacing w:after="0"/>
              <w:rPr>
                <w:sz w:val="20"/>
                <w:szCs w:val="20"/>
                <w:color w:val="auto"/>
              </w:rPr>
            </w:pPr>
            <w:r>
              <w:rPr>
                <w:rFonts w:ascii="Arial" w:cs="Arial" w:eastAsia="Arial" w:hAnsi="Arial"/>
                <w:sz w:val="17"/>
                <w:szCs w:val="17"/>
                <w:color w:val="auto"/>
              </w:rPr>
              <w:t>83,664</w:t>
            </w:r>
          </w:p>
        </w:tc>
        <w:tc>
          <w:tcPr>
            <w:tcW w:w="1860" w:type="dxa"/>
            <w:vAlign w:val="bottom"/>
            <w:gridSpan w:val="2"/>
          </w:tcPr>
          <w:p>
            <w:pPr>
              <w:jc w:val="right"/>
              <w:spacing w:after="0"/>
              <w:rPr>
                <w:sz w:val="20"/>
                <w:szCs w:val="20"/>
                <w:color w:val="auto"/>
              </w:rPr>
            </w:pPr>
            <w:r>
              <w:rPr>
                <w:rFonts w:ascii="Arial" w:cs="Arial" w:eastAsia="Arial" w:hAnsi="Arial"/>
                <w:sz w:val="17"/>
                <w:szCs w:val="17"/>
                <w:color w:val="auto"/>
              </w:rPr>
              <w:t>83,664</w:t>
            </w:r>
          </w:p>
        </w:tc>
        <w:tc>
          <w:tcPr>
            <w:tcW w:w="1740" w:type="dxa"/>
            <w:vAlign w:val="bottom"/>
            <w:gridSpan w:val="2"/>
          </w:tcPr>
          <w:p>
            <w:pPr>
              <w:jc w:val="right"/>
              <w:spacing w:after="0"/>
              <w:rPr>
                <w:sz w:val="20"/>
                <w:szCs w:val="20"/>
                <w:color w:val="auto"/>
              </w:rPr>
            </w:pPr>
            <w:r>
              <w:rPr>
                <w:rFonts w:ascii="Arial" w:cs="Arial" w:eastAsia="Arial" w:hAnsi="Arial"/>
                <w:sz w:val="17"/>
                <w:szCs w:val="17"/>
                <w:color w:val="auto"/>
              </w:rPr>
              <w:t>124,167,262</w:t>
            </w:r>
          </w:p>
        </w:tc>
        <w:tc>
          <w:tcPr>
            <w:tcW w:w="2020" w:type="dxa"/>
            <w:vAlign w:val="bottom"/>
            <w:gridSpan w:val="2"/>
          </w:tcPr>
          <w:p>
            <w:pPr>
              <w:jc w:val="right"/>
              <w:spacing w:after="0"/>
              <w:rPr>
                <w:sz w:val="20"/>
                <w:szCs w:val="20"/>
                <w:color w:val="auto"/>
              </w:rPr>
            </w:pPr>
            <w:r>
              <w:rPr>
                <w:rFonts w:ascii="Arial" w:cs="Arial" w:eastAsia="Arial" w:hAnsi="Arial"/>
                <w:sz w:val="17"/>
                <w:szCs w:val="17"/>
                <w:color w:val="auto"/>
              </w:rPr>
              <w:t>55,985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7"/>
                <w:szCs w:val="17"/>
                <w:color w:val="auto"/>
              </w:rPr>
              <w:t>9/8/2017</w:t>
            </w:r>
          </w:p>
        </w:tc>
        <w:tc>
          <w:tcPr>
            <w:tcW w:w="1720" w:type="dxa"/>
            <w:vAlign w:val="bottom"/>
            <w:shd w:val="clear" w:color="auto" w:fill="CCEEFF"/>
          </w:tcPr>
          <w:p>
            <w:pPr>
              <w:spacing w:after="0"/>
              <w:rPr>
                <w:sz w:val="17"/>
                <w:szCs w:val="17"/>
                <w:color w:val="auto"/>
              </w:rPr>
            </w:pP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605,885</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605,885</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124,167,262</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405,446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40" w:type="dxa"/>
            <w:vAlign w:val="bottom"/>
            <w:gridSpan w:val="2"/>
          </w:tcPr>
          <w:p>
            <w:pPr>
              <w:spacing w:after="0"/>
              <w:rPr>
                <w:sz w:val="20"/>
                <w:szCs w:val="20"/>
                <w:color w:val="auto"/>
              </w:rPr>
            </w:pPr>
            <w:r>
              <w:rPr>
                <w:rFonts w:ascii="Arial" w:cs="Arial" w:eastAsia="Arial" w:hAnsi="Arial"/>
                <w:sz w:val="17"/>
                <w:szCs w:val="17"/>
                <w:color w:val="auto"/>
              </w:rPr>
              <w:t>9/28/2017</w:t>
            </w:r>
          </w:p>
        </w:tc>
        <w:tc>
          <w:tcPr>
            <w:tcW w:w="2580" w:type="dxa"/>
            <w:vAlign w:val="bottom"/>
            <w:gridSpan w:val="2"/>
          </w:tcPr>
          <w:p>
            <w:pPr>
              <w:jc w:val="right"/>
              <w:spacing w:after="0"/>
              <w:rPr>
                <w:sz w:val="20"/>
                <w:szCs w:val="20"/>
                <w:color w:val="auto"/>
              </w:rPr>
            </w:pPr>
            <w:r>
              <w:rPr>
                <w:rFonts w:ascii="Arial" w:cs="Arial" w:eastAsia="Arial" w:hAnsi="Arial"/>
                <w:sz w:val="17"/>
                <w:szCs w:val="17"/>
                <w:color w:val="auto"/>
              </w:rPr>
              <w:t>37,370</w:t>
            </w:r>
          </w:p>
        </w:tc>
        <w:tc>
          <w:tcPr>
            <w:tcW w:w="1860" w:type="dxa"/>
            <w:vAlign w:val="bottom"/>
            <w:gridSpan w:val="2"/>
          </w:tcPr>
          <w:p>
            <w:pPr>
              <w:jc w:val="right"/>
              <w:spacing w:after="0"/>
              <w:rPr>
                <w:sz w:val="20"/>
                <w:szCs w:val="20"/>
                <w:color w:val="auto"/>
              </w:rPr>
            </w:pPr>
            <w:r>
              <w:rPr>
                <w:rFonts w:ascii="Arial" w:cs="Arial" w:eastAsia="Arial" w:hAnsi="Arial"/>
                <w:sz w:val="17"/>
                <w:szCs w:val="17"/>
                <w:color w:val="auto"/>
              </w:rPr>
              <w:t>37,370</w:t>
            </w:r>
          </w:p>
        </w:tc>
        <w:tc>
          <w:tcPr>
            <w:tcW w:w="1740" w:type="dxa"/>
            <w:vAlign w:val="bottom"/>
            <w:gridSpan w:val="2"/>
          </w:tcPr>
          <w:p>
            <w:pPr>
              <w:jc w:val="right"/>
              <w:spacing w:after="0"/>
              <w:rPr>
                <w:sz w:val="20"/>
                <w:szCs w:val="20"/>
                <w:color w:val="auto"/>
              </w:rPr>
            </w:pPr>
            <w:r>
              <w:rPr>
                <w:rFonts w:ascii="Arial" w:cs="Arial" w:eastAsia="Arial" w:hAnsi="Arial"/>
                <w:sz w:val="17"/>
                <w:szCs w:val="17"/>
                <w:color w:val="auto"/>
              </w:rPr>
              <w:t>124,167,262</w:t>
            </w:r>
          </w:p>
        </w:tc>
        <w:tc>
          <w:tcPr>
            <w:tcW w:w="2020" w:type="dxa"/>
            <w:vAlign w:val="bottom"/>
            <w:gridSpan w:val="2"/>
          </w:tcPr>
          <w:p>
            <w:pPr>
              <w:jc w:val="right"/>
              <w:spacing w:after="0"/>
              <w:rPr>
                <w:sz w:val="20"/>
                <w:szCs w:val="20"/>
                <w:color w:val="auto"/>
              </w:rPr>
            </w:pPr>
            <w:r>
              <w:rPr>
                <w:rFonts w:ascii="Arial" w:cs="Arial" w:eastAsia="Arial" w:hAnsi="Arial"/>
                <w:sz w:val="17"/>
                <w:szCs w:val="17"/>
                <w:color w:val="auto"/>
              </w:rPr>
              <w:t>25,007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1/31/2018</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159,242</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159,242</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127,149,467</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103,885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tcPr>
          <w:p>
            <w:pPr>
              <w:spacing w:after="0"/>
              <w:rPr>
                <w:sz w:val="20"/>
                <w:szCs w:val="20"/>
                <w:color w:val="auto"/>
              </w:rPr>
            </w:pPr>
            <w:r>
              <w:rPr>
                <w:rFonts w:ascii="Arial" w:cs="Arial" w:eastAsia="Arial" w:hAnsi="Arial"/>
                <w:sz w:val="17"/>
                <w:szCs w:val="17"/>
                <w:color w:val="auto"/>
              </w:rPr>
              <w:t>5/8/2018</w:t>
            </w:r>
          </w:p>
        </w:tc>
        <w:tc>
          <w:tcPr>
            <w:tcW w:w="1720" w:type="dxa"/>
            <w:vAlign w:val="bottom"/>
          </w:tcPr>
          <w:p>
            <w:pPr>
              <w:spacing w:after="0"/>
              <w:rPr>
                <w:sz w:val="17"/>
                <w:szCs w:val="17"/>
                <w:color w:val="auto"/>
              </w:rPr>
            </w:pPr>
          </w:p>
        </w:tc>
        <w:tc>
          <w:tcPr>
            <w:tcW w:w="2580" w:type="dxa"/>
            <w:vAlign w:val="bottom"/>
            <w:gridSpan w:val="2"/>
          </w:tcPr>
          <w:p>
            <w:pPr>
              <w:jc w:val="right"/>
              <w:spacing w:after="0"/>
              <w:rPr>
                <w:sz w:val="20"/>
                <w:szCs w:val="20"/>
                <w:color w:val="auto"/>
              </w:rPr>
            </w:pPr>
            <w:r>
              <w:rPr>
                <w:rFonts w:ascii="Arial" w:cs="Arial" w:eastAsia="Arial" w:hAnsi="Arial"/>
                <w:sz w:val="17"/>
                <w:szCs w:val="17"/>
                <w:color w:val="auto"/>
              </w:rPr>
              <w:t>994,338</w:t>
            </w:r>
          </w:p>
        </w:tc>
        <w:tc>
          <w:tcPr>
            <w:tcW w:w="1860" w:type="dxa"/>
            <w:vAlign w:val="bottom"/>
            <w:gridSpan w:val="2"/>
          </w:tcPr>
          <w:p>
            <w:pPr>
              <w:jc w:val="right"/>
              <w:spacing w:after="0"/>
              <w:rPr>
                <w:sz w:val="20"/>
                <w:szCs w:val="20"/>
                <w:color w:val="auto"/>
              </w:rPr>
            </w:pPr>
            <w:r>
              <w:rPr>
                <w:rFonts w:ascii="Arial" w:cs="Arial" w:eastAsia="Arial" w:hAnsi="Arial"/>
                <w:sz w:val="17"/>
                <w:szCs w:val="17"/>
                <w:color w:val="auto"/>
              </w:rPr>
              <w:t>994,338</w:t>
            </w:r>
          </w:p>
        </w:tc>
        <w:tc>
          <w:tcPr>
            <w:tcW w:w="1740" w:type="dxa"/>
            <w:vAlign w:val="bottom"/>
            <w:gridSpan w:val="2"/>
          </w:tcPr>
          <w:p>
            <w:pPr>
              <w:jc w:val="right"/>
              <w:spacing w:after="0"/>
              <w:rPr>
                <w:sz w:val="20"/>
                <w:szCs w:val="20"/>
                <w:color w:val="auto"/>
              </w:rPr>
            </w:pPr>
            <w:r>
              <w:rPr>
                <w:rFonts w:ascii="Arial" w:cs="Arial" w:eastAsia="Arial" w:hAnsi="Arial"/>
                <w:sz w:val="17"/>
                <w:szCs w:val="17"/>
                <w:color w:val="auto"/>
              </w:rPr>
              <w:t>270,837,471</w:t>
            </w:r>
          </w:p>
        </w:tc>
        <w:tc>
          <w:tcPr>
            <w:tcW w:w="2020" w:type="dxa"/>
            <w:vAlign w:val="bottom"/>
            <w:gridSpan w:val="2"/>
          </w:tcPr>
          <w:p>
            <w:pPr>
              <w:jc w:val="right"/>
              <w:spacing w:after="0"/>
              <w:rPr>
                <w:sz w:val="20"/>
                <w:szCs w:val="20"/>
                <w:color w:val="auto"/>
              </w:rPr>
            </w:pPr>
            <w:r>
              <w:rPr>
                <w:rFonts w:ascii="Arial" w:cs="Arial" w:eastAsia="Arial" w:hAnsi="Arial"/>
                <w:sz w:val="17"/>
                <w:szCs w:val="17"/>
                <w:color w:val="auto"/>
              </w:rPr>
              <w:t>333,667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6/28/2018</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515,482</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515,482</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291,979,501</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140,254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83185</wp:posOffset>
            </wp:positionV>
            <wp:extent cx="6743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4370" cy="8255"/>
                    </a:xfrm>
                    <a:prstGeom prst="rect">
                      <a:avLst/>
                    </a:prstGeom>
                    <a:noFill/>
                  </pic:spPr>
                </pic:pic>
              </a:graphicData>
            </a:graphic>
          </wp:anchor>
        </w:drawing>
      </w:r>
    </w:p>
    <w:p>
      <w:pPr>
        <w:spacing w:after="0" w:line="163" w:lineRule="exact"/>
        <w:rPr>
          <w:sz w:val="20"/>
          <w:szCs w:val="20"/>
          <w:color w:val="auto"/>
        </w:rPr>
      </w:pPr>
    </w:p>
    <w:p>
      <w:pPr>
        <w:ind w:left="880" w:right="40" w:hanging="515"/>
        <w:spacing w:after="0" w:line="241" w:lineRule="auto"/>
        <w:tabs>
          <w:tab w:leader="none" w:pos="8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In July 2018, as a result of the exercise of an outstanding warrant to purchase 110,116 shares of our series A preferred stock, each participation threshold price increased by $75,000.</w:t>
      </w:r>
    </w:p>
    <w:p>
      <w:pPr>
        <w:ind w:left="880" w:right="20" w:hanging="515"/>
        <w:spacing w:after="0" w:line="247" w:lineRule="auto"/>
        <w:tabs>
          <w:tab w:leader="none" w:pos="8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Certain of the shares of common stock issued in respect of incentive units in the Conversion continue to be subject to vesting in accordance with the vesting schedule applicable to such incentive units. Common stock issued in respect of incentive units in the Conversion is based on the per unit fair value of $16.00, which is the the initial offering price per share. See “Corporate Conversion” for additional information on the Conversion.</w:t>
      </w:r>
    </w:p>
    <w:p>
      <w:pPr>
        <w:spacing w:after="0" w:line="191" w:lineRule="exact"/>
        <w:rPr>
          <w:rFonts w:ascii="Arial" w:cs="Arial" w:eastAsia="Arial" w:hAnsi="Arial"/>
          <w:sz w:val="17"/>
          <w:szCs w:val="17"/>
          <w:color w:val="auto"/>
        </w:rPr>
      </w:pPr>
    </w:p>
    <w:p>
      <w:pPr>
        <w:ind w:left="900" w:right="540"/>
        <w:spacing w:after="0" w:line="498" w:lineRule="auto"/>
        <w:rPr>
          <w:rFonts w:ascii="Arial" w:cs="Arial" w:eastAsia="Arial" w:hAnsi="Arial"/>
          <w:sz w:val="17"/>
          <w:szCs w:val="17"/>
          <w:color w:val="auto"/>
        </w:rPr>
      </w:pPr>
      <w:r>
        <w:rPr>
          <w:rFonts w:ascii="Arial" w:cs="Arial" w:eastAsia="Arial" w:hAnsi="Arial"/>
          <w:sz w:val="17"/>
          <w:szCs w:val="17"/>
          <w:color w:val="auto"/>
        </w:rPr>
        <w:t xml:space="preserve">In July 2018, we issued 46,258 additional incentive units at a participation threshold price per incentive unit of $292.0 million. </w:t>
      </w:r>
      <w:r>
        <w:rPr>
          <w:rFonts w:ascii="Arial" w:cs="Arial" w:eastAsia="Arial" w:hAnsi="Arial"/>
          <w:sz w:val="17"/>
          <w:szCs w:val="17"/>
          <w:i w:val="1"/>
          <w:iCs w:val="1"/>
          <w:color w:val="auto"/>
        </w:rPr>
        <w:t>New Accounting Pronouncements</w:t>
      </w:r>
    </w:p>
    <w:p>
      <w:pPr>
        <w:spacing w:after="0" w:line="2" w:lineRule="exact"/>
        <w:rPr>
          <w:sz w:val="20"/>
          <w:szCs w:val="20"/>
          <w:color w:val="auto"/>
        </w:rPr>
      </w:pPr>
    </w:p>
    <w:p>
      <w:pPr>
        <w:ind w:left="360" w:right="140" w:firstLine="535"/>
        <w:spacing w:after="0" w:line="259" w:lineRule="auto"/>
        <w:rPr>
          <w:sz w:val="20"/>
          <w:szCs w:val="20"/>
          <w:color w:val="auto"/>
        </w:rPr>
      </w:pPr>
      <w:r>
        <w:rPr>
          <w:rFonts w:ascii="Arial" w:cs="Arial" w:eastAsia="Arial" w:hAnsi="Arial"/>
          <w:sz w:val="17"/>
          <w:szCs w:val="17"/>
          <w:color w:val="auto"/>
        </w:rPr>
        <w:t>For information on new accounting standards, see Note 2 to our consolidated audited financial statements appearing at the end of this prospectus.</w:t>
      </w:r>
    </w:p>
    <w:p>
      <w:pPr>
        <w:spacing w:after="0" w:line="264"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Results of Operations</w:t>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Comparison of Six Months Ended June 30, 2018 and 2017</w:t>
      </w:r>
    </w:p>
    <w:p>
      <w:pPr>
        <w:spacing w:after="0" w:line="106"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Revenues</w:t>
      </w:r>
    </w:p>
    <w:p>
      <w:pPr>
        <w:spacing w:after="0" w:line="126" w:lineRule="exact"/>
        <w:rPr>
          <w:sz w:val="20"/>
          <w:szCs w:val="20"/>
          <w:color w:val="auto"/>
        </w:rPr>
      </w:pPr>
    </w:p>
    <w:p>
      <w:pPr>
        <w:ind w:left="360" w:right="40" w:firstLine="535"/>
        <w:spacing w:after="0" w:line="247" w:lineRule="auto"/>
        <w:rPr>
          <w:sz w:val="20"/>
          <w:szCs w:val="20"/>
          <w:color w:val="auto"/>
        </w:rPr>
      </w:pPr>
      <w:r>
        <w:rPr>
          <w:rFonts w:ascii="Arial" w:cs="Arial" w:eastAsia="Arial" w:hAnsi="Arial"/>
          <w:sz w:val="17"/>
          <w:szCs w:val="17"/>
          <w:color w:val="auto"/>
        </w:rPr>
        <w:t>Revenues for the six months ended June 30, 2018 were $7.5 million, compared with $ 3.3 million for the six months ended June 30, 2017. The increase of $4.2 million was due to an increase in license and rights to technology and research and development activities of $4.2 million related to the Pfizer Collaboration Agreement that was initiated in January 2018 and the Restated Genentech Agreement that was initiated in November 2017.</w:t>
      </w:r>
    </w:p>
    <w:p>
      <w:pPr>
        <w:spacing w:after="0" w:line="276"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26" w:lineRule="exact"/>
        <w:rPr>
          <w:sz w:val="20"/>
          <w:szCs w:val="20"/>
          <w:color w:val="auto"/>
        </w:rPr>
      </w:pPr>
    </w:p>
    <w:p>
      <w:pPr>
        <w:ind w:left="360" w:right="140" w:firstLine="535"/>
        <w:spacing w:after="0" w:line="259" w:lineRule="auto"/>
        <w:rPr>
          <w:sz w:val="20"/>
          <w:szCs w:val="20"/>
          <w:color w:val="auto"/>
        </w:rPr>
      </w:pPr>
      <w:r>
        <w:rPr>
          <w:rFonts w:ascii="Arial" w:cs="Arial" w:eastAsia="Arial" w:hAnsi="Arial"/>
          <w:sz w:val="17"/>
          <w:szCs w:val="17"/>
          <w:color w:val="auto"/>
        </w:rPr>
        <w:t>Research and development expenses for the six months ended June 30, 2018 were $17.5 million, compared with $14.9 million for the six months ended June 30, 2017. The increase of</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060"/>
          </w:cols>
          <w:pgMar w:left="240" w:top="449" w:right="599" w:bottom="1440" w:gutter="0" w:footer="0" w:header="0"/>
        </w:sectPr>
      </w:pPr>
    </w:p>
    <w:bookmarkStart w:id="82" w:name="page83"/>
    <w:bookmarkEnd w:id="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spacing w:after="0" w:line="245" w:lineRule="auto"/>
        <w:rPr>
          <w:sz w:val="20"/>
          <w:szCs w:val="20"/>
          <w:color w:val="auto"/>
        </w:rPr>
      </w:pPr>
      <w:r>
        <w:rPr>
          <w:rFonts w:ascii="Arial" w:cs="Arial" w:eastAsia="Arial" w:hAnsi="Arial"/>
          <w:sz w:val="17"/>
          <w:szCs w:val="17"/>
          <w:color w:val="auto"/>
        </w:rPr>
        <w:t>$2.6 million was related to an increase in employee and consulting related costs of $1.6 million, an increase in outside costs directly attributable to our AR and ER programs of $0.3 million, and an increase in our platform exploratory costs of $ 0.7 million. Direct research expenses related to our AR program decreased by $0.3 million between these periods while our ER program expenses decreased by $1.1 million as the programs moved from lead optimization to IND-enabling activities. Costs are expected to increase through 2018 in each of the programs from the first six months of 2018 as additional IND-enabling studies are conducted for both ARV-110 and ARV-471 and costs related to clinical trials for ARV-110 are incurred.</w:t>
      </w:r>
    </w:p>
    <w:p>
      <w:pPr>
        <w:spacing w:after="0" w:line="277"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126" w:lineRule="exact"/>
        <w:rPr>
          <w:sz w:val="20"/>
          <w:szCs w:val="20"/>
          <w:color w:val="auto"/>
        </w:rPr>
      </w:pPr>
    </w:p>
    <w:p>
      <w:pPr>
        <w:ind w:left="360" w:right="80" w:firstLine="535"/>
        <w:spacing w:after="0" w:line="248" w:lineRule="auto"/>
        <w:rPr>
          <w:sz w:val="20"/>
          <w:szCs w:val="20"/>
          <w:color w:val="auto"/>
        </w:rPr>
      </w:pPr>
      <w:r>
        <w:rPr>
          <w:rFonts w:ascii="Arial" w:cs="Arial" w:eastAsia="Arial" w:hAnsi="Arial"/>
          <w:sz w:val="17"/>
          <w:szCs w:val="17"/>
          <w:color w:val="auto"/>
        </w:rPr>
        <w:t>General and administrative expenses were $2.8 million for the six months ended June 30, 2018, compared with $1.5 million for the six months ended June 30, 2017. The increase of $ 1.3 million was primarily due to an increase of $0.6 million related to employee expenses, including equity compensation expense, and an increase of $0.5 million in patent and corporate legal fees and other professional fees.</w:t>
      </w:r>
    </w:p>
    <w:p>
      <w:pPr>
        <w:spacing w:after="0" w:line="200" w:lineRule="exact"/>
        <w:rPr>
          <w:sz w:val="20"/>
          <w:szCs w:val="20"/>
          <w:color w:val="auto"/>
        </w:rPr>
      </w:pPr>
    </w:p>
    <w:p>
      <w:pPr>
        <w:spacing w:after="0" w:line="275"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Other Income (Expenses)</w:t>
      </w:r>
    </w:p>
    <w:p>
      <w:pPr>
        <w:spacing w:after="0" w:line="126" w:lineRule="exact"/>
        <w:rPr>
          <w:sz w:val="20"/>
          <w:szCs w:val="20"/>
          <w:color w:val="auto"/>
        </w:rPr>
      </w:pPr>
    </w:p>
    <w:p>
      <w:pPr>
        <w:ind w:left="360" w:right="100" w:firstLine="535"/>
        <w:spacing w:after="0" w:line="245" w:lineRule="auto"/>
        <w:rPr>
          <w:sz w:val="20"/>
          <w:szCs w:val="20"/>
          <w:color w:val="auto"/>
        </w:rPr>
      </w:pPr>
      <w:r>
        <w:rPr>
          <w:rFonts w:ascii="Arial" w:cs="Arial" w:eastAsia="Arial" w:hAnsi="Arial"/>
          <w:sz w:val="17"/>
          <w:szCs w:val="17"/>
          <w:color w:val="auto"/>
        </w:rPr>
        <w:t>Other income (expenses) was $0.8 million for the six months ended June 30, 2018, compared with $0.1 million for the six months ended June 30, 2017. Other income (expense) is comprised primarily of interest income, interest expense, changes in the fair value of a preferred unit warrant, and refundable state research and development credits. Interest income was $0.8 million for the six months ended June 30, 2018, compared with $0.1 million for the six months ended June 30, 2017. The increase in interest income was the result of higher average cash, cash equivalent and short-term investment balances in the six months ended June 30, 2018 compared with the six months ended June 30, 2017.</w:t>
      </w:r>
    </w:p>
    <w:p>
      <w:pPr>
        <w:spacing w:after="0" w:line="277"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Comparison of Years Ended December 31, 2017 and 2016</w:t>
      </w:r>
    </w:p>
    <w:p>
      <w:pPr>
        <w:spacing w:after="0" w:line="106"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Revenues</w:t>
      </w:r>
    </w:p>
    <w:p>
      <w:pPr>
        <w:spacing w:after="0" w:line="126" w:lineRule="exact"/>
        <w:rPr>
          <w:sz w:val="20"/>
          <w:szCs w:val="20"/>
          <w:color w:val="auto"/>
        </w:rPr>
      </w:pPr>
    </w:p>
    <w:p>
      <w:pPr>
        <w:ind w:left="360" w:right="180" w:firstLine="535"/>
        <w:spacing w:after="0" w:line="250" w:lineRule="auto"/>
        <w:rPr>
          <w:sz w:val="20"/>
          <w:szCs w:val="20"/>
          <w:color w:val="auto"/>
        </w:rPr>
      </w:pPr>
      <w:r>
        <w:rPr>
          <w:rFonts w:ascii="Arial" w:cs="Arial" w:eastAsia="Arial" w:hAnsi="Arial"/>
          <w:sz w:val="17"/>
          <w:szCs w:val="17"/>
          <w:color w:val="auto"/>
        </w:rPr>
        <w:t>Revenues for the year ended December 31, 2017 were $7.6 million, compared with $6.7 million for the year ended December 31, 2016. The increase in revenue of $0.9 million was from license rights to technology and research and development activities primarily related to our Genentech collaboration, including revenue associated with the Restated Genentech Agreement.</w:t>
      </w:r>
    </w:p>
    <w:p>
      <w:pPr>
        <w:spacing w:after="0" w:line="274"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26" w:lineRule="exact"/>
        <w:rPr>
          <w:sz w:val="20"/>
          <w:szCs w:val="20"/>
          <w:color w:val="auto"/>
        </w:rPr>
      </w:pPr>
    </w:p>
    <w:p>
      <w:pPr>
        <w:ind w:left="360" w:right="200" w:firstLine="535"/>
        <w:spacing w:after="0" w:line="241" w:lineRule="auto"/>
        <w:rPr>
          <w:sz w:val="20"/>
          <w:szCs w:val="20"/>
          <w:color w:val="auto"/>
        </w:rPr>
      </w:pPr>
      <w:r>
        <w:rPr>
          <w:rFonts w:ascii="Arial" w:cs="Arial" w:eastAsia="Arial" w:hAnsi="Arial"/>
          <w:sz w:val="17"/>
          <w:szCs w:val="17"/>
          <w:color w:val="auto"/>
        </w:rPr>
        <w:t>Research and development expenses for the year ended December 31, 2017 were $28.8 million, compared with $20.0 million for the year ended December 31, 2016. The increase of $8.8 million was primarily due to an increase in direct research expenses of</w:t>
      </w:r>
    </w:p>
    <w:p>
      <w:pPr>
        <w:spacing w:after="0" w:line="1" w:lineRule="exact"/>
        <w:rPr>
          <w:sz w:val="20"/>
          <w:szCs w:val="20"/>
          <w:color w:val="auto"/>
        </w:rPr>
      </w:pPr>
    </w:p>
    <w:p>
      <w:pPr>
        <w:ind w:left="360" w:right="420"/>
        <w:spacing w:after="0" w:line="250" w:lineRule="auto"/>
        <w:rPr>
          <w:sz w:val="20"/>
          <w:szCs w:val="20"/>
          <w:color w:val="auto"/>
        </w:rPr>
      </w:pPr>
      <w:r>
        <w:rPr>
          <w:rFonts w:ascii="Arial" w:cs="Arial" w:eastAsia="Arial" w:hAnsi="Arial"/>
          <w:sz w:val="17"/>
          <w:szCs w:val="17"/>
          <w:color w:val="auto"/>
        </w:rPr>
        <w:t>$5.9 million related to our AR program and $5.5 million related to our ER program, partially offset by a $ 2.6 million decrease in our platform and exploratory targets spending and by a decrease in grant monies received. The increase in AR program and ER program expenses was primarily due to lead optimization activities to select clinical candidates in both programs.</w:t>
      </w:r>
    </w:p>
    <w:p>
      <w:pPr>
        <w:spacing w:after="0" w:line="274"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126" w:lineRule="exact"/>
        <w:rPr>
          <w:sz w:val="20"/>
          <w:szCs w:val="20"/>
          <w:color w:val="auto"/>
        </w:rPr>
      </w:pPr>
    </w:p>
    <w:p>
      <w:pPr>
        <w:ind w:left="360" w:right="40" w:firstLine="535"/>
        <w:spacing w:after="0" w:line="250" w:lineRule="auto"/>
        <w:rPr>
          <w:sz w:val="20"/>
          <w:szCs w:val="20"/>
          <w:color w:val="auto"/>
        </w:rPr>
      </w:pPr>
      <w:r>
        <w:rPr>
          <w:rFonts w:ascii="Arial" w:cs="Arial" w:eastAsia="Arial" w:hAnsi="Arial"/>
          <w:sz w:val="17"/>
          <w:szCs w:val="17"/>
          <w:color w:val="auto"/>
        </w:rPr>
        <w:t>General and administrative expenses were $3.5 million for the year ended December 31, 2017, compared with $3.2 million for the year ended December 31, 2016. The increase of $0.3 million was primarily due to an increase of $0.6 million in legal fees related to patent costs and other professional fees, partially offset by a decrease in recruiting costs of $0.3 million.</w:t>
      </w:r>
    </w:p>
    <w:p>
      <w:pPr>
        <w:spacing w:after="0" w:line="123"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060"/>
          </w:cols>
          <w:pgMar w:left="240" w:top="449" w:right="599" w:bottom="1440" w:gutter="0" w:footer="0" w:header="0"/>
        </w:sectPr>
      </w:pPr>
    </w:p>
    <w:bookmarkStart w:id="83" w:name="page84"/>
    <w:bookmarkEnd w:id="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Other Income (Expenses)</w:t>
      </w:r>
    </w:p>
    <w:p>
      <w:pPr>
        <w:spacing w:after="0" w:line="126" w:lineRule="exact"/>
        <w:rPr>
          <w:sz w:val="20"/>
          <w:szCs w:val="20"/>
          <w:color w:val="auto"/>
        </w:rPr>
      </w:pPr>
    </w:p>
    <w:p>
      <w:pPr>
        <w:ind w:left="360" w:right="220" w:firstLine="535"/>
        <w:spacing w:after="0" w:line="245" w:lineRule="auto"/>
        <w:rPr>
          <w:sz w:val="20"/>
          <w:szCs w:val="20"/>
          <w:color w:val="auto"/>
        </w:rPr>
      </w:pPr>
      <w:r>
        <w:rPr>
          <w:rFonts w:ascii="Arial" w:cs="Arial" w:eastAsia="Arial" w:hAnsi="Arial"/>
          <w:sz w:val="17"/>
          <w:szCs w:val="17"/>
          <w:color w:val="auto"/>
        </w:rPr>
        <w:t>Other income (expenses) was $0.7 million for the year ended December 31, 2017, compared with $2.0 million for the year ended December 31, 2016. We recorded a gain on the forgiveness of debt of $1.0 million in 2016 related to an Assistance Agreement with the State of Connecticut. Interest income was $0.2 million for the year ended December 31, 2017, compared with $0.4 million for the year ended December 31, 2016. The decrease in interest income was the result of our lower average cash, cash equivalent and short-term investment balances for the year ended December 31, 2017 compared to the year ended December 31, 2016.</w:t>
      </w:r>
    </w:p>
    <w:p>
      <w:pPr>
        <w:spacing w:after="0" w:line="383"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Liquidity and Capital Resources</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126" w:lineRule="exact"/>
        <w:rPr>
          <w:sz w:val="20"/>
          <w:szCs w:val="20"/>
          <w:color w:val="auto"/>
        </w:rPr>
      </w:pPr>
    </w:p>
    <w:p>
      <w:pPr>
        <w:ind w:left="360" w:right="60" w:firstLine="535"/>
        <w:spacing w:after="0" w:line="245" w:lineRule="auto"/>
        <w:rPr>
          <w:sz w:val="20"/>
          <w:szCs w:val="20"/>
          <w:color w:val="auto"/>
        </w:rPr>
      </w:pPr>
      <w:r>
        <w:rPr>
          <w:rFonts w:ascii="Arial" w:cs="Arial" w:eastAsia="Arial" w:hAnsi="Arial"/>
          <w:sz w:val="17"/>
          <w:szCs w:val="17"/>
          <w:color w:val="auto"/>
        </w:rPr>
        <w:t>We do not currently have any approved products and have never generated any revenue from product sales. To date, we have financed our operations primarily through the sale of preferred units and through payments from collaboration partners, grant funding and loans from the State of Connecticut. Through June 30, 2018, we raised approximately $111.9 million in gross proceeds from the sale of series A, series B and series C convertible preferred units, and had received an aggregate of $86.9 million in payments from collaboration partners, grant funding and loans from the State of Connecticut.</w:t>
      </w:r>
    </w:p>
    <w:p>
      <w:pPr>
        <w:spacing w:after="0" w:line="280"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Cash Flows</w:t>
      </w:r>
    </w:p>
    <w:p>
      <w:pPr>
        <w:spacing w:after="0" w:line="126" w:lineRule="exact"/>
        <w:rPr>
          <w:sz w:val="20"/>
          <w:szCs w:val="20"/>
          <w:color w:val="auto"/>
        </w:rPr>
      </w:pPr>
    </w:p>
    <w:p>
      <w:pPr>
        <w:ind w:left="360" w:right="80" w:firstLine="535"/>
        <w:spacing w:after="0" w:line="250" w:lineRule="auto"/>
        <w:rPr>
          <w:sz w:val="20"/>
          <w:szCs w:val="20"/>
          <w:color w:val="auto"/>
        </w:rPr>
      </w:pPr>
      <w:r>
        <w:rPr>
          <w:rFonts w:ascii="Arial" w:cs="Arial" w:eastAsia="Arial" w:hAnsi="Arial"/>
          <w:sz w:val="17"/>
          <w:szCs w:val="17"/>
          <w:color w:val="auto"/>
        </w:rPr>
        <w:t>Our cash, cash equivalents and marketable securities totaled $99.7 million as of June 30, 2018, $ 39.2 million as of December 31, 2017 and $35.6 million as of December 31, 2016. We had an outstanding loan balance of $0.2 million as of June 30, 2018, $0.3 million as of December 31, 2017 and $0.5 million as of December 31, 2016.</w:t>
      </w:r>
    </w:p>
    <w:p>
      <w:pPr>
        <w:spacing w:after="0" w:line="189"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following table summarizes our sources and uses of cash for the period presented:</w:t>
      </w:r>
    </w:p>
    <w:p>
      <w:pPr>
        <w:spacing w:after="0" w:line="131"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9"/>
        </w:trPr>
        <w:tc>
          <w:tcPr>
            <w:tcW w:w="6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65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100"/>
              <w:spacing w:after="0" w:line="151"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2"/>
          </w:tcPr>
          <w:p>
            <w:pPr>
              <w:jc w:val="right"/>
              <w:ind w:right="200"/>
              <w:spacing w:after="0" w:line="151"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140"/>
              <w:spacing w:after="0" w:line="151"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136"/>
              <w:spacing w:after="0" w:line="151"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(used in) operating activities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5,113</w:t>
            </w:r>
          </w:p>
        </w:tc>
        <w:tc>
          <w:tcPr>
            <w:tcW w:w="22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$(19,403)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7,213</w:t>
            </w:r>
          </w:p>
        </w:tc>
        <w:tc>
          <w:tcPr>
            <w:tcW w:w="2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(15,603)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20" w:type="dxa"/>
            <w:vAlign w:val="bottom"/>
          </w:tcPr>
          <w:p>
            <w:pPr>
              <w:spacing w:after="0"/>
              <w:rPr>
                <w:sz w:val="20"/>
                <w:szCs w:val="20"/>
                <w:color w:val="auto"/>
              </w:rPr>
            </w:pPr>
            <w:r>
              <w:rPr>
                <w:rFonts w:ascii="Arial" w:cs="Arial" w:eastAsia="Arial" w:hAnsi="Arial"/>
                <w:sz w:val="17"/>
                <w:szCs w:val="17"/>
                <w:color w:val="auto"/>
              </w:rPr>
              <w:t>Net cash provided by (used in) investing activities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9"/>
              </w:rPr>
              <w:t>20,872</w:t>
            </w:r>
          </w:p>
        </w:tc>
        <w:tc>
          <w:tcPr>
            <w:tcW w:w="220" w:type="dxa"/>
            <w:vAlign w:val="bottom"/>
          </w:tcPr>
          <w:p>
            <w:pPr>
              <w:spacing w:after="0"/>
              <w:rPr>
                <w:sz w:val="17"/>
                <w:szCs w:val="17"/>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7"/>
                <w:szCs w:val="17"/>
                <w:color w:val="auto"/>
              </w:rPr>
              <w:t>(20,113)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(89,602)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13,605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(used in) financing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(161)</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(150)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54,919</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0"/>
        </w:trPr>
        <w:tc>
          <w:tcPr>
            <w:tcW w:w="6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40" w:type="dxa"/>
            <w:vAlign w:val="bottom"/>
            <w:gridSpan w:val="2"/>
          </w:tcPr>
          <w:p>
            <w:pPr>
              <w:spacing w:after="0"/>
              <w:rPr>
                <w:sz w:val="20"/>
                <w:szCs w:val="20"/>
                <w:color w:val="auto"/>
              </w:rPr>
            </w:pPr>
            <w:r>
              <w:rPr>
                <w:rFonts w:ascii="Arial" w:cs="Arial" w:eastAsia="Arial" w:hAnsi="Arial"/>
                <w:sz w:val="17"/>
                <w:szCs w:val="17"/>
                <w:color w:val="auto"/>
              </w:rPr>
              <w:t>Increase (decrease) in cash and cash equivalents</w:t>
            </w:r>
          </w:p>
        </w:tc>
        <w:tc>
          <w:tcPr>
            <w:tcW w:w="10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99"/>
              </w:rPr>
              <w:t>25,824</w:t>
            </w:r>
          </w:p>
        </w:tc>
        <w:tc>
          <w:tcPr>
            <w:tcW w:w="220" w:type="dxa"/>
            <w:vAlign w:val="bottom"/>
          </w:tcPr>
          <w:p>
            <w:pPr>
              <w:spacing w:after="0"/>
              <w:rPr>
                <w:sz w:val="17"/>
                <w:szCs w:val="17"/>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(39,666)</w:t>
            </w:r>
          </w:p>
        </w:tc>
        <w:tc>
          <w:tcPr>
            <w:tcW w:w="28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(27,560)</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(2,077)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26" w:lineRule="exact"/>
        <w:rPr>
          <w:sz w:val="20"/>
          <w:szCs w:val="20"/>
          <w:color w:val="auto"/>
        </w:rPr>
      </w:pPr>
    </w:p>
    <w:p>
      <w:pPr>
        <w:ind w:left="360" w:right="20" w:firstLine="535"/>
        <w:spacing w:after="0" w:line="244" w:lineRule="auto"/>
        <w:rPr>
          <w:sz w:val="20"/>
          <w:szCs w:val="20"/>
          <w:color w:val="auto"/>
        </w:rPr>
      </w:pPr>
      <w:r>
        <w:rPr>
          <w:rFonts w:ascii="Arial" w:cs="Arial" w:eastAsia="Arial" w:hAnsi="Arial"/>
          <w:sz w:val="17"/>
          <w:szCs w:val="17"/>
          <w:color w:val="auto"/>
        </w:rPr>
        <w:t>Net cash provided by operating activities for the six months ended June 30, 2018 was $ 7.2 million, consisting of a $25.0 million up-front payment received from a collaboration partner and previously recorded as an account receivable and non-cash charges of $1.7 million, partially offset by our net loss of $12.0 million, an increase of $2.6 million in other receivables and prepaid expenses, a reduction in deferred revenue of $1.1 million, and a net reduction in accrued expenses and accounts payable of $ 0.5 million. The reduction in deferred revenue is primarily due to $7.5 million of revenue recognized, partially offset by $3.0 million in target payments received from a collaboration partner. The increase in other receivables and prepaid expenses is primarily due to incurring costs in preparation of the initial public offering of $1.3 million and accrued interest on marketable securities of $0.7 million.</w:t>
      </w:r>
    </w:p>
    <w:p>
      <w:pPr>
        <w:spacing w:after="0" w:line="195" w:lineRule="exact"/>
        <w:rPr>
          <w:sz w:val="20"/>
          <w:szCs w:val="20"/>
          <w:color w:val="auto"/>
        </w:rPr>
      </w:pPr>
    </w:p>
    <w:p>
      <w:pPr>
        <w:ind w:left="360" w:right="640" w:firstLine="535"/>
        <w:spacing w:after="0" w:line="259" w:lineRule="auto"/>
        <w:rPr>
          <w:sz w:val="20"/>
          <w:szCs w:val="20"/>
          <w:color w:val="auto"/>
        </w:rPr>
      </w:pPr>
      <w:r>
        <w:rPr>
          <w:rFonts w:ascii="Arial" w:cs="Arial" w:eastAsia="Arial" w:hAnsi="Arial"/>
          <w:sz w:val="17"/>
          <w:szCs w:val="17"/>
          <w:color w:val="auto"/>
        </w:rPr>
        <w:t>Net cash used in operating activities for the six months ended June 30, 2017 was $15.6 million, consisting of our net loss of $12.9 million and a $3.2 million decrease in net operating assets and</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060"/>
          </w:cols>
          <w:pgMar w:left="240" w:top="449" w:right="599" w:bottom="1440" w:gutter="0" w:footer="0" w:header="0"/>
        </w:sectPr>
      </w:pPr>
    </w:p>
    <w:bookmarkStart w:id="84" w:name="page85"/>
    <w:bookmarkEnd w:id="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700"/>
        <w:spacing w:after="0" w:line="259" w:lineRule="auto"/>
        <w:rPr>
          <w:sz w:val="20"/>
          <w:szCs w:val="20"/>
          <w:color w:val="auto"/>
        </w:rPr>
      </w:pPr>
      <w:r>
        <w:rPr>
          <w:rFonts w:ascii="Arial" w:cs="Arial" w:eastAsia="Arial" w:hAnsi="Arial"/>
          <w:sz w:val="17"/>
          <w:szCs w:val="17"/>
          <w:color w:val="auto"/>
        </w:rPr>
        <w:t>liabilities, partially offset by non-cash charges of $0.5 million. Changes in operating assets and liabilities was primarily related to a decrease in deferred revenue of $3.3 million for revenue recognized during the period.</w:t>
      </w:r>
    </w:p>
    <w:p>
      <w:pPr>
        <w:spacing w:after="0" w:line="18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Net cash provided by operating activities for the year ended December 31, 2017 was $5.1 million, consisting of an increase of</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$51.9 million in deferred revenue, a net increase of $0.9 million in accrued expenses and accounts payable, and non-cash charges of</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$0.9 million, partially offset by our net loss of $24.0 million and an increase in account and other receivables of $24.6 million. The increase</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 deferred revenue was due to $34.5 million in up-front payments received from a collaboration partner and a $25.0 million up-front</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payment from a collaboration partner included in account receivable, reduced by $7.6 million of recognized deferred revenue. Our</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non-cash charges totaling $0.9 million included depreciation, unit-based compensation expense, and accretion on short-term investments.</w:t>
      </w:r>
    </w:p>
    <w:p>
      <w:pPr>
        <w:spacing w:after="0" w:line="21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Net cash used in operating activities for the year ended December 31, 2016 was $19.4 million, consisting of our net loss of</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$14.4 million and a decrease of $5.5 million in net operating assets and liabilities, partially offset by non-cash charges of $0.5 million.</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Changes in operating assets and liabilities was primarily related to a decrease in deferred revenue of $6.6 million for revenue recognized</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during the year, a $0.7 million decrease in other receivables and prepaid assets, partially offset by an increase of $1.7 million in accounts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payable and accrued expenses.</w:t>
      </w:r>
    </w:p>
    <w:p>
      <w:pPr>
        <w:spacing w:after="0" w:line="296"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126" w:lineRule="exact"/>
        <w:rPr>
          <w:sz w:val="20"/>
          <w:szCs w:val="20"/>
          <w:color w:val="auto"/>
        </w:rPr>
      </w:pPr>
    </w:p>
    <w:p>
      <w:pPr>
        <w:ind w:left="360" w:right="40" w:firstLine="535"/>
        <w:spacing w:after="0" w:line="259" w:lineRule="auto"/>
        <w:rPr>
          <w:sz w:val="20"/>
          <w:szCs w:val="20"/>
          <w:color w:val="auto"/>
        </w:rPr>
      </w:pPr>
      <w:r>
        <w:rPr>
          <w:rFonts w:ascii="Arial" w:cs="Arial" w:eastAsia="Arial" w:hAnsi="Arial"/>
          <w:sz w:val="17"/>
          <w:szCs w:val="17"/>
          <w:color w:val="auto"/>
        </w:rPr>
        <w:t>Net cash used in investing activities for the six months ended June 30, 2018 was $89.6 million, attributable to the net investment of excess cash of $88.3 million and the purchases of property and equipment of $1.3 million.</w:t>
      </w:r>
    </w:p>
    <w:p>
      <w:pPr>
        <w:spacing w:after="0" w:line="181" w:lineRule="exact"/>
        <w:rPr>
          <w:sz w:val="20"/>
          <w:szCs w:val="20"/>
          <w:color w:val="auto"/>
        </w:rPr>
      </w:pPr>
    </w:p>
    <w:p>
      <w:pPr>
        <w:ind w:left="360" w:right="80" w:firstLine="535"/>
        <w:spacing w:after="0" w:line="259" w:lineRule="auto"/>
        <w:rPr>
          <w:sz w:val="20"/>
          <w:szCs w:val="20"/>
          <w:color w:val="auto"/>
        </w:rPr>
      </w:pPr>
      <w:r>
        <w:rPr>
          <w:rFonts w:ascii="Arial" w:cs="Arial" w:eastAsia="Arial" w:hAnsi="Arial"/>
          <w:sz w:val="17"/>
          <w:szCs w:val="17"/>
          <w:color w:val="auto"/>
        </w:rPr>
        <w:t>Net cash provided by investing activities for the six months ended June 30, 2017 was $13.6 million, attributable to the maturity and sale of marketable securities of $14.2 million, partially offset by the purchase of property and equipment of $0.6 million.</w:t>
      </w:r>
    </w:p>
    <w:p>
      <w:pPr>
        <w:spacing w:after="0" w:line="181" w:lineRule="exact"/>
        <w:rPr>
          <w:sz w:val="20"/>
          <w:szCs w:val="20"/>
          <w:color w:val="auto"/>
        </w:rPr>
      </w:pPr>
    </w:p>
    <w:p>
      <w:pPr>
        <w:ind w:left="360" w:firstLine="535"/>
        <w:spacing w:after="0" w:line="250" w:lineRule="auto"/>
        <w:rPr>
          <w:sz w:val="20"/>
          <w:szCs w:val="20"/>
          <w:color w:val="auto"/>
        </w:rPr>
      </w:pPr>
      <w:r>
        <w:rPr>
          <w:rFonts w:ascii="Arial" w:cs="Arial" w:eastAsia="Arial" w:hAnsi="Arial"/>
          <w:sz w:val="17"/>
          <w:szCs w:val="17"/>
          <w:color w:val="auto"/>
        </w:rPr>
        <w:t>Net cash provided by investing activities for the year ended December 31, 2017 was $20.9 million, attributable to the maturities and sales of marketable securities of $25.1 million, partially offset by the purchase of new marketable securities of $3.2 million and the purchases of property and equipment of $1.0 million.</w:t>
      </w:r>
    </w:p>
    <w:p>
      <w:pPr>
        <w:spacing w:after="0" w:line="189" w:lineRule="exact"/>
        <w:rPr>
          <w:sz w:val="20"/>
          <w:szCs w:val="20"/>
          <w:color w:val="auto"/>
        </w:rPr>
      </w:pPr>
    </w:p>
    <w:p>
      <w:pPr>
        <w:ind w:left="360" w:right="120" w:firstLine="535"/>
        <w:spacing w:after="0" w:line="259" w:lineRule="auto"/>
        <w:rPr>
          <w:sz w:val="20"/>
          <w:szCs w:val="20"/>
          <w:color w:val="auto"/>
        </w:rPr>
      </w:pPr>
      <w:r>
        <w:rPr>
          <w:rFonts w:ascii="Arial" w:cs="Arial" w:eastAsia="Arial" w:hAnsi="Arial"/>
          <w:sz w:val="17"/>
          <w:szCs w:val="17"/>
          <w:color w:val="auto"/>
        </w:rPr>
        <w:t>Net cash used in investing activities for the year ended December 31, 2016 was $20.1 million, attributable to the net investment of excess cash of $19.8 million and the purchases of property and equipment of $0.3 million.</w:t>
      </w:r>
    </w:p>
    <w:p>
      <w:pPr>
        <w:spacing w:after="0" w:line="266"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26" w:lineRule="exact"/>
        <w:rPr>
          <w:sz w:val="20"/>
          <w:szCs w:val="20"/>
          <w:color w:val="auto"/>
        </w:rPr>
      </w:pPr>
    </w:p>
    <w:p>
      <w:pPr>
        <w:ind w:left="360" w:right="20" w:firstLine="535"/>
        <w:spacing w:after="0" w:line="259" w:lineRule="auto"/>
        <w:rPr>
          <w:sz w:val="20"/>
          <w:szCs w:val="20"/>
          <w:color w:val="auto"/>
        </w:rPr>
      </w:pPr>
      <w:r>
        <w:rPr>
          <w:rFonts w:ascii="Arial" w:cs="Arial" w:eastAsia="Arial" w:hAnsi="Arial"/>
          <w:sz w:val="17"/>
          <w:szCs w:val="17"/>
          <w:color w:val="auto"/>
        </w:rPr>
        <w:t>Net cash provided by financing activities for the six months ended June 30, 2018 was $54.9 million, attributable to the net proceeds from the sale of series C preferred units, partially offset by payments on our long-term debt.</w:t>
      </w:r>
    </w:p>
    <w:p>
      <w:pPr>
        <w:spacing w:after="0" w:line="18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Net cash used in financing activities for the six months ended June 30, 2017 was $0.1 million for payments on our long-term debt.</w:t>
      </w:r>
    </w:p>
    <w:p>
      <w:pPr>
        <w:spacing w:after="0" w:line="21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Net cash used in financing activities for the year ended December 31, 2017 was $0.2 million for payments on our long-term debt.</w:t>
      </w:r>
    </w:p>
    <w:p>
      <w:pPr>
        <w:spacing w:after="0" w:line="211" w:lineRule="exact"/>
        <w:rPr>
          <w:sz w:val="20"/>
          <w:szCs w:val="20"/>
          <w:color w:val="auto"/>
        </w:rPr>
      </w:pPr>
    </w:p>
    <w:p>
      <w:pPr>
        <w:jc w:val="center"/>
        <w:ind w:left="940" w:right="200"/>
        <w:spacing w:after="0" w:line="338" w:lineRule="auto"/>
        <w:rPr>
          <w:sz w:val="20"/>
          <w:szCs w:val="20"/>
          <w:color w:val="auto"/>
        </w:rPr>
      </w:pPr>
      <w:r>
        <w:rPr>
          <w:rFonts w:ascii="Arial" w:cs="Arial" w:eastAsia="Arial" w:hAnsi="Arial"/>
          <w:sz w:val="17"/>
          <w:szCs w:val="17"/>
          <w:color w:val="auto"/>
        </w:rPr>
        <w:t>Net cash used in financing activities for the year ended December 31, 2016 was $0.1 million for payments on our long-term debt. 83</w:t>
      </w:r>
    </w:p>
    <w:p>
      <w:pPr>
        <w:sectPr>
          <w:pgSz w:w="11900" w:h="16838" w:orient="portrait"/>
          <w:cols w:equalWidth="0" w:num="1">
            <w:col w:w="11040"/>
          </w:cols>
          <w:pgMar w:left="240" w:top="449" w:right="619" w:bottom="1440" w:gutter="0" w:footer="0" w:header="0"/>
        </w:sectPr>
      </w:pPr>
    </w:p>
    <w:bookmarkStart w:id="85" w:name="page86"/>
    <w:bookmarkEnd w:id="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Funding Requirements</w:t>
      </w:r>
    </w:p>
    <w:p>
      <w:pPr>
        <w:spacing w:after="0" w:line="126" w:lineRule="exact"/>
        <w:rPr>
          <w:sz w:val="20"/>
          <w:szCs w:val="20"/>
          <w:color w:val="auto"/>
        </w:rPr>
      </w:pPr>
    </w:p>
    <w:p>
      <w:pPr>
        <w:ind w:left="360" w:firstLine="535"/>
        <w:spacing w:after="0" w:line="250" w:lineRule="auto"/>
        <w:rPr>
          <w:sz w:val="20"/>
          <w:szCs w:val="20"/>
          <w:color w:val="auto"/>
        </w:rPr>
      </w:pPr>
      <w:r>
        <w:rPr>
          <w:rFonts w:ascii="Arial" w:cs="Arial" w:eastAsia="Arial" w:hAnsi="Arial"/>
          <w:sz w:val="17"/>
          <w:szCs w:val="17"/>
          <w:color w:val="auto"/>
        </w:rPr>
        <w:t>Since our inception, we have incurred significant operating losses. We expect to continue to incur significant expenses and increasing operating losses for the foreseeable future as we advance the preclinical and clinical development of our product candidates. In addition, upon the closing of this offering, we expect to incur additional costs associated with operating as a public company.</w:t>
      </w:r>
    </w:p>
    <w:p>
      <w:pPr>
        <w:spacing w:after="0" w:line="189" w:lineRule="exact"/>
        <w:rPr>
          <w:sz w:val="20"/>
          <w:szCs w:val="20"/>
          <w:color w:val="auto"/>
        </w:rPr>
      </w:pPr>
    </w:p>
    <w:p>
      <w:pPr>
        <w:ind w:left="900"/>
        <w:spacing w:after="0"/>
        <w:rPr>
          <w:sz w:val="20"/>
          <w:szCs w:val="20"/>
          <w:color w:val="auto"/>
        </w:rPr>
      </w:pPr>
      <w:r>
        <w:rPr>
          <w:rFonts w:ascii="Arial" w:cs="Arial" w:eastAsia="Arial" w:hAnsi="Arial"/>
          <w:sz w:val="17"/>
          <w:szCs w:val="17"/>
          <w:color w:val="auto"/>
        </w:rPr>
        <w:t>Specifically, we anticipate that our expenses will increase substantially if and as we:</w:t>
      </w:r>
    </w:p>
    <w:p>
      <w:pPr>
        <w:spacing w:after="0" w:line="119" w:lineRule="exact"/>
        <w:rPr>
          <w:sz w:val="20"/>
          <w:szCs w:val="20"/>
          <w:color w:val="auto"/>
        </w:rPr>
      </w:pPr>
    </w:p>
    <w:p>
      <w:pPr>
        <w:ind w:left="1100" w:hanging="210"/>
        <w:spacing w:after="0"/>
        <w:tabs>
          <w:tab w:leader="none" w:pos="11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initiate a planned Phase 1 clinical trial of our product candidate, ARV-110, in men with mCRPC;</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initiate a planned Phase 1 clinical trial of our product candidate, ARV-471, in women with metastatic ER+ breast cancer;</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apply our PROTAC platform to advance additional product candidates into preclinical and clinical development;</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expand the capabilities of our PROTAC platform;</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seek marketing approvals for any product candidates that successfully complete clinical trials;</w:t>
      </w:r>
    </w:p>
    <w:p>
      <w:pPr>
        <w:spacing w:after="0" w:line="119" w:lineRule="exact"/>
        <w:rPr>
          <w:rFonts w:ascii="Arial" w:cs="Arial" w:eastAsia="Arial" w:hAnsi="Arial"/>
          <w:sz w:val="17"/>
          <w:szCs w:val="17"/>
          <w:color w:val="auto"/>
        </w:rPr>
      </w:pPr>
    </w:p>
    <w:p>
      <w:pPr>
        <w:ind w:left="1100" w:right="720" w:hanging="210"/>
        <w:spacing w:after="0" w:line="259" w:lineRule="auto"/>
        <w:tabs>
          <w:tab w:leader="none" w:pos="11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ultimately establish a sales, marketing and distribution infrastructure and scale up external manufacturing capabilities to commercialize any products for which we may obtain marketing approval;</w:t>
      </w:r>
    </w:p>
    <w:p>
      <w:pPr>
        <w:spacing w:after="0" w:line="89" w:lineRule="exact"/>
        <w:rPr>
          <w:rFonts w:ascii="Arial" w:cs="Arial" w:eastAsia="Arial" w:hAnsi="Arial"/>
          <w:sz w:val="17"/>
          <w:szCs w:val="17"/>
          <w:color w:val="auto"/>
        </w:rPr>
      </w:pPr>
    </w:p>
    <w:p>
      <w:pPr>
        <w:ind w:left="1100" w:hanging="210"/>
        <w:spacing w:after="0"/>
        <w:tabs>
          <w:tab w:leader="none" w:pos="11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expand, maintain and protect our intellectual property portfolio;</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hire additional clinical, regulatory and scientific personnel; and</w:t>
      </w:r>
    </w:p>
    <w:p>
      <w:pPr>
        <w:spacing w:after="0" w:line="119" w:lineRule="exact"/>
        <w:rPr>
          <w:rFonts w:ascii="Arial" w:cs="Arial" w:eastAsia="Arial" w:hAnsi="Arial"/>
          <w:sz w:val="17"/>
          <w:szCs w:val="17"/>
          <w:color w:val="auto"/>
        </w:rPr>
      </w:pPr>
    </w:p>
    <w:p>
      <w:pPr>
        <w:ind w:left="1100" w:right="240" w:hanging="210"/>
        <w:spacing w:after="0" w:line="259" w:lineRule="auto"/>
        <w:tabs>
          <w:tab w:leader="none" w:pos="11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add operational, financial and management information systems and personnel to support our research, product development and future commercialization efforts and support our operations as a public company.</w:t>
      </w:r>
    </w:p>
    <w:p>
      <w:pPr>
        <w:spacing w:after="0" w:line="181" w:lineRule="exact"/>
        <w:rPr>
          <w:sz w:val="20"/>
          <w:szCs w:val="20"/>
          <w:color w:val="auto"/>
        </w:rPr>
      </w:pPr>
    </w:p>
    <w:p>
      <w:pPr>
        <w:ind w:left="360" w:firstLine="535"/>
        <w:spacing w:after="0" w:line="245" w:lineRule="auto"/>
        <w:rPr>
          <w:sz w:val="20"/>
          <w:szCs w:val="20"/>
          <w:color w:val="auto"/>
        </w:rPr>
      </w:pPr>
      <w:r>
        <w:rPr>
          <w:rFonts w:ascii="Arial" w:cs="Arial" w:eastAsia="Arial" w:hAnsi="Arial"/>
          <w:sz w:val="17"/>
          <w:szCs w:val="17"/>
          <w:color w:val="auto"/>
        </w:rPr>
        <w:t>We believe that the net proceeds from this offering, together with our existing cash, cash equivalents and marketable securities, will enable us to fund our operating expenses and capital expenditure requirements for at least the next 24 months. We have based this estimate on assumptions that may prove to be wrong, and we could use our capital resources sooner than we currently expect. This estimate also assumes that we do not obtain any additional funding through collaborations or other strategic alliances, including under the license and option agreements that we entered into with Pfizer and Genentech. Our future capital requirements will depend on many factors, including:</w:t>
      </w:r>
    </w:p>
    <w:p>
      <w:pPr>
        <w:spacing w:after="0" w:line="300" w:lineRule="exact"/>
        <w:rPr>
          <w:sz w:val="20"/>
          <w:szCs w:val="20"/>
          <w:color w:val="auto"/>
        </w:rPr>
      </w:pPr>
    </w:p>
    <w:p>
      <w:pPr>
        <w:ind w:left="1100" w:right="900" w:hanging="210"/>
        <w:spacing w:after="0" w:line="259" w:lineRule="auto"/>
        <w:tabs>
          <w:tab w:leader="none" w:pos="11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progress, costs and results of our planned Phase 1 clinical trials for ARV-110 and ARV-471 and any future clinical development of ARV-110 and ARV-471;</w:t>
      </w:r>
    </w:p>
    <w:p>
      <w:pPr>
        <w:spacing w:after="0" w:line="89" w:lineRule="exact"/>
        <w:rPr>
          <w:rFonts w:ascii="Arial" w:cs="Arial" w:eastAsia="Arial" w:hAnsi="Arial"/>
          <w:sz w:val="17"/>
          <w:szCs w:val="17"/>
          <w:color w:val="auto"/>
        </w:rPr>
      </w:pPr>
    </w:p>
    <w:p>
      <w:pPr>
        <w:ind w:left="1100" w:right="100" w:hanging="210"/>
        <w:spacing w:after="0" w:line="259" w:lineRule="auto"/>
        <w:tabs>
          <w:tab w:leader="none" w:pos="11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scope, progress, costs and results of preclinical and clinical development for our other product candidates and development programs;</w:t>
      </w:r>
    </w:p>
    <w:p>
      <w:pPr>
        <w:spacing w:after="0" w:line="89" w:lineRule="exact"/>
        <w:rPr>
          <w:rFonts w:ascii="Arial" w:cs="Arial" w:eastAsia="Arial" w:hAnsi="Arial"/>
          <w:sz w:val="17"/>
          <w:szCs w:val="17"/>
          <w:color w:val="auto"/>
        </w:rPr>
      </w:pPr>
    </w:p>
    <w:p>
      <w:pPr>
        <w:ind w:left="1100" w:right="640" w:hanging="210"/>
        <w:spacing w:after="0" w:line="259" w:lineRule="auto"/>
        <w:tabs>
          <w:tab w:leader="none" w:pos="11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number and development requirements of other product candidates that we pursue, including our neurodegenerative research programs;</w:t>
      </w:r>
    </w:p>
    <w:p>
      <w:pPr>
        <w:spacing w:after="0" w:line="89" w:lineRule="exact"/>
        <w:rPr>
          <w:rFonts w:ascii="Arial" w:cs="Arial" w:eastAsia="Arial" w:hAnsi="Arial"/>
          <w:sz w:val="17"/>
          <w:szCs w:val="17"/>
          <w:color w:val="auto"/>
        </w:rPr>
      </w:pPr>
    </w:p>
    <w:p>
      <w:pPr>
        <w:ind w:left="1100" w:hanging="210"/>
        <w:spacing w:after="0"/>
        <w:tabs>
          <w:tab w:leader="none" w:pos="11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success of our collaborations with Pfizer and Genentech;</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costs, timing and outcome of regulatory review of our product candidates;</w:t>
      </w:r>
    </w:p>
    <w:p>
      <w:pPr>
        <w:spacing w:after="0" w:line="119" w:lineRule="exact"/>
        <w:rPr>
          <w:rFonts w:ascii="Arial" w:cs="Arial" w:eastAsia="Arial" w:hAnsi="Arial"/>
          <w:sz w:val="17"/>
          <w:szCs w:val="17"/>
          <w:color w:val="auto"/>
        </w:rPr>
      </w:pPr>
    </w:p>
    <w:p>
      <w:pPr>
        <w:ind w:left="1100" w:right="60" w:hanging="210"/>
        <w:spacing w:after="0" w:line="259" w:lineRule="auto"/>
        <w:tabs>
          <w:tab w:leader="none" w:pos="11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costs and timing of future commercialization activities, including product manufacturing, marketing, sales and distribution, for any of our product candidates for which we receive marketing approval;</w:t>
      </w:r>
    </w:p>
    <w:p>
      <w:pPr>
        <w:spacing w:after="0" w:line="89" w:lineRule="exact"/>
        <w:rPr>
          <w:rFonts w:ascii="Arial" w:cs="Arial" w:eastAsia="Arial" w:hAnsi="Arial"/>
          <w:sz w:val="17"/>
          <w:szCs w:val="17"/>
          <w:color w:val="auto"/>
        </w:rPr>
      </w:pPr>
    </w:p>
    <w:p>
      <w:pPr>
        <w:ind w:left="1100" w:hanging="210"/>
        <w:spacing w:after="0"/>
        <w:tabs>
          <w:tab w:leader="none" w:pos="11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revenue, if any, received from commercial sales of our product candidates for which we receive marketing approval;</w:t>
      </w:r>
    </w:p>
    <w:p>
      <w:pPr>
        <w:spacing w:after="0" w:line="14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040"/>
          </w:cols>
          <w:pgMar w:left="240" w:top="449" w:right="619" w:bottom="1440" w:gutter="0" w:footer="0" w:header="0"/>
        </w:sectPr>
      </w:pPr>
    </w:p>
    <w:bookmarkStart w:id="86" w:name="page87"/>
    <w:bookmarkEnd w:id="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1100" w:right="200" w:hanging="210"/>
        <w:spacing w:after="0" w:line="259" w:lineRule="auto"/>
        <w:tabs>
          <w:tab w:leader="none" w:pos="11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costs and timing of preparing, filing and prosecuting patent applications, maintaining and enforcing our intellectual property rights and defending any intellectual property-related claims; and</w:t>
      </w:r>
    </w:p>
    <w:p>
      <w:pPr>
        <w:spacing w:after="0" w:line="89" w:lineRule="exact"/>
        <w:rPr>
          <w:rFonts w:ascii="Arial" w:cs="Arial" w:eastAsia="Arial" w:hAnsi="Arial"/>
          <w:sz w:val="17"/>
          <w:szCs w:val="17"/>
          <w:color w:val="auto"/>
        </w:rPr>
      </w:pPr>
    </w:p>
    <w:p>
      <w:pPr>
        <w:ind w:left="1100" w:right="180" w:hanging="210"/>
        <w:spacing w:after="0" w:line="259" w:lineRule="auto"/>
        <w:tabs>
          <w:tab w:leader="none" w:pos="11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our ability to establish collaboration arrangements with other biotechnology or pharmaceutical companies on favorable terms, if at all, for the development or commercialization of our product candidates.</w:t>
      </w:r>
    </w:p>
    <w:p>
      <w:pPr>
        <w:spacing w:after="0" w:line="181" w:lineRule="exact"/>
        <w:rPr>
          <w:sz w:val="20"/>
          <w:szCs w:val="20"/>
          <w:color w:val="auto"/>
        </w:rPr>
      </w:pPr>
    </w:p>
    <w:p>
      <w:pPr>
        <w:ind w:left="360" w:right="60" w:firstLine="535"/>
        <w:spacing w:after="0" w:line="244" w:lineRule="auto"/>
        <w:rPr>
          <w:sz w:val="20"/>
          <w:szCs w:val="20"/>
          <w:color w:val="auto"/>
        </w:rPr>
      </w:pPr>
      <w:r>
        <w:rPr>
          <w:rFonts w:ascii="Arial" w:cs="Arial" w:eastAsia="Arial" w:hAnsi="Arial"/>
          <w:sz w:val="17"/>
          <w:szCs w:val="17"/>
          <w:color w:val="auto"/>
        </w:rPr>
        <w:t>As a result of these anticipated expenditures, we will need to obtain substantial additional financing in connection with our continuing operations. Until such time, if ever, as we can generate substantial revenue from product sales, we expect to finance our cash needs through a combination of equity offerings, debt financings, collaborations, strategic alliances and marketing, distribution or licensing arrangements. Although we may receive potential future payments under our collaborations with Pfizer and Genentech, we do not currently have any committed external source of funds. Adequate additional funds may not be available to us on acceptable terms, or at all. If we are unable to raise capital when needed or on attractive terms, we may be required to delay, limit, reduce or terminate our research, product development programs or any future commercialization efforts or grant rights to develop and market product candidates that we would otherwise prefer to develop and market ourselves.</w:t>
      </w:r>
    </w:p>
    <w:p>
      <w:pPr>
        <w:spacing w:after="0" w:line="193" w:lineRule="exact"/>
        <w:rPr>
          <w:sz w:val="20"/>
          <w:szCs w:val="20"/>
          <w:color w:val="auto"/>
        </w:rPr>
      </w:pPr>
    </w:p>
    <w:p>
      <w:pPr>
        <w:ind w:left="360" w:right="40" w:firstLine="535"/>
        <w:spacing w:after="0" w:line="246" w:lineRule="auto"/>
        <w:rPr>
          <w:sz w:val="20"/>
          <w:szCs w:val="20"/>
          <w:color w:val="auto"/>
        </w:rPr>
      </w:pPr>
      <w:r>
        <w:rPr>
          <w:rFonts w:ascii="Arial" w:cs="Arial" w:eastAsia="Arial" w:hAnsi="Arial"/>
          <w:sz w:val="17"/>
          <w:szCs w:val="17"/>
          <w:color w:val="auto"/>
        </w:rPr>
        <w:t>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w:t>
      </w:r>
    </w:p>
    <w:p>
      <w:pPr>
        <w:spacing w:after="0" w:line="392" w:lineRule="exact"/>
        <w:rPr>
          <w:sz w:val="20"/>
          <w:szCs w:val="20"/>
          <w:color w:val="auto"/>
        </w:rPr>
      </w:pPr>
    </w:p>
    <w:p>
      <w:pPr>
        <w:ind w:left="360" w:right="60" w:firstLine="535"/>
        <w:spacing w:after="0" w:line="250"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w:t>
      </w:r>
    </w:p>
    <w:p>
      <w:pPr>
        <w:spacing w:after="0" w:line="272"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Contractual Obligations</w:t>
      </w:r>
    </w:p>
    <w:p>
      <w:pPr>
        <w:spacing w:after="0" w:line="233"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following is a summary of our significant contractual obligations as of December 31, 2017:</w:t>
      </w:r>
    </w:p>
    <w:p>
      <w:pPr>
        <w:spacing w:after="0" w:line="227" w:lineRule="exact"/>
        <w:rPr>
          <w:sz w:val="20"/>
          <w:szCs w:val="20"/>
          <w:color w:val="auto"/>
        </w:rPr>
      </w:pPr>
    </w:p>
    <w:tbl>
      <w:tblPr>
        <w:tblLayout w:type="fixed"/>
        <w:tblInd w:w="36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60" w:type="dxa"/>
            <w:vAlign w:val="bottom"/>
            <w:gridSpan w:val="4"/>
          </w:tcPr>
          <w:p>
            <w:pPr>
              <w:ind w:left="200"/>
              <w:spacing w:after="0"/>
              <w:rPr>
                <w:sz w:val="20"/>
                <w:szCs w:val="20"/>
                <w:color w:val="auto"/>
              </w:rPr>
            </w:pPr>
            <w:r>
              <w:rPr>
                <w:rFonts w:ascii="Arial" w:cs="Arial" w:eastAsia="Arial" w:hAnsi="Arial"/>
                <w:sz w:val="14"/>
                <w:szCs w:val="14"/>
                <w:b w:val="1"/>
                <w:bCs w:val="1"/>
                <w:color w:val="auto"/>
                <w:w w:val="99"/>
              </w:rPr>
              <w:t>Payments Due by Period</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Contractual Obligation</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rPr>
              <w:t>More Than</w:t>
            </w:r>
          </w:p>
        </w:tc>
        <w:tc>
          <w:tcPr>
            <w:tcW w:w="4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More Than</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3760" w:type="dxa"/>
            <w:vAlign w:val="bottom"/>
            <w:gridSpan w:val="3"/>
            <w:vMerge w:val="continue"/>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80" w:type="dxa"/>
            <w:vAlign w:val="bottom"/>
            <w:gridSpan w:val="3"/>
          </w:tcPr>
          <w:p>
            <w:pPr>
              <w:jc w:val="right"/>
              <w:spacing w:after="0" w:line="144" w:lineRule="exact"/>
              <w:rPr>
                <w:sz w:val="20"/>
                <w:szCs w:val="20"/>
                <w:color w:val="auto"/>
              </w:rPr>
            </w:pPr>
            <w:r>
              <w:rPr>
                <w:rFonts w:ascii="Arial" w:cs="Arial" w:eastAsia="Arial" w:hAnsi="Arial"/>
                <w:sz w:val="14"/>
                <w:szCs w:val="14"/>
                <w:b w:val="1"/>
                <w:bCs w:val="1"/>
                <w:color w:val="auto"/>
              </w:rPr>
              <w:t>Less Than 1</w:t>
            </w:r>
          </w:p>
        </w:tc>
        <w:tc>
          <w:tcPr>
            <w:tcW w:w="540" w:type="dxa"/>
            <w:vAlign w:val="bottom"/>
          </w:tcPr>
          <w:p>
            <w:pPr>
              <w:spacing w:after="0"/>
              <w:rPr>
                <w:sz w:val="12"/>
                <w:szCs w:val="12"/>
                <w:color w:val="auto"/>
              </w:rPr>
            </w:pPr>
          </w:p>
        </w:tc>
        <w:tc>
          <w:tcPr>
            <w:tcW w:w="1320" w:type="dxa"/>
            <w:vAlign w:val="bottom"/>
            <w:gridSpan w:val="3"/>
          </w:tcPr>
          <w:p>
            <w:pPr>
              <w:ind w:left="60"/>
              <w:spacing w:after="0" w:line="144" w:lineRule="exact"/>
              <w:rPr>
                <w:sz w:val="20"/>
                <w:szCs w:val="20"/>
                <w:color w:val="auto"/>
              </w:rPr>
            </w:pPr>
            <w:r>
              <w:rPr>
                <w:rFonts w:ascii="Arial" w:cs="Arial" w:eastAsia="Arial" w:hAnsi="Arial"/>
                <w:sz w:val="14"/>
                <w:szCs w:val="14"/>
                <w:b w:val="1"/>
                <w:bCs w:val="1"/>
                <w:color w:val="auto"/>
              </w:rPr>
              <w:t>1 Year and</w:t>
            </w:r>
          </w:p>
        </w:tc>
        <w:tc>
          <w:tcPr>
            <w:tcW w:w="40" w:type="dxa"/>
            <w:vAlign w:val="bottom"/>
          </w:tcPr>
          <w:p>
            <w:pPr>
              <w:spacing w:after="0"/>
              <w:rPr>
                <w:sz w:val="12"/>
                <w:szCs w:val="12"/>
                <w:color w:val="auto"/>
              </w:rPr>
            </w:pPr>
          </w:p>
        </w:tc>
        <w:tc>
          <w:tcPr>
            <w:tcW w:w="820" w:type="dxa"/>
            <w:vAlign w:val="bottom"/>
            <w:gridSpan w:val="2"/>
          </w:tcPr>
          <w:p>
            <w:pPr>
              <w:ind w:left="20"/>
              <w:spacing w:after="0" w:line="144" w:lineRule="exact"/>
              <w:rPr>
                <w:sz w:val="20"/>
                <w:szCs w:val="20"/>
                <w:color w:val="auto"/>
              </w:rPr>
            </w:pPr>
            <w:r>
              <w:rPr>
                <w:rFonts w:ascii="Arial" w:cs="Arial" w:eastAsia="Arial" w:hAnsi="Arial"/>
                <w:sz w:val="14"/>
                <w:szCs w:val="14"/>
                <w:b w:val="1"/>
                <w:bCs w:val="1"/>
                <w:color w:val="auto"/>
              </w:rPr>
              <w:t>3 years and</w:t>
            </w:r>
          </w:p>
        </w:tc>
        <w:tc>
          <w:tcPr>
            <w:tcW w:w="1300" w:type="dxa"/>
            <w:vAlign w:val="bottom"/>
            <w:gridSpan w:val="4"/>
          </w:tcPr>
          <w:p>
            <w:pPr>
              <w:ind w:left="540"/>
              <w:spacing w:after="0" w:line="144"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69"/>
        </w:trPr>
        <w:tc>
          <w:tcPr>
            <w:tcW w:w="37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36"/>
              <w:spacing w:after="0"/>
              <w:rPr>
                <w:sz w:val="20"/>
                <w:szCs w:val="20"/>
                <w:color w:val="auto"/>
              </w:rPr>
            </w:pPr>
            <w:r>
              <w:rPr>
                <w:rFonts w:ascii="Arial" w:cs="Arial" w:eastAsia="Arial" w:hAnsi="Arial"/>
                <w:sz w:val="14"/>
                <w:szCs w:val="14"/>
                <w:b w:val="1"/>
                <w:bCs w:val="1"/>
                <w:color w:val="auto"/>
                <w:w w:val="89"/>
              </w:rPr>
              <w:t>Total</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6"/>
              <w:spacing w:after="0"/>
              <w:rPr>
                <w:sz w:val="20"/>
                <w:szCs w:val="20"/>
                <w:color w:val="auto"/>
              </w:rPr>
            </w:pPr>
            <w:r>
              <w:rPr>
                <w:rFonts w:ascii="Arial" w:cs="Arial" w:eastAsia="Arial" w:hAnsi="Arial"/>
                <w:sz w:val="14"/>
                <w:szCs w:val="14"/>
                <w:b w:val="1"/>
                <w:bCs w:val="1"/>
                <w:color w:val="auto"/>
              </w:rPr>
              <w:t>Year</w:t>
            </w:r>
          </w:p>
        </w:tc>
        <w:tc>
          <w:tcPr>
            <w:tcW w:w="1860" w:type="dxa"/>
            <w:vAlign w:val="bottom"/>
            <w:gridSpan w:val="4"/>
          </w:tcPr>
          <w:p>
            <w:pPr>
              <w:ind w:left="540"/>
              <w:spacing w:after="0"/>
              <w:rPr>
                <w:sz w:val="20"/>
                <w:szCs w:val="20"/>
                <w:color w:val="auto"/>
              </w:rPr>
            </w:pPr>
            <w:r>
              <w:rPr>
                <w:rFonts w:ascii="Arial" w:cs="Arial" w:eastAsia="Arial" w:hAnsi="Arial"/>
                <w:sz w:val="14"/>
                <w:szCs w:val="14"/>
                <w:b w:val="1"/>
                <w:bCs w:val="1"/>
                <w:color w:val="auto"/>
              </w:rPr>
              <w:t>Less Than 3</w:t>
            </w:r>
          </w:p>
        </w:tc>
        <w:tc>
          <w:tcPr>
            <w:tcW w:w="86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Less Than 5</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bottom w:val="single" w:sz="8" w:color="CCEEFF"/>
            </w:tcBorders>
            <w:shd w:val="clear" w:color="auto" w:fill="000000"/>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74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Operating lease obligation(1)</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98"/>
              </w:rPr>
              <w:t>3,437</w:t>
            </w: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706</w:t>
            </w:r>
          </w:p>
        </w:tc>
        <w:tc>
          <w:tcPr>
            <w:tcW w:w="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1,569</w:t>
            </w: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1,162</w:t>
            </w: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ind w:left="440"/>
              <w:spacing w:after="0" w:line="183" w:lineRule="exact"/>
              <w:rPr>
                <w:sz w:val="20"/>
                <w:szCs w:val="20"/>
                <w:color w:val="auto"/>
              </w:rPr>
            </w:pPr>
            <w:r>
              <w:rPr>
                <w:rFonts w:ascii="Arial" w:cs="Arial" w:eastAsia="Arial" w:hAnsi="Arial"/>
                <w:sz w:val="17"/>
                <w:szCs w:val="17"/>
                <w:color w:val="auto"/>
                <w:w w:val="93"/>
              </w:rPr>
              <w:t>—</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7"/>
                <w:szCs w:val="17"/>
                <w:color w:val="auto"/>
              </w:rPr>
              <w:t>Minimum license obligations(2)</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375</w:t>
            </w:r>
          </w:p>
        </w:tc>
        <w:tc>
          <w:tcPr>
            <w:tcW w:w="740" w:type="dxa"/>
            <w:vAlign w:val="bottom"/>
            <w:gridSpan w:val="2"/>
          </w:tcPr>
          <w:p>
            <w:pPr>
              <w:jc w:val="right"/>
              <w:ind w:right="24"/>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75</w:t>
            </w:r>
          </w:p>
        </w:tc>
        <w:tc>
          <w:tcPr>
            <w:tcW w:w="78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150</w:t>
            </w:r>
          </w:p>
        </w:tc>
        <w:tc>
          <w:tcPr>
            <w:tcW w:w="500" w:type="dxa"/>
            <w:vAlign w:val="bottom"/>
          </w:tcPr>
          <w:p>
            <w:pPr>
              <w:spacing w:after="0"/>
              <w:rPr>
                <w:sz w:val="17"/>
                <w:szCs w:val="17"/>
                <w:color w:val="auto"/>
              </w:rPr>
            </w:pPr>
          </w:p>
        </w:tc>
        <w:tc>
          <w:tcPr>
            <w:tcW w:w="28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150</w:t>
            </w:r>
          </w:p>
        </w:tc>
        <w:tc>
          <w:tcPr>
            <w:tcW w:w="640" w:type="dxa"/>
            <w:vAlign w:val="bottom"/>
            <w:gridSpan w:val="2"/>
          </w:tcPr>
          <w:p>
            <w:pPr>
              <w:ind w:left="540"/>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Sponsored research agreements(3)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3,088</w:t>
            </w:r>
          </w:p>
        </w:tc>
        <w:tc>
          <w:tcPr>
            <w:tcW w:w="740" w:type="dxa"/>
            <w:vAlign w:val="bottom"/>
            <w:gridSpan w:val="2"/>
            <w:shd w:val="clear" w:color="auto" w:fill="CCEEFF"/>
          </w:tcPr>
          <w:p>
            <w:pPr>
              <w:jc w:val="right"/>
              <w:ind w:right="24"/>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1,338</w:t>
            </w:r>
          </w:p>
        </w:tc>
        <w:tc>
          <w:tcPr>
            <w:tcW w:w="78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1,750</w:t>
            </w:r>
          </w:p>
        </w:tc>
        <w:tc>
          <w:tcPr>
            <w:tcW w:w="5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7"/>
                <w:szCs w:val="17"/>
                <w:color w:val="auto"/>
              </w:rPr>
              <w:t>Long-term debt(4)</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258</w:t>
            </w:r>
          </w:p>
        </w:tc>
        <w:tc>
          <w:tcPr>
            <w:tcW w:w="740" w:type="dxa"/>
            <w:vAlign w:val="bottom"/>
            <w:gridSpan w:val="2"/>
          </w:tcPr>
          <w:p>
            <w:pPr>
              <w:jc w:val="right"/>
              <w:ind w:right="24"/>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165</w:t>
            </w:r>
          </w:p>
        </w:tc>
        <w:tc>
          <w:tcPr>
            <w:tcW w:w="78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93</w:t>
            </w:r>
          </w:p>
        </w:tc>
        <w:tc>
          <w:tcPr>
            <w:tcW w:w="500" w:type="dxa"/>
            <w:vAlign w:val="bottom"/>
          </w:tcPr>
          <w:p>
            <w:pPr>
              <w:spacing w:after="0"/>
              <w:rPr>
                <w:sz w:val="18"/>
                <w:szCs w:val="18"/>
                <w:color w:val="auto"/>
              </w:rPr>
            </w:pPr>
          </w:p>
        </w:tc>
        <w:tc>
          <w:tcPr>
            <w:tcW w:w="28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tcPr>
          <w:p>
            <w:pPr>
              <w:ind w:left="540"/>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74930</wp:posOffset>
            </wp:positionV>
            <wp:extent cx="6743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4370" cy="8255"/>
                    </a:xfrm>
                    <a:prstGeom prst="rect">
                      <a:avLst/>
                    </a:prstGeom>
                    <a:noFill/>
                  </pic:spPr>
                </pic:pic>
              </a:graphicData>
            </a:graphic>
          </wp:anchor>
        </w:drawing>
      </w:r>
    </w:p>
    <w:p>
      <w:pPr>
        <w:spacing w:after="0" w:line="149" w:lineRule="exact"/>
        <w:rPr>
          <w:sz w:val="20"/>
          <w:szCs w:val="20"/>
          <w:color w:val="auto"/>
        </w:rPr>
      </w:pPr>
    </w:p>
    <w:p>
      <w:pPr>
        <w:ind w:left="880" w:right="380" w:hanging="515"/>
        <w:spacing w:after="0" w:line="241" w:lineRule="auto"/>
        <w:tabs>
          <w:tab w:leader="none" w:pos="8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Represents future minimum lease payments under our operating leases and equipment for office and lab space in New Haven, Connecticut that expire in February 2022 and December 2022.</w:t>
      </w:r>
    </w:p>
    <w:p>
      <w:pPr>
        <w:ind w:left="880" w:right="120" w:hanging="515"/>
        <w:spacing w:after="0" w:line="245" w:lineRule="auto"/>
        <w:tabs>
          <w:tab w:leader="none" w:pos="8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Represents minimum annual license fee under our license agreement with Yale University. The license agreement requires annual payments of $75,000 until the first sale to a third party of any licensed product, as defined in the agreement. Management cannot estimate if or when there may be a sale of a licensed product. These amounts do not include any potential contingent payments upon the achievement by us of specified clinical, regulatory and commercial events, as applicable, or patent prosecution or royalty payments we may be required to make. We have</w:t>
      </w:r>
    </w:p>
    <w:p>
      <w:pPr>
        <w:spacing w:after="0" w:line="130"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060"/>
          </w:cols>
          <w:pgMar w:left="240" w:top="450" w:right="599" w:bottom="1440" w:gutter="0" w:footer="0" w:header="0"/>
        </w:sectPr>
      </w:pPr>
    </w:p>
    <w:bookmarkStart w:id="87" w:name="page88"/>
    <w:bookmarkEnd w:id="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880" w:right="380"/>
        <w:spacing w:after="0" w:line="241" w:lineRule="auto"/>
        <w:rPr>
          <w:sz w:val="20"/>
          <w:szCs w:val="20"/>
          <w:color w:val="auto"/>
        </w:rPr>
      </w:pPr>
      <w:r>
        <w:rPr>
          <w:rFonts w:ascii="Arial" w:cs="Arial" w:eastAsia="Arial" w:hAnsi="Arial"/>
          <w:sz w:val="17"/>
          <w:szCs w:val="17"/>
          <w:color w:val="auto"/>
        </w:rPr>
        <w:t>excluded these potential payments in the contractual obligations table because the timing and likelihood of these contingent payments are not currently known and would be difficult to predict or estimate. See “Business—Licenses and Strategic Collaborations” for additional information about the license agreement, including with respect to potential payments thereunder.</w:t>
      </w:r>
    </w:p>
    <w:p>
      <w:pPr>
        <w:spacing w:after="0" w:line="1" w:lineRule="exact"/>
        <w:rPr>
          <w:sz w:val="20"/>
          <w:szCs w:val="20"/>
          <w:color w:val="auto"/>
        </w:rPr>
      </w:pPr>
    </w:p>
    <w:p>
      <w:pPr>
        <w:ind w:left="880" w:hanging="515"/>
        <w:spacing w:after="0"/>
        <w:tabs>
          <w:tab w:leader="none" w:pos="8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Represents payments due under research agreements based on expected completion date of research activities.</w:t>
      </w:r>
    </w:p>
    <w:p>
      <w:pPr>
        <w:spacing w:after="0" w:line="1" w:lineRule="exact"/>
        <w:rPr>
          <w:rFonts w:ascii="Arial" w:cs="Arial" w:eastAsia="Arial" w:hAnsi="Arial"/>
          <w:sz w:val="17"/>
          <w:szCs w:val="17"/>
          <w:color w:val="auto"/>
        </w:rPr>
      </w:pPr>
    </w:p>
    <w:p>
      <w:pPr>
        <w:ind w:left="880" w:right="60" w:hanging="515"/>
        <w:spacing w:after="0" w:line="259" w:lineRule="auto"/>
        <w:tabs>
          <w:tab w:leader="none" w:pos="8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See Note 8 to the consolidated audited financial statements as of and for the years ended December 31, 2017 and 2016 appearing at the end of this prospectus.</w:t>
      </w:r>
    </w:p>
    <w:p>
      <w:pPr>
        <w:spacing w:after="0" w:line="181" w:lineRule="exact"/>
        <w:rPr>
          <w:sz w:val="20"/>
          <w:szCs w:val="20"/>
          <w:color w:val="auto"/>
        </w:rPr>
      </w:pPr>
    </w:p>
    <w:p>
      <w:pPr>
        <w:jc w:val="both"/>
        <w:ind w:left="360" w:right="60" w:firstLine="535"/>
        <w:spacing w:after="0" w:line="241" w:lineRule="auto"/>
        <w:rPr>
          <w:sz w:val="20"/>
          <w:szCs w:val="20"/>
          <w:color w:val="auto"/>
        </w:rPr>
      </w:pPr>
      <w:r>
        <w:rPr>
          <w:rFonts w:ascii="Arial" w:cs="Arial" w:eastAsia="Arial" w:hAnsi="Arial"/>
          <w:sz w:val="17"/>
          <w:szCs w:val="17"/>
          <w:color w:val="auto"/>
        </w:rPr>
        <w:t>In August 2013, we entered into a Loan Agreement, or Loan, with Connecticut Innovations, Inc., or CII, the strategic venture capital arm and a component unit of the State of Connecticut. Under the Loan, we borrowed $750,000 for the purchase of laboratory equipment, information technology equipment and leasehold improvements. Interest on the Loan is compounded on a monthly basis at a rate of</w:t>
      </w:r>
    </w:p>
    <w:p>
      <w:pPr>
        <w:spacing w:after="0" w:line="1" w:lineRule="exact"/>
        <w:rPr>
          <w:sz w:val="20"/>
          <w:szCs w:val="20"/>
          <w:color w:val="auto"/>
        </w:rPr>
      </w:pPr>
    </w:p>
    <w:p>
      <w:pPr>
        <w:ind w:left="360" w:right="80"/>
        <w:spacing w:after="0" w:line="245" w:lineRule="auto"/>
        <w:rPr>
          <w:sz w:val="20"/>
          <w:szCs w:val="20"/>
          <w:color w:val="auto"/>
        </w:rPr>
      </w:pPr>
      <w:r>
        <w:rPr>
          <w:rFonts w:ascii="Arial" w:cs="Arial" w:eastAsia="Arial" w:hAnsi="Arial"/>
          <w:sz w:val="17"/>
          <w:szCs w:val="17"/>
          <w:color w:val="auto"/>
        </w:rPr>
        <w:t>7.50% per annum. The Loan provided for monthly, interest-only payments for ten months. Beginning on June 1, 2015 we were required to make monthly principal and interest payments through July 31, 2019. We can prepay the amount due at any time without premium or penalty. The Loan is secured by substantially all of our assets. The amount outstanding under the Loan was $0.3 million as of December 31, 2017 and $0.5 million as of December 31, 2016. In connection with the issuance of the Loan, we granted CII a warrant to purchase 110,116 of our series A preferred units at a purchase price of $0.6811 per unit, with a seven-year term from the date of issuance. The warrant was exercised in July 2018.</w:t>
      </w:r>
    </w:p>
    <w:p>
      <w:pPr>
        <w:spacing w:after="0" w:line="192" w:lineRule="exact"/>
        <w:rPr>
          <w:sz w:val="20"/>
          <w:szCs w:val="20"/>
          <w:color w:val="auto"/>
        </w:rPr>
      </w:pPr>
    </w:p>
    <w:p>
      <w:pPr>
        <w:ind w:left="360" w:right="60" w:firstLine="535"/>
        <w:spacing w:after="0" w:line="243" w:lineRule="auto"/>
        <w:rPr>
          <w:sz w:val="20"/>
          <w:szCs w:val="20"/>
          <w:color w:val="auto"/>
        </w:rPr>
      </w:pPr>
      <w:r>
        <w:rPr>
          <w:rFonts w:ascii="Arial" w:cs="Arial" w:eastAsia="Arial" w:hAnsi="Arial"/>
          <w:sz w:val="17"/>
          <w:szCs w:val="17"/>
          <w:color w:val="auto"/>
        </w:rPr>
        <w:t>In January 2014, we entered into an Assistance Agreement with the State of Connecticut, or the 2014 Assistance Agreement. Under the terms of the 2014 Assistance Agreement, we borrowed $2.5 million. Borrowings under the 2014 Assistance Agreement are forgivable if we maintain a minimum number of full time jobs in the State of Connecticut for a minimum period at a minimum annual salary. Borrowings under the 2014 Assistance Agreement bear an interest rate of 1.00% per annum and interest payments are required on a monthly basis for 60 months. Thereafter, the note begins to fully amortize through month 120, maturing in February 2024. As of June 30, 2018, the full principal amount under the 2014 Assistance Agreement has been forgiven. While borrowings under the 2014 Assistance Agreement have been forgiven, we remain subject to an ongoing covenant to be located in the State of Connecticut through January 2024. Upon violation of this covenant we would be required to repay the full original funding amount of $2.5 million plus liquidated damages of 7.50%.</w:t>
      </w:r>
    </w:p>
    <w:p>
      <w:pPr>
        <w:spacing w:after="0" w:line="396" w:lineRule="exact"/>
        <w:rPr>
          <w:sz w:val="20"/>
          <w:szCs w:val="20"/>
          <w:color w:val="auto"/>
        </w:rPr>
      </w:pPr>
    </w:p>
    <w:p>
      <w:pPr>
        <w:ind w:left="360" w:firstLine="535"/>
        <w:spacing w:after="0" w:line="243" w:lineRule="auto"/>
        <w:rPr>
          <w:sz w:val="20"/>
          <w:szCs w:val="20"/>
          <w:color w:val="auto"/>
        </w:rPr>
      </w:pPr>
      <w:r>
        <w:rPr>
          <w:rFonts w:ascii="Arial" w:cs="Arial" w:eastAsia="Arial" w:hAnsi="Arial"/>
          <w:sz w:val="17"/>
          <w:szCs w:val="17"/>
          <w:color w:val="auto"/>
        </w:rPr>
        <w:t>In June 2018, we entered into an additional Assistance Agreement with the State of Connecticut, or the 2018 Assistance Agreement, to provide funding for the expansion and renovation of laboratory and office space. Under the terms of the 2018 Assistance Agreement, we can borrow from the State of Connecticut a maximum of $ 2.0 million, provided that the funding does not exceed more than 50% of the total costs of the expansion and renovation. Borrowings under the 2018 Assistance Agreement bear an interest rate of 3.25% per annum and interest payments will be required for the first 60 months from the funding date. Thereafter, the loan begins to fully amortize through month 120, maturing in June 2028. Up to $1.0 million of the funding can be forgiven if we meet certain employment conditions. We may be required to prepay a portion of the loan if the employment conditions are not met. The 2018 Assistance Agreement requires that we be located in the State of Connecticut through June 2028 with a default penalty of repayment of the full original funding amount of $2.0 million plus liquidated damages of 7.5% of the total amount of funding received. There were no outstanding amounts under the 2018 Assistance Agreement as of June 30, 2018. We borrowed the full $2.0 million under the 2018 Assistance Agreement on September 13, 2018.</w:t>
      </w:r>
    </w:p>
    <w:p>
      <w:pPr>
        <w:spacing w:after="0" w:line="394" w:lineRule="exact"/>
        <w:rPr>
          <w:sz w:val="20"/>
          <w:szCs w:val="20"/>
          <w:color w:val="auto"/>
        </w:rPr>
      </w:pPr>
    </w:p>
    <w:p>
      <w:pPr>
        <w:ind w:left="360" w:right="20" w:firstLine="535"/>
        <w:spacing w:after="0" w:line="250" w:lineRule="auto"/>
        <w:rPr>
          <w:sz w:val="20"/>
          <w:szCs w:val="20"/>
          <w:color w:val="auto"/>
        </w:rPr>
      </w:pPr>
      <w:r>
        <w:rPr>
          <w:rFonts w:ascii="Arial" w:cs="Arial" w:eastAsia="Arial" w:hAnsi="Arial"/>
          <w:sz w:val="17"/>
          <w:szCs w:val="17"/>
          <w:color w:val="auto"/>
        </w:rPr>
        <w:t>Pursuant to our license agreement with Yale, we are required to pay Yale, subject to the achievement of specified development and regulatory milestones, payments aggregating up to approximately $3.0 million for the first licensed product and up to approximately $1.5 million for the</w:t>
      </w:r>
    </w:p>
    <w:p>
      <w:pPr>
        <w:spacing w:after="0" w:line="12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060"/>
          </w:cols>
          <w:pgMar w:left="240" w:top="449" w:right="599" w:bottom="1440" w:gutter="0" w:footer="0" w:header="0"/>
        </w:sectPr>
      </w:pPr>
    </w:p>
    <w:bookmarkStart w:id="88" w:name="page89"/>
    <w:bookmarkEnd w:id="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80"/>
        <w:spacing w:after="0" w:line="250" w:lineRule="auto"/>
        <w:rPr>
          <w:sz w:val="20"/>
          <w:szCs w:val="20"/>
          <w:color w:val="auto"/>
        </w:rPr>
      </w:pPr>
      <w:r>
        <w:rPr>
          <w:rFonts w:ascii="Arial" w:cs="Arial" w:eastAsia="Arial" w:hAnsi="Arial"/>
          <w:sz w:val="17"/>
          <w:szCs w:val="17"/>
          <w:color w:val="auto"/>
        </w:rPr>
        <w:t>second licensed product. We are not required to make any milestone payments for any licensed products beyond the first two. While the agreement remains in effect, we are required to pay Yale low-single digit royalties on aggregate worldwide net sales of certain licensed products, which may be subject to reductions.</w:t>
      </w:r>
    </w:p>
    <w:p>
      <w:pPr>
        <w:spacing w:after="0" w:line="27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Off-Balance Sheet Arrangements</w:t>
      </w: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We have not entered into any off-balance sheet arrangements and do not have any holdings in variable interest entities.</w:t>
      </w:r>
    </w:p>
    <w:p>
      <w:pPr>
        <w:spacing w:after="0" w:line="294" w:lineRule="exact"/>
        <w:rPr>
          <w:sz w:val="20"/>
          <w:szCs w:val="20"/>
          <w:color w:val="auto"/>
        </w:rPr>
      </w:pPr>
    </w:p>
    <w:p>
      <w:pPr>
        <w:ind w:left="3260"/>
        <w:spacing w:after="0"/>
        <w:rPr>
          <w:sz w:val="20"/>
          <w:szCs w:val="20"/>
          <w:color w:val="auto"/>
        </w:rPr>
      </w:pPr>
      <w:r>
        <w:rPr>
          <w:rFonts w:ascii="Arial" w:cs="Arial" w:eastAsia="Arial" w:hAnsi="Arial"/>
          <w:sz w:val="17"/>
          <w:szCs w:val="17"/>
          <w:b w:val="1"/>
          <w:bCs w:val="1"/>
          <w:color w:val="auto"/>
        </w:rPr>
        <w:t>Quantitative and Qualitative Disclosures about Market Risk</w:t>
      </w:r>
    </w:p>
    <w:p>
      <w:pPr>
        <w:spacing w:after="0" w:line="233"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We are exposed to market risks in the ordinary course of our business. These risks primarily include interest rate sensitivities. Our</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interest-earning assets consist of cash, cash equivalents, and marketable securities. Interest income earned on these assets was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$201,000 in 2017 and $428,000 in 2016. Our interest income is sensitive to changes in the general level of interest rates, primarily U.S.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interest rates. At December 31, 2017, our cash equivalents consisted of bank deposits and money market funds, and our marketable</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securities included interest-earning securities. Such interest-earning instruments carry a degree of interest rate risk; however, historical</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fluctuations in interest income have not been significant for us. Our outstanding debt was $343,500 as of December 31, 2017 and</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$504,863 as of December 31, 2016 and carries a fixed interest rate of 7.50% per annum.</w:t>
      </w:r>
    </w:p>
    <w:p>
      <w:pPr>
        <w:spacing w:after="0" w:line="294" w:lineRule="exact"/>
        <w:rPr>
          <w:sz w:val="20"/>
          <w:szCs w:val="20"/>
          <w:color w:val="auto"/>
        </w:rPr>
      </w:pPr>
    </w:p>
    <w:p>
      <w:pPr>
        <w:ind w:left="4260"/>
        <w:spacing w:after="0"/>
        <w:rPr>
          <w:sz w:val="20"/>
          <w:szCs w:val="20"/>
          <w:color w:val="auto"/>
        </w:rPr>
      </w:pPr>
      <w:r>
        <w:rPr>
          <w:rFonts w:ascii="Arial" w:cs="Arial" w:eastAsia="Arial" w:hAnsi="Arial"/>
          <w:sz w:val="17"/>
          <w:szCs w:val="17"/>
          <w:b w:val="1"/>
          <w:bCs w:val="1"/>
          <w:color w:val="auto"/>
        </w:rPr>
        <w:t>Emerging Growth Company Status</w:t>
      </w:r>
    </w:p>
    <w:p>
      <w:pPr>
        <w:spacing w:after="0" w:line="233" w:lineRule="exact"/>
        <w:rPr>
          <w:sz w:val="20"/>
          <w:szCs w:val="20"/>
          <w:color w:val="auto"/>
        </w:rPr>
      </w:pPr>
    </w:p>
    <w:p>
      <w:pPr>
        <w:ind w:left="360" w:firstLine="535"/>
        <w:spacing w:after="0" w:line="245" w:lineRule="auto"/>
        <w:rPr>
          <w:sz w:val="20"/>
          <w:szCs w:val="20"/>
          <w:color w:val="auto"/>
        </w:rPr>
      </w:pPr>
      <w:r>
        <w:rPr>
          <w:rFonts w:ascii="Arial" w:cs="Arial" w:eastAsia="Arial" w:hAnsi="Arial"/>
          <w:sz w:val="17"/>
          <w:szCs w:val="17"/>
          <w:color w:val="auto"/>
        </w:rPr>
        <w:t>As an “emerging growth company,” the Jumpstart Our Business Startups Act of 2012 allows us to delay adoption of new or revised accounting standards applicable to public companies until such standards are made applicable to private companies. However, we have irrevocably elected not to avail ourselves of this extended transition period for complying with new or revised accounting standards and, therefore, we will be subject to the same new or revised accounting standards as other public companies that are not emerging growth companies.</w:t>
      </w:r>
    </w:p>
    <w:p>
      <w:pPr>
        <w:spacing w:after="0" w:line="13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0960"/>
          </w:cols>
          <w:pgMar w:left="240" w:top="449" w:right="699" w:bottom="1440" w:gutter="0" w:footer="0" w:header="0"/>
        </w:sectPr>
      </w:pPr>
    </w:p>
    <w:bookmarkStart w:id="89" w:name="page90"/>
    <w:bookmarkEnd w:id="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BUSINESS</w:t>
      </w:r>
    </w:p>
    <w:p>
      <w:pPr>
        <w:spacing w:after="0" w:line="316"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Overview</w:t>
      </w:r>
    </w:p>
    <w:p>
      <w:pPr>
        <w:spacing w:after="0" w:line="233" w:lineRule="exact"/>
        <w:rPr>
          <w:sz w:val="20"/>
          <w:szCs w:val="20"/>
          <w:color w:val="auto"/>
        </w:rPr>
      </w:pPr>
    </w:p>
    <w:p>
      <w:pPr>
        <w:ind w:left="360" w:firstLine="535"/>
        <w:spacing w:after="0" w:line="243" w:lineRule="auto"/>
        <w:rPr>
          <w:sz w:val="20"/>
          <w:szCs w:val="20"/>
          <w:color w:val="auto"/>
        </w:rPr>
      </w:pPr>
      <w:r>
        <w:rPr>
          <w:rFonts w:ascii="Arial" w:cs="Arial" w:eastAsia="Arial" w:hAnsi="Arial"/>
          <w:sz w:val="17"/>
          <w:szCs w:val="17"/>
          <w:color w:val="auto"/>
        </w:rPr>
        <w:t>We are a biopharmaceutical company dedicated to improving the lives of patients suffering from debilitating and life-threatening diseases through the discovery, development and commercialization of therapies to degrade disease-causing proteins. We use our proprietary technology platform to engineer proteolysis targeting chimeras, or PROTACs, that are designed to harness the body’s own natural protein disposal system to selectively and efficiently degrade and remove disease-causing proteins. We believe that our targeted protein degradation approach is a new therapeutic modality that may provide distinct advantages over existing modalities, including traditional small molecule therapies and gene-based medicines. Our small molecule PROTAC technology has the potential to address a broad range of intracellular disease targets, including those representing the up to 80% of proteins that cannot be addressed by existing small molecule therapies, commonly referred to as undruggable targets. We are using our PROTAC platform to build an extensive pipeline of protein degradation product candidates to target diseases in a wide range of organ systems and tissues. We are preparing to advance our lead product candidates, ARV-110 and ARV-471, into Phase 1 clinical trials. We expect to initiate a Phase 1 clinical trial for ARV-110 in men with metastatic castration-resistant prostate cancer, or mCRPC, in the first quarter of 2019 and a Phase 1 clinical trial for ARV-471 in women with metastatic ER positive / HER2 negative breast cancer, or ER+ breast cancer, in mid-2019.</w:t>
      </w:r>
    </w:p>
    <w:p>
      <w:pPr>
        <w:spacing w:after="0" w:line="194" w:lineRule="exact"/>
        <w:rPr>
          <w:sz w:val="20"/>
          <w:szCs w:val="20"/>
          <w:color w:val="auto"/>
        </w:rPr>
      </w:pPr>
    </w:p>
    <w:p>
      <w:pPr>
        <w:ind w:left="360" w:right="120" w:firstLine="535"/>
        <w:spacing w:after="0" w:line="243" w:lineRule="auto"/>
        <w:rPr>
          <w:sz w:val="20"/>
          <w:szCs w:val="20"/>
          <w:color w:val="auto"/>
        </w:rPr>
      </w:pPr>
      <w:r>
        <w:rPr>
          <w:rFonts w:ascii="Arial" w:cs="Arial" w:eastAsia="Arial" w:hAnsi="Arial"/>
          <w:sz w:val="17"/>
          <w:szCs w:val="17"/>
          <w:color w:val="auto"/>
        </w:rPr>
        <w:t>We have designed and optimized our proprietary platform for the discovery of PROTAC therapeutics to address diseases caused by abnormal proteins or aberrant protein expression. We engineer our PROTACs to tag a target protein for degradation through the ubiquitin proteasome system, one of the cell’s natural protein disposal systems, and then to iteratively degrade additional target protein molecules. Our experienced scientific team has developed our PROTAC platform, including a proprietary synthetic PROTAC matrix, to rapidly identify and optimize efficient protein degraders with tunable properties relating to potency, selectivity and method of delivery. We have combined the potential of our PROTAC technology with our specialized knowledge to obtain encouraging preclinical results, successfully degrading more than 90% of all proteins that we have targeted. We have developed PROTACs that are capable of being delivered through multiple routes of administration, including oral delivery, as well as PROTACs that are able to penetrate the blood brain barrier.</w:t>
      </w:r>
    </w:p>
    <w:p>
      <w:pPr>
        <w:spacing w:after="0" w:line="396" w:lineRule="exact"/>
        <w:rPr>
          <w:sz w:val="20"/>
          <w:szCs w:val="20"/>
          <w:color w:val="auto"/>
        </w:rPr>
      </w:pPr>
    </w:p>
    <w:p>
      <w:pPr>
        <w:ind w:left="360" w:right="40" w:firstLine="535"/>
        <w:spacing w:after="0" w:line="243" w:lineRule="auto"/>
        <w:rPr>
          <w:sz w:val="20"/>
          <w:szCs w:val="20"/>
          <w:color w:val="auto"/>
        </w:rPr>
      </w:pPr>
      <w:r>
        <w:rPr>
          <w:rFonts w:ascii="Arial" w:cs="Arial" w:eastAsia="Arial" w:hAnsi="Arial"/>
          <w:sz w:val="17"/>
          <w:szCs w:val="17"/>
          <w:color w:val="auto"/>
        </w:rPr>
        <w:t>Our two lead product candidates are ARV-110 and ARV-471. We are developing ARV-110, a PROTAC targeting the androgen receptor protein, or AR, for the treatment of men with mCRPC. We expect to submit an investigational new drug application, or IND, to the U.S. Food and Drug Administration, or FDA, for ARV-110 in the second half of 2018, initiate a Phase 1 trial in the first quarter of 2019 and receive preliminary clinical data in the second half of 2019. This Phase 1 trial will assess the safety, tolerability and pharmacokinetics of ARV-110 and also include measures of anti-tumor activity as secondary endpoints, including reduction in prostate specific antigen, or PSA, a well-recognized biomarker of prostate cancer progression. We are developing ARV-471, a PROTAC targeting the estrogen receptor protein, or ER, for the treatment of women with metastatic ER+ breast cancer. We expect to submit an IND to the FDA for ARV-471 in the first half of 2019, initiate a Phase 1 trial in mid-2019 and receive preliminary clinical data in 2020. This Phase 1 trial will assess the safety, tolerability and pharmacokinetics of ARV-471 and also include measures of anti-tumor activity as secondary endpoints. In our preclinical studies, these lead product candidates have demonstrated potent and selective protein degradation. We believe favorable clinical trial results in these initial oncology programs would provide validation of our platform as a new therapeutic modality for the potential treatment of diseases caused by dysregulated intracellular proteins regardless of therapeutic area.</w:t>
      </w:r>
    </w:p>
    <w:p>
      <w:pPr>
        <w:spacing w:after="0" w:line="129"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1040"/>
          </w:cols>
          <w:pgMar w:left="240" w:top="449" w:right="619" w:bottom="1440" w:gutter="0" w:footer="0" w:header="0"/>
        </w:sectPr>
      </w:pPr>
    </w:p>
    <w:bookmarkStart w:id="90" w:name="page91"/>
    <w:bookmarkEnd w:id="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140" w:firstLine="535"/>
        <w:spacing w:after="0" w:line="245" w:lineRule="auto"/>
        <w:rPr>
          <w:sz w:val="20"/>
          <w:szCs w:val="20"/>
          <w:color w:val="auto"/>
        </w:rPr>
      </w:pPr>
      <w:r>
        <w:rPr>
          <w:rFonts w:ascii="Arial" w:cs="Arial" w:eastAsia="Arial" w:hAnsi="Arial"/>
          <w:sz w:val="17"/>
          <w:szCs w:val="17"/>
          <w:color w:val="auto"/>
        </w:rPr>
        <w:t>In addition to our lead product candidates, we are expanding our pipeline by utilizing our platform to potentially address currently undruggable targets. Unlike existing small molecule inhibitor therapies, our PROTACs can degrade proteins using any available binding site, including low-affinity active binding sites or non-functional binding sites, bringing biological utility to ligands that would otherwise be ineffective. While some gene-based medicines are also seeking to address undruggable targets, our PROTACs confer the advantages of traditional small molecule therapies, such as broad tissue distribution, multiple routes of administration, including oral delivery, a well-established development pathway and relative ease of manufacturing.</w:t>
      </w:r>
    </w:p>
    <w:p>
      <w:pPr>
        <w:spacing w:after="0" w:line="192" w:lineRule="exact"/>
        <w:rPr>
          <w:sz w:val="20"/>
          <w:szCs w:val="20"/>
          <w:color w:val="auto"/>
        </w:rPr>
      </w:pPr>
    </w:p>
    <w:p>
      <w:pPr>
        <w:ind w:left="360" w:firstLine="535"/>
        <w:spacing w:after="0" w:line="244" w:lineRule="auto"/>
        <w:rPr>
          <w:sz w:val="20"/>
          <w:szCs w:val="20"/>
          <w:color w:val="auto"/>
        </w:rPr>
      </w:pPr>
      <w:r>
        <w:rPr>
          <w:rFonts w:ascii="Arial" w:cs="Arial" w:eastAsia="Arial" w:hAnsi="Arial"/>
          <w:sz w:val="17"/>
          <w:szCs w:val="17"/>
          <w:color w:val="auto"/>
        </w:rPr>
        <w:t>We are further diversifying our pipeline by developing new PROTACs against targets for which we believe protein degradation offers advantages to existing therapeutic modalities. For example, we are pursuing targets for the treatment of neurodegenerative diseases, including tauopathies, which are diseases associated with an aggregation of tau proteins in the brain, such as Alzheimer’s Disease. We have engineered PROTACs that, in preclinical studies, have successfully achieved blood brain barrier penetration, a key step in developing drugs with the potential to treat neurodegenerative targets. We believe there are many other indications for which our PROTAC technology may be advantageous. In an effort to realize the full potential of our PROTAC platform, our ongoing strategic collaborations with Pfizer Inc., or Pfizer, and Genentech, Inc. and F. Hoffman-La Roche Ltd, collectively referred to as Genentech, address targets across multiple therapeutic areas.</w:t>
      </w:r>
    </w:p>
    <w:p>
      <w:pPr>
        <w:spacing w:after="0" w:line="392" w:lineRule="exact"/>
        <w:rPr>
          <w:sz w:val="20"/>
          <w:szCs w:val="20"/>
          <w:color w:val="auto"/>
        </w:rPr>
      </w:pPr>
    </w:p>
    <w:p>
      <w:pPr>
        <w:ind w:left="360" w:right="140" w:firstLine="535"/>
        <w:spacing w:after="0" w:line="244" w:lineRule="auto"/>
        <w:rPr>
          <w:sz w:val="20"/>
          <w:szCs w:val="20"/>
          <w:color w:val="auto"/>
        </w:rPr>
      </w:pPr>
      <w:r>
        <w:rPr>
          <w:rFonts w:ascii="Arial" w:cs="Arial" w:eastAsia="Arial" w:hAnsi="Arial"/>
          <w:sz w:val="17"/>
          <w:szCs w:val="17"/>
          <w:color w:val="auto"/>
        </w:rPr>
        <w:t>We have been a leader in the field of directed protein degradation using chimeric small molecules since our founding in 2013. Our PROTAC technology platform has its origins in work performed at Yale University, or Yale, by our scientific founder and Chief Scientific Advisor, Professor Craig Crews, a leading researcher in the field of protein degradation. We have assembled a scientific team with extensive know-how and translational medicine expertise to develop PROTACs with features not previously disclosed in published third-party studies. Our management team draws on extensive experience in all phases of drug discovery and development gained at large pharmaceutical and biotechnology companies to continue to advance our product pipeline and expand the capabilities of our platform. Additionally, Professor Crews continues to provide important scientific guidance and insights to us through ongoing research, consulting and advisory arrangements.</w:t>
      </w:r>
    </w:p>
    <w:p>
      <w:pPr>
        <w:spacing w:after="0" w:line="276"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Our Strategy</w:t>
      </w:r>
    </w:p>
    <w:p>
      <w:pPr>
        <w:spacing w:after="0" w:line="233" w:lineRule="exact"/>
        <w:rPr>
          <w:sz w:val="20"/>
          <w:szCs w:val="20"/>
          <w:color w:val="auto"/>
        </w:rPr>
      </w:pPr>
    </w:p>
    <w:p>
      <w:pPr>
        <w:ind w:left="360" w:right="240" w:firstLine="535"/>
        <w:spacing w:after="0" w:line="247" w:lineRule="auto"/>
        <w:rPr>
          <w:sz w:val="20"/>
          <w:szCs w:val="20"/>
          <w:color w:val="auto"/>
        </w:rPr>
      </w:pPr>
      <w:r>
        <w:rPr>
          <w:rFonts w:ascii="Arial" w:cs="Arial" w:eastAsia="Arial" w:hAnsi="Arial"/>
          <w:sz w:val="17"/>
          <w:szCs w:val="17"/>
          <w:color w:val="auto"/>
        </w:rPr>
        <w:t>Our goal is to improve the lives of patients suffering from debilitating and life-threatening diseases through the discovery, development and commercialization of therapies to degrade disease-causing proteins. We believe that our targeted protein degradation approach using our proprietary PROTAC technology is a new therapeutic modality with the potential to provide distinct advantages over existing modalities and to address a broad range of targets, including undruggable targets. The key elements of our strategy are to:</w:t>
      </w:r>
    </w:p>
    <w:p>
      <w:pPr>
        <w:spacing w:after="0" w:line="78" w:lineRule="exact"/>
        <w:rPr>
          <w:sz w:val="20"/>
          <w:szCs w:val="20"/>
          <w:color w:val="auto"/>
        </w:rPr>
      </w:pPr>
    </w:p>
    <w:p>
      <w:pPr>
        <w:ind w:left="1100" w:right="100" w:hanging="210"/>
        <w:spacing w:after="0" w:line="250" w:lineRule="auto"/>
        <w:tabs>
          <w:tab w:leader="none" w:pos="1100" w:val="left"/>
        </w:tabs>
        <w:numPr>
          <w:ilvl w:val="0"/>
          <w:numId w:val="64"/>
        </w:numPr>
        <w:rPr>
          <w:rFonts w:ascii="Arial" w:cs="Arial" w:eastAsia="Arial" w:hAnsi="Arial"/>
          <w:sz w:val="17"/>
          <w:szCs w:val="17"/>
          <w:color w:val="auto"/>
        </w:rPr>
      </w:pPr>
      <w:r>
        <w:rPr>
          <w:rFonts w:ascii="Arial" w:cs="Arial" w:eastAsia="Arial" w:hAnsi="Arial"/>
          <w:sz w:val="17"/>
          <w:szCs w:val="17"/>
          <w:b w:val="1"/>
          <w:bCs w:val="1"/>
          <w:color w:val="auto"/>
        </w:rPr>
        <w:t xml:space="preserve">Advance clinical development of our lead programs, which address the well-understood oncology targets AR and ER, to validate our PROTAC platform. </w:t>
      </w:r>
      <w:r>
        <w:rPr>
          <w:rFonts w:ascii="Arial" w:cs="Arial" w:eastAsia="Arial" w:hAnsi="Arial"/>
          <w:sz w:val="17"/>
          <w:szCs w:val="17"/>
          <w:color w:val="auto"/>
        </w:rPr>
        <w:t>Our strategy for our PROTAC platform includes the initial pursuit of oncology targets with</w:t>
      </w:r>
      <w:r>
        <w:rPr>
          <w:rFonts w:ascii="Arial" w:cs="Arial" w:eastAsia="Arial" w:hAnsi="Arial"/>
          <w:sz w:val="17"/>
          <w:szCs w:val="17"/>
          <w:b w:val="1"/>
          <w:bCs w:val="1"/>
          <w:color w:val="auto"/>
        </w:rPr>
        <w:t xml:space="preserve"> </w:t>
      </w:r>
      <w:r>
        <w:rPr>
          <w:rFonts w:ascii="Arial" w:cs="Arial" w:eastAsia="Arial" w:hAnsi="Arial"/>
          <w:sz w:val="17"/>
          <w:szCs w:val="17"/>
          <w:color w:val="auto"/>
        </w:rPr>
        <w:t>well-understood biology, well-characterized disease models and established biomarkers. We expect to initiate a Phase 1 clinical trial for ARV-110 in men with mCRPC in the first quarter of 2019 and a Phase 1 clinical trial for ARV-471 in women with metastatic ER+ breast cancer in mid-2019. We believe favorable clinical trial results in these initial oncology programs would validate the broader therapeutic potential of our PROTAC platform.</w:t>
      </w:r>
    </w:p>
    <w:p>
      <w:pPr>
        <w:spacing w:after="0" w:line="76" w:lineRule="exact"/>
        <w:rPr>
          <w:rFonts w:ascii="Arial" w:cs="Arial" w:eastAsia="Arial" w:hAnsi="Arial"/>
          <w:sz w:val="17"/>
          <w:szCs w:val="17"/>
          <w:color w:val="auto"/>
        </w:rPr>
      </w:pPr>
    </w:p>
    <w:p>
      <w:pPr>
        <w:ind w:left="1100" w:right="220" w:hanging="210"/>
        <w:spacing w:after="0" w:line="263" w:lineRule="auto"/>
        <w:tabs>
          <w:tab w:leader="none" w:pos="1100" w:val="left"/>
        </w:tabs>
        <w:numPr>
          <w:ilvl w:val="0"/>
          <w:numId w:val="64"/>
        </w:numPr>
        <w:rPr>
          <w:rFonts w:ascii="Arial" w:cs="Arial" w:eastAsia="Arial" w:hAnsi="Arial"/>
          <w:sz w:val="17"/>
          <w:szCs w:val="17"/>
          <w:color w:val="auto"/>
        </w:rPr>
      </w:pPr>
      <w:r>
        <w:rPr>
          <w:rFonts w:ascii="Arial" w:cs="Arial" w:eastAsia="Arial" w:hAnsi="Arial"/>
          <w:sz w:val="17"/>
          <w:szCs w:val="17"/>
          <w:b w:val="1"/>
          <w:bCs w:val="1"/>
          <w:color w:val="auto"/>
        </w:rPr>
        <w:t xml:space="preserve">Utilize our PROTAC platform to address undruggable targets. </w:t>
      </w:r>
      <w:r>
        <w:rPr>
          <w:rFonts w:ascii="Arial" w:cs="Arial" w:eastAsia="Arial" w:hAnsi="Arial"/>
          <w:sz w:val="17"/>
          <w:szCs w:val="17"/>
          <w:color w:val="auto"/>
        </w:rPr>
        <w:t>We are applying our platform to develop treatments for</w:t>
      </w:r>
      <w:r>
        <w:rPr>
          <w:rFonts w:ascii="Arial" w:cs="Arial" w:eastAsia="Arial" w:hAnsi="Arial"/>
          <w:sz w:val="17"/>
          <w:szCs w:val="17"/>
          <w:b w:val="1"/>
          <w:bCs w:val="1"/>
          <w:color w:val="auto"/>
        </w:rPr>
        <w:t xml:space="preserve"> </w:t>
      </w:r>
      <w:r>
        <w:rPr>
          <w:rFonts w:ascii="Arial" w:cs="Arial" w:eastAsia="Arial" w:hAnsi="Arial"/>
          <w:sz w:val="17"/>
          <w:szCs w:val="17"/>
          <w:color w:val="auto"/>
        </w:rPr>
        <w:t>diseases associated with a prioritized subset of the up to 80% of proteins that cannot be addressed by existing small molecule therapies, commonly</w:t>
      </w:r>
    </w:p>
    <w:p>
      <w:pPr>
        <w:spacing w:after="0" w:line="114"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1060"/>
          </w:cols>
          <w:pgMar w:left="240" w:top="449" w:right="599" w:bottom="1440" w:gutter="0" w:footer="0" w:header="0"/>
        </w:sectPr>
      </w:pPr>
    </w:p>
    <w:bookmarkStart w:id="91" w:name="page92"/>
    <w:bookmarkEnd w:id="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1120" w:right="180"/>
        <w:spacing w:after="0" w:line="250" w:lineRule="auto"/>
        <w:rPr>
          <w:sz w:val="20"/>
          <w:szCs w:val="20"/>
          <w:color w:val="auto"/>
        </w:rPr>
      </w:pPr>
      <w:r>
        <w:rPr>
          <w:rFonts w:ascii="Arial" w:cs="Arial" w:eastAsia="Arial" w:hAnsi="Arial"/>
          <w:sz w:val="17"/>
          <w:szCs w:val="17"/>
          <w:color w:val="auto"/>
        </w:rPr>
        <w:t>referred to as undruggable targets. Our platform enables us to build PROTACs with the potential to degrade these proteins through the cell’s natural protein degradation process using any available binding site, including low-affinity active binding sites or non-functional binding sites, bringing biological utility to ligands that would otherwise be inactive.</w:t>
      </w:r>
    </w:p>
    <w:p>
      <w:pPr>
        <w:spacing w:after="0" w:line="75" w:lineRule="exact"/>
        <w:rPr>
          <w:sz w:val="20"/>
          <w:szCs w:val="20"/>
          <w:color w:val="auto"/>
        </w:rPr>
      </w:pPr>
    </w:p>
    <w:p>
      <w:pPr>
        <w:ind w:left="1100" w:right="160" w:hanging="210"/>
        <w:spacing w:after="0" w:line="247" w:lineRule="auto"/>
        <w:tabs>
          <w:tab w:leader="none" w:pos="1100" w:val="left"/>
        </w:tabs>
        <w:numPr>
          <w:ilvl w:val="0"/>
          <w:numId w:val="65"/>
        </w:numPr>
        <w:rPr>
          <w:rFonts w:ascii="Arial" w:cs="Arial" w:eastAsia="Arial" w:hAnsi="Arial"/>
          <w:sz w:val="17"/>
          <w:szCs w:val="17"/>
          <w:color w:val="auto"/>
        </w:rPr>
      </w:pPr>
      <w:r>
        <w:rPr>
          <w:rFonts w:ascii="Arial" w:cs="Arial" w:eastAsia="Arial" w:hAnsi="Arial"/>
          <w:sz w:val="17"/>
          <w:szCs w:val="17"/>
          <w:b w:val="1"/>
          <w:bCs w:val="1"/>
          <w:color w:val="auto"/>
        </w:rPr>
        <w:t xml:space="preserve">Apply our PROTAC platform to develop new therapeutics with distinct advantages over existing modalities, including gene-based medicines. </w:t>
      </w:r>
      <w:r>
        <w:rPr>
          <w:rFonts w:ascii="Arial" w:cs="Arial" w:eastAsia="Arial" w:hAnsi="Arial"/>
          <w:sz w:val="17"/>
          <w:szCs w:val="17"/>
          <w:color w:val="auto"/>
        </w:rPr>
        <w:t>We intend to address targets for which we believe protein degradation and the tunable features of our</w:t>
      </w:r>
      <w:r>
        <w:rPr>
          <w:rFonts w:ascii="Arial" w:cs="Arial" w:eastAsia="Arial" w:hAnsi="Arial"/>
          <w:sz w:val="17"/>
          <w:szCs w:val="17"/>
          <w:b w:val="1"/>
          <w:bCs w:val="1"/>
          <w:color w:val="auto"/>
        </w:rPr>
        <w:t xml:space="preserve"> </w:t>
      </w:r>
      <w:r>
        <w:rPr>
          <w:rFonts w:ascii="Arial" w:cs="Arial" w:eastAsia="Arial" w:hAnsi="Arial"/>
          <w:sz w:val="17"/>
          <w:szCs w:val="17"/>
          <w:color w:val="auto"/>
        </w:rPr>
        <w:t>PROTACs offer advantages compared to existing therapeutic modalities. For example, unlike gene-based medicines, our PROTACs confer the advantages of traditional small molecule therapies, such as broad tissue distribution, multiple routes of administration, including oral delivery, a well-established development pathway and relative ease of manufacturing. In addition, we have engineered PROTACs that, in preclinical studies, have successfully achieved blood brain barrier penetration, creating potential opportunities for our PROTAC technology in neurodegenerative diseases. We also believe there are many other indications for which our technology may be advantageous, including autoimmune, anti-infective and inflammatory conditions.</w:t>
      </w:r>
    </w:p>
    <w:p>
      <w:pPr>
        <w:spacing w:after="0" w:line="81" w:lineRule="exact"/>
        <w:rPr>
          <w:rFonts w:ascii="Arial" w:cs="Arial" w:eastAsia="Arial" w:hAnsi="Arial"/>
          <w:sz w:val="17"/>
          <w:szCs w:val="17"/>
          <w:color w:val="auto"/>
        </w:rPr>
      </w:pPr>
    </w:p>
    <w:p>
      <w:pPr>
        <w:ind w:left="1100" w:right="80" w:hanging="210"/>
        <w:spacing w:after="0" w:line="245" w:lineRule="auto"/>
        <w:tabs>
          <w:tab w:leader="none" w:pos="1100" w:val="left"/>
        </w:tabs>
        <w:numPr>
          <w:ilvl w:val="0"/>
          <w:numId w:val="65"/>
        </w:numPr>
        <w:rPr>
          <w:rFonts w:ascii="Arial" w:cs="Arial" w:eastAsia="Arial" w:hAnsi="Arial"/>
          <w:sz w:val="17"/>
          <w:szCs w:val="17"/>
          <w:color w:val="auto"/>
        </w:rPr>
      </w:pPr>
      <w:r>
        <w:rPr>
          <w:rFonts w:ascii="Arial" w:cs="Arial" w:eastAsia="Arial" w:hAnsi="Arial"/>
          <w:sz w:val="17"/>
          <w:szCs w:val="17"/>
          <w:b w:val="1"/>
          <w:bCs w:val="1"/>
          <w:color w:val="auto"/>
        </w:rPr>
        <w:t>Continue to expand the capabilities of our PROTAC platform and the breadth of our intellectual property portfolio</w:t>
      </w:r>
      <w:r>
        <w:rPr>
          <w:rFonts w:ascii="Arial" w:cs="Arial" w:eastAsia="Arial" w:hAnsi="Arial"/>
          <w:sz w:val="17"/>
          <w:szCs w:val="17"/>
          <w:color w:val="auto"/>
        </w:rPr>
        <w:t>. We</w:t>
      </w:r>
      <w:r>
        <w:rPr>
          <w:rFonts w:ascii="Arial" w:cs="Arial" w:eastAsia="Arial" w:hAnsi="Arial"/>
          <w:sz w:val="17"/>
          <w:szCs w:val="17"/>
          <w:b w:val="1"/>
          <w:bCs w:val="1"/>
          <w:color w:val="auto"/>
        </w:rPr>
        <w:t xml:space="preserve"> </w:t>
      </w:r>
      <w:r>
        <w:rPr>
          <w:rFonts w:ascii="Arial" w:cs="Arial" w:eastAsia="Arial" w:hAnsi="Arial"/>
          <w:sz w:val="17"/>
          <w:szCs w:val="17"/>
          <w:color w:val="auto"/>
        </w:rPr>
        <w:t>are committed to continued investment in our research and development activities to expand the capabilities of our PROTAC platform and the breadth of our intellectual property portfolio. This includes: research of E3 ligases, key proteins in the ubiquitin proteasome system, that may have tissue-specific or disease-specific features, and discovery of binding ligands; discovery of additional blood brain barrier penetrant PROTACs; and improvement of our PROTAC design and optimization processes. In addition to our internal research and development efforts, our agreements with Yale provide us with rights to future discoveries from the laboratory of Professor Crews, our scientific founder and Chief Scientific Advisor. We intend to continue to pursue new scientific and therapeutic insights and PROTAC research to strengthen our position as a leader in protein degradation using chimeric small molecules. We have exclusive worldwide rights to our platform technology, as well as patent applications pending for composition of matter in the United States and key countries for our ARV-110 and ARV-471 product candidates and our exploratory programs. We also have patents and pending patent applications for broad platform coverage for other PROTACs using specific E3 ligases.</w:t>
      </w:r>
    </w:p>
    <w:p>
      <w:pPr>
        <w:spacing w:after="0" w:line="282" w:lineRule="exact"/>
        <w:rPr>
          <w:rFonts w:ascii="Arial" w:cs="Arial" w:eastAsia="Arial" w:hAnsi="Arial"/>
          <w:sz w:val="17"/>
          <w:szCs w:val="17"/>
          <w:color w:val="auto"/>
        </w:rPr>
      </w:pPr>
    </w:p>
    <w:p>
      <w:pPr>
        <w:ind w:left="1100" w:hanging="210"/>
        <w:spacing w:after="0" w:line="248" w:lineRule="auto"/>
        <w:tabs>
          <w:tab w:leader="none" w:pos="1100" w:val="left"/>
        </w:tabs>
        <w:numPr>
          <w:ilvl w:val="0"/>
          <w:numId w:val="65"/>
        </w:numPr>
        <w:rPr>
          <w:rFonts w:ascii="Arial" w:cs="Arial" w:eastAsia="Arial" w:hAnsi="Arial"/>
          <w:sz w:val="17"/>
          <w:szCs w:val="17"/>
          <w:color w:val="auto"/>
        </w:rPr>
      </w:pPr>
      <w:r>
        <w:rPr>
          <w:rFonts w:ascii="Arial" w:cs="Arial" w:eastAsia="Arial" w:hAnsi="Arial"/>
          <w:sz w:val="17"/>
          <w:szCs w:val="17"/>
          <w:b w:val="1"/>
          <w:bCs w:val="1"/>
          <w:color w:val="auto"/>
        </w:rPr>
        <w:t xml:space="preserve">Selectively collaborate to realize the full potential of our platform. </w:t>
      </w:r>
      <w:r>
        <w:rPr>
          <w:rFonts w:ascii="Arial" w:cs="Arial" w:eastAsia="Arial" w:hAnsi="Arial"/>
          <w:sz w:val="17"/>
          <w:szCs w:val="17"/>
          <w:color w:val="auto"/>
        </w:rPr>
        <w:t>We are building an extensive pipeline of product</w:t>
      </w:r>
      <w:r>
        <w:rPr>
          <w:rFonts w:ascii="Arial" w:cs="Arial" w:eastAsia="Arial" w:hAnsi="Arial"/>
          <w:sz w:val="17"/>
          <w:szCs w:val="17"/>
          <w:b w:val="1"/>
          <w:bCs w:val="1"/>
          <w:color w:val="auto"/>
        </w:rPr>
        <w:t xml:space="preserve"> </w:t>
      </w:r>
      <w:r>
        <w:rPr>
          <w:rFonts w:ascii="Arial" w:cs="Arial" w:eastAsia="Arial" w:hAnsi="Arial"/>
          <w:sz w:val="17"/>
          <w:szCs w:val="17"/>
          <w:color w:val="auto"/>
        </w:rPr>
        <w:t>candidates using our PROTAC platform for which we retain full development and commercialization rights across a wide range of diseases. In an effort to realize the full potential of our PROTAC platform, our ongoing strategic collaborations with Pfizer and Genentech address targets across multiple therapeutic areas. We plan to continue to selectively pursue collaborations with leading biopharmaceutical companies with specialized capabilities or know-how, including development and commercial expertise and capabilities. We believe this selective approach to collaboration will further broaden the therapeutic reach of our PROTAC platform, as well as complement and expand our internal development expertise.</w:t>
      </w:r>
    </w:p>
    <w:p>
      <w:pPr>
        <w:spacing w:after="0" w:line="129"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1060"/>
          </w:cols>
          <w:pgMar w:left="240" w:top="449" w:right="599" w:bottom="1440" w:gutter="0" w:footer="0" w:header="0"/>
        </w:sectPr>
      </w:pPr>
    </w:p>
    <w:bookmarkStart w:id="92" w:name="page93"/>
    <w:bookmarkEnd w:id="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Our Product Pipeline</w:t>
      </w:r>
    </w:p>
    <w:p>
      <w:pPr>
        <w:spacing w:after="0" w:line="233" w:lineRule="exact"/>
        <w:rPr>
          <w:sz w:val="20"/>
          <w:szCs w:val="20"/>
          <w:color w:val="auto"/>
        </w:rPr>
      </w:pPr>
    </w:p>
    <w:p>
      <w:pPr>
        <w:ind w:left="360" w:right="80" w:firstLine="535"/>
        <w:spacing w:after="0" w:line="247" w:lineRule="auto"/>
        <w:rPr>
          <w:sz w:val="20"/>
          <w:szCs w:val="20"/>
          <w:color w:val="auto"/>
        </w:rPr>
      </w:pPr>
      <w:r>
        <w:rPr>
          <w:rFonts w:ascii="Arial" w:cs="Arial" w:eastAsia="Arial" w:hAnsi="Arial"/>
          <w:sz w:val="17"/>
          <w:szCs w:val="17"/>
          <w:color w:val="auto"/>
        </w:rPr>
        <w:t>Our platform has generated several promising degradation product candidates that may be capable of targeting diseases in a wide range of organ systems and tissues. We and our collaborators have initiated programs across multiple therapeutic areas with the goal of developing and delivering life-changing therapies to patients in need. Our lead therapeutic programs, for which we retain full worldwide development and commercialization rights, are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1109980</wp:posOffset>
            </wp:positionH>
            <wp:positionV relativeFrom="paragraph">
              <wp:posOffset>139065</wp:posOffset>
            </wp:positionV>
            <wp:extent cx="5044440" cy="35464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044440" cy="3546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60" w:firstLine="535"/>
        <w:spacing w:after="0" w:line="244" w:lineRule="auto"/>
        <w:rPr>
          <w:sz w:val="20"/>
          <w:szCs w:val="20"/>
          <w:color w:val="auto"/>
        </w:rPr>
      </w:pPr>
      <w:r>
        <w:rPr>
          <w:rFonts w:ascii="Arial" w:cs="Arial" w:eastAsia="Arial" w:hAnsi="Arial"/>
          <w:sz w:val="17"/>
          <w:szCs w:val="17"/>
          <w:color w:val="auto"/>
        </w:rPr>
        <w:t xml:space="preserve">We classify our programs as in the discovery stage of development when we are synthesizing and testing PROTACs to evaluate degradation of the selected target, differential biology compared to inhibitors, and proof of concept pharmacodynamics and efficacy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 program advances to the lead optimization stage when we have identified a lead PROTAC that demonstrates promising activity in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vitro </w:t>
      </w:r>
      <w:r>
        <w:rPr>
          <w:rFonts w:ascii="Arial" w:cs="Arial" w:eastAsia="Arial" w:hAnsi="Arial"/>
          <w:sz w:val="17"/>
          <w:szCs w:val="17"/>
          <w:color w:val="auto"/>
        </w:rPr>
        <w:t>and</w:t>
      </w:r>
      <w:r>
        <w:rPr>
          <w:rFonts w:ascii="Arial" w:cs="Arial" w:eastAsia="Arial" w:hAnsi="Arial"/>
          <w:sz w:val="17"/>
          <w:szCs w:val="17"/>
          <w:i w:val="1"/>
          <w:iCs w:val="1"/>
          <w:color w:val="auto"/>
        </w:rPr>
        <w:t xml:space="preserve"> in vivo </w:t>
      </w:r>
      <w:r>
        <w:rPr>
          <w:rFonts w:ascii="Arial" w:cs="Arial" w:eastAsia="Arial" w:hAnsi="Arial"/>
          <w:sz w:val="17"/>
          <w:szCs w:val="17"/>
          <w:color w:val="auto"/>
        </w:rPr>
        <w:t>biological models relative to defined criteria. In the lead optimization stage, we are working to optimize the PROTACs for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desired profile, including degradation potency, selectivity, drug metabolism and pharmacokinetics, pharmacodynamic activity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efficacy, and we have begun characterizing preclinical tolerability and toxicology. A program enters the IND enabling stage once we are performing studies intended to support the submission of an investigational new drug, or IND, application, including expanded toxicology, drug product optimization and IND documentation preparation.</w:t>
      </w:r>
    </w:p>
    <w:p>
      <w:pPr>
        <w:spacing w:after="0" w:line="193" w:lineRule="exact"/>
        <w:rPr>
          <w:sz w:val="20"/>
          <w:szCs w:val="20"/>
          <w:color w:val="auto"/>
        </w:rPr>
      </w:pPr>
    </w:p>
    <w:p>
      <w:pPr>
        <w:ind w:left="360" w:right="220" w:firstLine="535"/>
        <w:spacing w:after="0" w:line="259" w:lineRule="auto"/>
        <w:rPr>
          <w:sz w:val="20"/>
          <w:szCs w:val="20"/>
          <w:color w:val="auto"/>
        </w:rPr>
      </w:pPr>
      <w:r>
        <w:rPr>
          <w:rFonts w:ascii="Arial" w:cs="Arial" w:eastAsia="Arial" w:hAnsi="Arial"/>
          <w:sz w:val="17"/>
          <w:szCs w:val="17"/>
          <w:color w:val="auto"/>
        </w:rPr>
        <w:t>In addition to the programs above and our early-stage development collaborations with Pfizer and Genentech, we are conducting exploratory research and development work on multiple other undisclosed targets.</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1060"/>
          </w:cols>
          <w:pgMar w:left="240" w:top="450" w:right="599" w:bottom="1440" w:gutter="0" w:footer="0" w:header="0"/>
        </w:sectPr>
      </w:pPr>
    </w:p>
    <w:bookmarkStart w:id="93" w:name="page94"/>
    <w:bookmarkEnd w:id="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Our Focus</w:t>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The Role of Proteins in Disease</w:t>
      </w:r>
    </w:p>
    <w:p>
      <w:pPr>
        <w:spacing w:after="0" w:line="126" w:lineRule="exact"/>
        <w:rPr>
          <w:sz w:val="20"/>
          <w:szCs w:val="20"/>
          <w:color w:val="auto"/>
        </w:rPr>
      </w:pPr>
    </w:p>
    <w:p>
      <w:pPr>
        <w:ind w:left="360" w:right="520" w:firstLine="535"/>
        <w:spacing w:after="0" w:line="259" w:lineRule="auto"/>
        <w:rPr>
          <w:sz w:val="20"/>
          <w:szCs w:val="20"/>
          <w:color w:val="auto"/>
        </w:rPr>
      </w:pPr>
      <w:r>
        <w:rPr>
          <w:rFonts w:ascii="Arial" w:cs="Arial" w:eastAsia="Arial" w:hAnsi="Arial"/>
          <w:sz w:val="17"/>
          <w:szCs w:val="17"/>
          <w:color w:val="auto"/>
        </w:rPr>
        <w:t>Human cells produce tens of thousands of different proteins, the entirety of which is referred to as the proteome. Proteins are responsible for many structural, functional and regulatory processes in cells.</w:t>
      </w:r>
    </w:p>
    <w:p>
      <w:pPr>
        <w:spacing w:after="0" w:line="181" w:lineRule="exact"/>
        <w:rPr>
          <w:sz w:val="20"/>
          <w:szCs w:val="20"/>
          <w:color w:val="auto"/>
        </w:rPr>
      </w:pPr>
    </w:p>
    <w:p>
      <w:pPr>
        <w:ind w:left="360" w:firstLine="535"/>
        <w:spacing w:after="0" w:line="244" w:lineRule="auto"/>
        <w:rPr>
          <w:sz w:val="20"/>
          <w:szCs w:val="20"/>
          <w:color w:val="auto"/>
        </w:rPr>
      </w:pPr>
      <w:r>
        <w:rPr>
          <w:rFonts w:ascii="Arial" w:cs="Arial" w:eastAsia="Arial" w:hAnsi="Arial"/>
          <w:sz w:val="17"/>
          <w:szCs w:val="17"/>
          <w:color w:val="auto"/>
        </w:rPr>
        <w:t>Proteins are large, complex biomolecules made through a series of steps based on instructions carried from deoxyribonucleic acid, or DNA, the genetic “blueprint” within the cell. Generally, sequences of DNA are converted into messenger ribonucleic acid, or mRNA, during a process called transcription. mRNA provides the template that specifies the assembly of a particular sequence of amino acids into proteins during a process known as translation. The amino acid sequence dictates, among other things, the conformation, or 3-D shape, of the resulting protein. Proteins can have complex shapes, with multiple chains of amino acids folding together in some cases to reach a final form. The final form of the protein, as well as the timing, location and concentration of its expression within the cell, is essential to the protein’s intended function.</w:t>
      </w:r>
    </w:p>
    <w:p>
      <w:pPr>
        <w:spacing w:after="0" w:line="195" w:lineRule="exact"/>
        <w:rPr>
          <w:sz w:val="20"/>
          <w:szCs w:val="20"/>
          <w:color w:val="auto"/>
        </w:rPr>
      </w:pPr>
    </w:p>
    <w:p>
      <w:pPr>
        <w:ind w:left="360" w:firstLine="535"/>
        <w:spacing w:after="0" w:line="243" w:lineRule="auto"/>
        <w:rPr>
          <w:sz w:val="20"/>
          <w:szCs w:val="20"/>
          <w:color w:val="auto"/>
        </w:rPr>
      </w:pPr>
      <w:r>
        <w:rPr>
          <w:rFonts w:ascii="Arial" w:cs="Arial" w:eastAsia="Arial" w:hAnsi="Arial"/>
          <w:sz w:val="17"/>
          <w:szCs w:val="17"/>
          <w:color w:val="auto"/>
        </w:rPr>
        <w:t>In healthy cells, the transcription and translation processes contribute to producing properly folded proteins in the right amounts and at the correct times to ensure normal cell health and function. This balance can be disrupted by a variety of events and factors, such as cellular stress, genetic mutations and transcriptional or translational errors, which can then lead to cellular overexpression, abnormal production rates, misfolding or mutations of proteins. When proteins are overexpressed or mutated, a wide variety of diseases can result. For example, it is well documented that overexpression of androgen receptor, a nuclear hormone receptor, is implicated in prostate cancer. Similarly, overexpression of estrogen receptor is known to be associated with breast cancer. In neurodegenerative diseases, abnormal deposition of misfolded or aggregated proteins in the brain, including the intraneuronal aggregation of the microtubule-associated protein tau, are associated with Alzheimer’s Disease. Recent genomic advances continue to implicate the role of specific proteins in many disease states.</w:t>
      </w:r>
    </w:p>
    <w:p>
      <w:pPr>
        <w:spacing w:after="0" w:line="396" w:lineRule="exact"/>
        <w:rPr>
          <w:sz w:val="20"/>
          <w:szCs w:val="20"/>
          <w:color w:val="auto"/>
        </w:rPr>
      </w:pPr>
    </w:p>
    <w:p>
      <w:pPr>
        <w:ind w:left="360" w:right="220" w:firstLine="535"/>
        <w:spacing w:after="0" w:line="259" w:lineRule="auto"/>
        <w:rPr>
          <w:sz w:val="20"/>
          <w:szCs w:val="20"/>
          <w:color w:val="auto"/>
        </w:rPr>
      </w:pPr>
      <w:r>
        <w:rPr>
          <w:rFonts w:ascii="Arial" w:cs="Arial" w:eastAsia="Arial" w:hAnsi="Arial"/>
          <w:sz w:val="17"/>
          <w:szCs w:val="17"/>
          <w:color w:val="auto"/>
        </w:rPr>
        <w:t>There are multiple therapeutic approaches, both approved and in development, to treat diseases caused by abnormal proteins or aberrant protein expression. Each operates at a different point in the lifecycle of the protein, as illustrated in the following graphic: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2017395</wp:posOffset>
            </wp:positionH>
            <wp:positionV relativeFrom="paragraph">
              <wp:posOffset>132080</wp:posOffset>
            </wp:positionV>
            <wp:extent cx="3229610" cy="20808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229610" cy="2080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1060"/>
          </w:cols>
          <w:pgMar w:left="240" w:top="449" w:right="599" w:bottom="1440" w:gutter="0" w:footer="0" w:header="0"/>
        </w:sectPr>
      </w:pPr>
    </w:p>
    <w:bookmarkStart w:id="94" w:name="page95"/>
    <w:bookmarkEnd w:id="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Small Molecule Inhibitors, Gene Therapy and Gene Editing</w:t>
      </w:r>
    </w:p>
    <w:p>
      <w:pPr>
        <w:spacing w:after="0" w:line="126" w:lineRule="exact"/>
        <w:rPr>
          <w:sz w:val="20"/>
          <w:szCs w:val="20"/>
          <w:color w:val="auto"/>
        </w:rPr>
      </w:pPr>
    </w:p>
    <w:p>
      <w:pPr>
        <w:ind w:left="360" w:right="80" w:firstLine="535"/>
        <w:spacing w:after="0" w:line="245" w:lineRule="auto"/>
        <w:rPr>
          <w:sz w:val="20"/>
          <w:szCs w:val="20"/>
          <w:color w:val="auto"/>
        </w:rPr>
      </w:pPr>
      <w:r>
        <w:rPr>
          <w:rFonts w:ascii="Arial" w:cs="Arial" w:eastAsia="Arial" w:hAnsi="Arial"/>
          <w:sz w:val="17"/>
          <w:szCs w:val="17"/>
          <w:color w:val="auto"/>
        </w:rPr>
        <w:t>Traditional small molecules seek to block or inhibit the expression or function of an errant protein. While there are numerous examples of safe and effective small molecule therapies, their efficacy can be limited by weak or incomplete binding of the therapeutic molecule to the relevant binding site on the protein, the cell’s ability to counteract the inhibitory effect of the drug by producing more of the protein, mutation of the target, or evolution of the cell to rely on alternate pathways. These cellular responses often result in a need for higher dosing levels, which can in turn introduce safety challenges from off-target and toxic effects, or drug resistance.</w:t>
      </w:r>
    </w:p>
    <w:p>
      <w:pPr>
        <w:spacing w:after="0" w:line="195" w:lineRule="exact"/>
        <w:rPr>
          <w:sz w:val="20"/>
          <w:szCs w:val="20"/>
          <w:color w:val="auto"/>
        </w:rPr>
      </w:pPr>
    </w:p>
    <w:p>
      <w:pPr>
        <w:ind w:left="360" w:right="20" w:firstLine="535"/>
        <w:spacing w:after="0" w:line="246" w:lineRule="auto"/>
        <w:rPr>
          <w:sz w:val="20"/>
          <w:szCs w:val="20"/>
          <w:color w:val="auto"/>
        </w:rPr>
      </w:pPr>
      <w:r>
        <w:rPr>
          <w:rFonts w:ascii="Arial" w:cs="Arial" w:eastAsia="Arial" w:hAnsi="Arial"/>
          <w:sz w:val="17"/>
          <w:szCs w:val="17"/>
          <w:color w:val="auto"/>
        </w:rPr>
        <w:t>Gene therapy approaches act by augmenting the errant protein with normal protein by using viral vectors to introduce DNA from an exogenous source that codes for a functional protein. While there have been promising advances in this field, including the recent approval of Luxturna for the treatment of an inherited retinal disease caused by a genetic mutation, the fundamental approach is limited by delivery, expression efficacy, pre-treatment conditioning, durability and manufacturing challenges that curtail the practical utility of gene therapy.</w:t>
      </w:r>
    </w:p>
    <w:p>
      <w:pPr>
        <w:spacing w:after="0" w:line="392" w:lineRule="exact"/>
        <w:rPr>
          <w:sz w:val="20"/>
          <w:szCs w:val="20"/>
          <w:color w:val="auto"/>
        </w:rPr>
      </w:pPr>
    </w:p>
    <w:p>
      <w:pPr>
        <w:ind w:left="360" w:right="200" w:firstLine="535"/>
        <w:spacing w:after="0" w:line="244" w:lineRule="auto"/>
        <w:rPr>
          <w:sz w:val="20"/>
          <w:szCs w:val="20"/>
          <w:color w:val="auto"/>
        </w:rPr>
      </w:pPr>
      <w:r>
        <w:rPr>
          <w:rFonts w:ascii="Arial" w:cs="Arial" w:eastAsia="Arial" w:hAnsi="Arial"/>
          <w:sz w:val="17"/>
          <w:szCs w:val="17"/>
          <w:color w:val="auto"/>
        </w:rPr>
        <w:t>Gene editing or gene silencing approaches such as CRISPR/Cas9, RNA interference and antisense act by either correcting or inactivating, or knocking out, the gene that would otherwise be transcribed and translated to express the errant protein. By correcting or knocking out the gene, the errant protein is never made, preventing its downstream negative effects. In the case of CRISPR/Cas9, the resulting modification of the gene occurs at the DNA level and is believed to be irreversible. While there are examples of approved therapies in this field, such as Mipomersen for a form of hypercholesterolemia, that have the potential to correct specific genetic defects, gene editing and gene silencing approaches generally face delivery, stability, biodistribution, specificity and selectivity challenges, in addition to significant manufacturing hurdles.</w:t>
      </w:r>
    </w:p>
    <w:p>
      <w:pPr>
        <w:spacing w:after="0" w:line="280"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Protein Degradation</w:t>
      </w:r>
    </w:p>
    <w:p>
      <w:pPr>
        <w:spacing w:after="0" w:line="126" w:lineRule="exact"/>
        <w:rPr>
          <w:sz w:val="20"/>
          <w:szCs w:val="20"/>
          <w:color w:val="auto"/>
        </w:rPr>
      </w:pPr>
    </w:p>
    <w:p>
      <w:pPr>
        <w:ind w:left="360" w:right="160" w:firstLine="535"/>
        <w:spacing w:after="0" w:line="248" w:lineRule="auto"/>
        <w:rPr>
          <w:sz w:val="20"/>
          <w:szCs w:val="20"/>
          <w:color w:val="auto"/>
        </w:rPr>
      </w:pPr>
      <w:r>
        <w:rPr>
          <w:rFonts w:ascii="Arial" w:cs="Arial" w:eastAsia="Arial" w:hAnsi="Arial"/>
          <w:sz w:val="17"/>
          <w:szCs w:val="17"/>
          <w:color w:val="auto"/>
        </w:rPr>
        <w:t>When proteins become old, mutated, misfolded or simply have served their purpose, they are naturally degraded by the body through the ubiquitin proteasome system in which cells mark or tag a particular protein for disposal by attaching several molecules of the small regulatory protein ubiquitin to the protein to be disposed. This process generally proceeds along the following steps in rapid sequence:</w:t>
      </w:r>
    </w:p>
    <w:p>
      <w:pPr>
        <w:spacing w:after="0" w:line="299" w:lineRule="exact"/>
        <w:rPr>
          <w:sz w:val="20"/>
          <w:szCs w:val="20"/>
          <w:color w:val="auto"/>
        </w:rPr>
      </w:pPr>
    </w:p>
    <w:p>
      <w:pPr>
        <w:ind w:left="1100" w:hanging="210"/>
        <w:spacing w:after="0"/>
        <w:tabs>
          <w:tab w:leader="none" w:pos="11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E1 enzyme activates ubiquitin, which is then transferred to an E2 enzyme.</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An E3 ubiquitin ligase, or E3 ligase, transfers the ubiquitin from the E2 enzyme to a specific target protein.</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Once a chain of at least four ubiquitins are attached to the target protein, the proteasome recognizes the polyubiquinated protein.</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proteasome breaks down or degrades the protein into its amino acid components.</w:t>
      </w:r>
    </w:p>
    <w:p>
      <w:pPr>
        <w:spacing w:after="0" w:line="211" w:lineRule="exact"/>
        <w:rPr>
          <w:sz w:val="20"/>
          <w:szCs w:val="20"/>
          <w:color w:val="auto"/>
        </w:rPr>
      </w:pPr>
    </w:p>
    <w:p>
      <w:pPr>
        <w:ind w:left="360" w:right="80" w:firstLine="535"/>
        <w:spacing w:after="0" w:line="247" w:lineRule="auto"/>
        <w:rPr>
          <w:sz w:val="20"/>
          <w:szCs w:val="20"/>
          <w:color w:val="auto"/>
        </w:rPr>
      </w:pPr>
      <w:r>
        <w:rPr>
          <w:rFonts w:ascii="Arial" w:cs="Arial" w:eastAsia="Arial" w:hAnsi="Arial"/>
          <w:sz w:val="17"/>
          <w:szCs w:val="17"/>
          <w:color w:val="auto"/>
        </w:rPr>
        <w:t>Several therapeutic approaches work at the protein level by modulating the ubiquitin proteasome system to harness the cell’s natural protein disposal system to degrade and remove a protein. Degradation can be induced by inhibiting chaperone molecules such as HSP90, which are known to facilitate correct protein folding, resulting in tagging misfolded proteins for degradation. HSP90 inhibitors, however, have shown limited efficacy in the clinic to date.</w:t>
      </w:r>
    </w:p>
    <w:p>
      <w:pPr>
        <w:spacing w:after="0" w:line="192" w:lineRule="exact"/>
        <w:rPr>
          <w:sz w:val="20"/>
          <w:szCs w:val="20"/>
          <w:color w:val="auto"/>
        </w:rPr>
      </w:pPr>
    </w:p>
    <w:p>
      <w:pPr>
        <w:ind w:left="360" w:right="100" w:firstLine="535"/>
        <w:spacing w:after="0" w:line="250" w:lineRule="auto"/>
        <w:rPr>
          <w:sz w:val="20"/>
          <w:szCs w:val="20"/>
          <w:color w:val="auto"/>
        </w:rPr>
      </w:pPr>
      <w:r>
        <w:rPr>
          <w:rFonts w:ascii="Arial" w:cs="Arial" w:eastAsia="Arial" w:hAnsi="Arial"/>
          <w:sz w:val="17"/>
          <w:szCs w:val="17"/>
          <w:color w:val="auto"/>
        </w:rPr>
        <w:t>Some degraders use an approach that causes a conformational change in a specifically targeted protein, resulting in a misfolded protein, which triggers the cell’s innate protein degradation system to dispose of the misfolded protein. Although these compounds have shown efficacy, they only induce the degradation of those proteins able to adopt a non-native state, leaving a wide array of protein targets</w:t>
      </w:r>
    </w:p>
    <w:p>
      <w:pPr>
        <w:spacing w:after="0" w:line="123"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1060"/>
          </w:cols>
          <w:pgMar w:left="240" w:top="449" w:right="599" w:bottom="1440" w:gutter="0" w:footer="0" w:header="0"/>
        </w:sectPr>
      </w:pPr>
    </w:p>
    <w:bookmarkStart w:id="95" w:name="page96"/>
    <w:bookmarkEnd w:id="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520"/>
        <w:spacing w:after="0" w:line="259" w:lineRule="auto"/>
        <w:rPr>
          <w:sz w:val="20"/>
          <w:szCs w:val="20"/>
          <w:color w:val="auto"/>
        </w:rPr>
      </w:pPr>
      <w:r>
        <w:rPr>
          <w:rFonts w:ascii="Arial" w:cs="Arial" w:eastAsia="Arial" w:hAnsi="Arial"/>
          <w:sz w:val="17"/>
          <w:szCs w:val="17"/>
          <w:color w:val="auto"/>
        </w:rPr>
        <w:t>unaddressed. The only currently marketed protein degrader utilizing this mechanism, the breast cancer therapy fulvestrant, requires intramuscular administration, further limiting its convenience and pharmacokinetic profile.</w:t>
      </w:r>
    </w:p>
    <w:p>
      <w:pPr>
        <w:spacing w:after="0" w:line="181" w:lineRule="exact"/>
        <w:rPr>
          <w:sz w:val="20"/>
          <w:szCs w:val="20"/>
          <w:color w:val="auto"/>
        </w:rPr>
      </w:pPr>
    </w:p>
    <w:p>
      <w:pPr>
        <w:jc w:val="both"/>
        <w:ind w:left="360" w:right="80" w:firstLine="535"/>
        <w:spacing w:after="0" w:line="250" w:lineRule="auto"/>
        <w:rPr>
          <w:sz w:val="20"/>
          <w:szCs w:val="20"/>
          <w:color w:val="auto"/>
        </w:rPr>
      </w:pPr>
      <w:r>
        <w:rPr>
          <w:rFonts w:ascii="Arial" w:cs="Arial" w:eastAsia="Arial" w:hAnsi="Arial"/>
          <w:sz w:val="17"/>
          <w:szCs w:val="17"/>
          <w:color w:val="auto"/>
        </w:rPr>
        <w:t>Chimeric small molecules use a different protein degradation approach. Instead of causing improper folding or inhibiting molecules that facilitate proper folding of the target protein, chimeric small molecules directly recruit an E3 ligase to tag specifically targeted proteins with ubiquitin, signaling the proteasome to degrade the targeted protein. Our PROTACs take this approach to protein degradation.</w:t>
      </w:r>
    </w:p>
    <w:p>
      <w:pPr>
        <w:spacing w:after="0" w:line="274"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PROTACs—Our Approach to Protein Degradation</w:t>
      </w:r>
    </w:p>
    <w:p>
      <w:pPr>
        <w:spacing w:after="0" w:line="126" w:lineRule="exact"/>
        <w:rPr>
          <w:sz w:val="20"/>
          <w:szCs w:val="20"/>
          <w:color w:val="auto"/>
        </w:rPr>
      </w:pPr>
    </w:p>
    <w:p>
      <w:pPr>
        <w:ind w:left="360" w:firstLine="535"/>
        <w:spacing w:after="0" w:line="243" w:lineRule="auto"/>
        <w:rPr>
          <w:sz w:val="20"/>
          <w:szCs w:val="20"/>
          <w:color w:val="auto"/>
        </w:rPr>
      </w:pPr>
      <w:r>
        <w:rPr>
          <w:rFonts w:ascii="Arial" w:cs="Arial" w:eastAsia="Arial" w:hAnsi="Arial"/>
          <w:sz w:val="17"/>
          <w:szCs w:val="17"/>
          <w:color w:val="auto"/>
        </w:rPr>
        <w:t>We have engineered our PROTACs to utilize the cell’s naturally occurring protein disposal system, directing the proteasome to recognize and degrade specific proteins associated with disease. Our PROTACs are chimeric small molecules with two operative ends— one, a ligand that binds to the protein targeted for degradation, and the other, a ligand that binds to an E3 ligase. These two ligands are connected by a chemical chain linker. Our PROTACs bring the targeted protein and the E3 ligase together into a three-component grouping known as a trimer complex to facilitate the transfer of ubiquitin to the target protein. Once four ubiquitins are attached in a chain to the target protein, the proteasome recognizes and degrades the protein. The entire cycle from the formation of the trimer complex, which can occur in a period of nanoseconds, to degradation of the target protein by the proteasome happens over a period of minutes. After our PROTAC facilitates the tagging of a target protein molecule with ubiquitin through formation of the trimer complex, it can move on to another target protein molecule to conduct the degradation process again, potentially completing this cycle hundreds of times before eventually being metabolized or eliminated from the cell. We refer to this recycling as our PROTACs’ iterative mechanism of action.</w:t>
      </w:r>
    </w:p>
    <w:p>
      <w:pPr>
        <w:spacing w:after="0" w:line="197" w:lineRule="exact"/>
        <w:rPr>
          <w:sz w:val="20"/>
          <w:szCs w:val="20"/>
          <w:color w:val="auto"/>
        </w:rPr>
      </w:pPr>
    </w:p>
    <w:p>
      <w:pPr>
        <w:jc w:val="both"/>
        <w:ind w:left="360" w:right="100" w:firstLine="535"/>
        <w:spacing w:after="0" w:line="250" w:lineRule="auto"/>
        <w:rPr>
          <w:sz w:val="20"/>
          <w:szCs w:val="20"/>
          <w:color w:val="auto"/>
        </w:rPr>
      </w:pPr>
      <w:r>
        <w:rPr>
          <w:rFonts w:ascii="Arial" w:cs="Arial" w:eastAsia="Arial" w:hAnsi="Arial"/>
          <w:sz w:val="17"/>
          <w:szCs w:val="17"/>
          <w:color w:val="auto"/>
        </w:rPr>
        <w:t>The figure below depicts our PROTAC-induced cycle from E3 ligase binding and target protein recruitment, to trimer formation and ubiquitin transfer, to degradation of the target protein by the proteasome, to the release of ubiquitin and PROTAC for further degradation cycles</w:t>
      </w:r>
      <w:r>
        <w:rPr>
          <w:rFonts w:ascii="Arial" w:cs="Arial" w:eastAsia="Arial" w:hAnsi="Arial"/>
          <w:sz w:val="17"/>
          <w:szCs w:val="17"/>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1109980</wp:posOffset>
            </wp:positionH>
            <wp:positionV relativeFrom="paragraph">
              <wp:posOffset>137160</wp:posOffset>
            </wp:positionV>
            <wp:extent cx="5036185" cy="25723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036185" cy="2572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1040"/>
          </w:cols>
          <w:pgMar w:left="240" w:top="449" w:right="619" w:bottom="1440" w:gutter="0" w:footer="0" w:header="0"/>
        </w:sectPr>
      </w:pPr>
    </w:p>
    <w:bookmarkStart w:id="96" w:name="page97"/>
    <w:bookmarkEnd w:id="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Our Discovery Platform—PROTACs</w:t>
      </w:r>
    </w:p>
    <w:p>
      <w:pPr>
        <w:spacing w:after="0" w:line="126" w:lineRule="exact"/>
        <w:rPr>
          <w:sz w:val="20"/>
          <w:szCs w:val="20"/>
          <w:color w:val="auto"/>
        </w:rPr>
      </w:pPr>
    </w:p>
    <w:p>
      <w:pPr>
        <w:ind w:left="360" w:right="200" w:firstLine="535"/>
        <w:spacing w:after="0" w:line="244" w:lineRule="auto"/>
        <w:rPr>
          <w:sz w:val="20"/>
          <w:szCs w:val="20"/>
          <w:color w:val="auto"/>
        </w:rPr>
      </w:pPr>
      <w:r>
        <w:rPr>
          <w:rFonts w:ascii="Arial" w:cs="Arial" w:eastAsia="Arial" w:hAnsi="Arial"/>
          <w:sz w:val="17"/>
          <w:szCs w:val="17"/>
          <w:color w:val="auto"/>
        </w:rPr>
        <w:t>We have designed and optimized our proprietary platform for the discovery of PROTAC therapeutics to address diseases caused by abnormal proteins or aberrant protein expression. We have developed a proprietary synthetic PROTAC matrix which, combined with computational, biological and biophysical data, allows us to rapidly identify and optimize efficient protein degraders with features we believe can make for successful drugs. The modular design and holistic optimization of each PROTAC provides us with opportunities to prepare different chemical series, each with tunable properties relating to potency, selectivity and method of delivery, which can produce the efficient trimer complex necessary for degradation of the targeted protein by the proteasome. We have combined the potential of our PROTAC technology with our specialized knowledge to obtain encouraging preclinical results, including successful degradation of over 90% of the more than 30 proteins that we have targeted to date.</w:t>
      </w:r>
    </w:p>
    <w:p>
      <w:pPr>
        <w:spacing w:after="0" w:line="278"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Design and Optimization of our PROTACs</w:t>
      </w:r>
    </w:p>
    <w:p>
      <w:pPr>
        <w:spacing w:after="0" w:line="126" w:lineRule="exact"/>
        <w:rPr>
          <w:sz w:val="20"/>
          <w:szCs w:val="20"/>
          <w:color w:val="auto"/>
        </w:rPr>
      </w:pPr>
    </w:p>
    <w:p>
      <w:pPr>
        <w:ind w:left="360" w:right="260" w:firstLine="535"/>
        <w:spacing w:after="0" w:line="245" w:lineRule="auto"/>
        <w:rPr>
          <w:sz w:val="20"/>
          <w:szCs w:val="20"/>
          <w:color w:val="auto"/>
        </w:rPr>
      </w:pPr>
      <w:r>
        <w:rPr>
          <w:rFonts w:ascii="Arial" w:cs="Arial" w:eastAsia="Arial" w:hAnsi="Arial"/>
          <w:sz w:val="17"/>
          <w:szCs w:val="17"/>
          <w:color w:val="auto"/>
        </w:rPr>
        <w:t>As genomic knowledge and advances in genome mapping have increased, the understanding of proteins implicated in diseases has similarly increased. We undertake a rigorous evaluation process to prioritize protein targets for which we believe our PROTAC approach can achieve differentiated clinical outcomes for patients over existing modalities. Once we have identified a protein target, we design a modular matrix comprised of directed protein targeting ligands, E3 ligase ligands and chemical linkers to engineer an active PROTAC capable of degrading the selected protein.</w:t>
      </w:r>
    </w:p>
    <w:p>
      <w:pPr>
        <w:spacing w:after="0" w:line="81" w:lineRule="exact"/>
        <w:rPr>
          <w:sz w:val="20"/>
          <w:szCs w:val="20"/>
          <w:color w:val="auto"/>
        </w:rPr>
      </w:pPr>
    </w:p>
    <w:p>
      <w:pPr>
        <w:ind w:left="1100" w:right="140" w:hanging="210"/>
        <w:spacing w:after="0" w:line="250" w:lineRule="auto"/>
        <w:tabs>
          <w:tab w:leader="none" w:pos="1100" w:val="left"/>
        </w:tabs>
        <w:numPr>
          <w:ilvl w:val="0"/>
          <w:numId w:val="67"/>
        </w:numPr>
        <w:rPr>
          <w:rFonts w:ascii="Arial" w:cs="Arial" w:eastAsia="Arial" w:hAnsi="Arial"/>
          <w:sz w:val="17"/>
          <w:szCs w:val="17"/>
          <w:color w:val="auto"/>
        </w:rPr>
      </w:pPr>
      <w:r>
        <w:rPr>
          <w:rFonts w:ascii="Arial" w:cs="Arial" w:eastAsia="Arial" w:hAnsi="Arial"/>
          <w:sz w:val="17"/>
          <w:szCs w:val="17"/>
          <w:b w:val="1"/>
          <w:bCs w:val="1"/>
          <w:color w:val="auto"/>
        </w:rPr>
        <w:t>Directed Protein Targeting Ligands</w:t>
      </w:r>
      <w:r>
        <w:rPr>
          <w:rFonts w:ascii="Arial" w:cs="Arial" w:eastAsia="Arial" w:hAnsi="Arial"/>
          <w:sz w:val="17"/>
          <w:szCs w:val="17"/>
          <w:color w:val="auto"/>
        </w:rPr>
        <w:t>—We select ligands for incorporation into our PROTACs from a variety of sources.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ligands we select, which target the desired protein for degradation, may include (1)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ligands discovered through high-throughput screening, biophysical directed binding approaches, virtual or </w:t>
      </w:r>
      <w:r>
        <w:rPr>
          <w:rFonts w:ascii="Arial" w:cs="Arial" w:eastAsia="Arial" w:hAnsi="Arial"/>
          <w:sz w:val="17"/>
          <w:szCs w:val="17"/>
          <w:i w:val="1"/>
          <w:iCs w:val="1"/>
          <w:color w:val="auto"/>
        </w:rPr>
        <w:t>in silico</w:t>
      </w:r>
      <w:r>
        <w:rPr>
          <w:rFonts w:ascii="Arial" w:cs="Arial" w:eastAsia="Arial" w:hAnsi="Arial"/>
          <w:sz w:val="17"/>
          <w:szCs w:val="17"/>
          <w:color w:val="auto"/>
        </w:rPr>
        <w:t xml:space="preserve"> computer-based screening, and affinity-based hit identification through DNA-encoded libraries or (2) ligands that are known to bind protein targets but may have faced therapeutic limitations that we believe our PROTAC technology can overcome, such as lack of potency or function, metabolic instability or off-target effects.</w:t>
      </w:r>
    </w:p>
    <w:p>
      <w:pPr>
        <w:spacing w:after="0" w:line="76" w:lineRule="exact"/>
        <w:rPr>
          <w:rFonts w:ascii="Arial" w:cs="Arial" w:eastAsia="Arial" w:hAnsi="Arial"/>
          <w:sz w:val="17"/>
          <w:szCs w:val="17"/>
          <w:color w:val="auto"/>
        </w:rPr>
      </w:pPr>
    </w:p>
    <w:p>
      <w:pPr>
        <w:ind w:left="1100" w:right="20" w:hanging="210"/>
        <w:spacing w:after="0" w:line="250" w:lineRule="auto"/>
        <w:tabs>
          <w:tab w:leader="none" w:pos="1100" w:val="left"/>
        </w:tabs>
        <w:numPr>
          <w:ilvl w:val="0"/>
          <w:numId w:val="67"/>
        </w:numPr>
        <w:rPr>
          <w:rFonts w:ascii="Arial" w:cs="Arial" w:eastAsia="Arial" w:hAnsi="Arial"/>
          <w:sz w:val="17"/>
          <w:szCs w:val="17"/>
          <w:color w:val="auto"/>
        </w:rPr>
      </w:pPr>
      <w:r>
        <w:rPr>
          <w:rFonts w:ascii="Arial" w:cs="Arial" w:eastAsia="Arial" w:hAnsi="Arial"/>
          <w:sz w:val="17"/>
          <w:szCs w:val="17"/>
          <w:b w:val="1"/>
          <w:bCs w:val="1"/>
          <w:color w:val="auto"/>
        </w:rPr>
        <w:t>E3 Ligase Ligands</w:t>
      </w:r>
      <w:r>
        <w:rPr>
          <w:rFonts w:ascii="Arial" w:cs="Arial" w:eastAsia="Arial" w:hAnsi="Arial"/>
          <w:sz w:val="17"/>
          <w:szCs w:val="17"/>
          <w:color w:val="auto"/>
        </w:rPr>
        <w:t>—We currently utilize a group of widely expressed E3 ligases and select ligands from our proprietary library</w:t>
      </w:r>
      <w:r>
        <w:rPr>
          <w:rFonts w:ascii="Arial" w:cs="Arial" w:eastAsia="Arial" w:hAnsi="Arial"/>
          <w:sz w:val="17"/>
          <w:szCs w:val="17"/>
          <w:b w:val="1"/>
          <w:bCs w:val="1"/>
          <w:color w:val="auto"/>
        </w:rPr>
        <w:t xml:space="preserve"> </w:t>
      </w:r>
      <w:r>
        <w:rPr>
          <w:rFonts w:ascii="Arial" w:cs="Arial" w:eastAsia="Arial" w:hAnsi="Arial"/>
          <w:sz w:val="17"/>
          <w:szCs w:val="17"/>
          <w:color w:val="auto"/>
        </w:rPr>
        <w:t>for each of these E3 ligases for incorporation into our PROTACs. We are researching additional E3 ligases that are expressed in specific tissues or diseases, and identifying or discovering associated binding ligands, to offer different selectivity profiles that will further advance our PROTAC technology. We believe our success with the diverse set of E3 ligases that we are currently employing and the binders of other E3 ligases that we are researching provide us with a competitive advantage as we develop a range of products with different technical characteristics.</w:t>
      </w:r>
    </w:p>
    <w:p>
      <w:pPr>
        <w:spacing w:after="0" w:line="76" w:lineRule="exact"/>
        <w:rPr>
          <w:rFonts w:ascii="Arial" w:cs="Arial" w:eastAsia="Arial" w:hAnsi="Arial"/>
          <w:sz w:val="17"/>
          <w:szCs w:val="17"/>
          <w:color w:val="auto"/>
        </w:rPr>
      </w:pPr>
    </w:p>
    <w:p>
      <w:pPr>
        <w:ind w:left="1100" w:hanging="210"/>
        <w:spacing w:after="0" w:line="250" w:lineRule="auto"/>
        <w:tabs>
          <w:tab w:leader="none" w:pos="1100" w:val="left"/>
        </w:tabs>
        <w:numPr>
          <w:ilvl w:val="0"/>
          <w:numId w:val="67"/>
        </w:numPr>
        <w:rPr>
          <w:rFonts w:ascii="Arial" w:cs="Arial" w:eastAsia="Arial" w:hAnsi="Arial"/>
          <w:sz w:val="17"/>
          <w:szCs w:val="17"/>
          <w:color w:val="auto"/>
        </w:rPr>
      </w:pPr>
      <w:r>
        <w:rPr>
          <w:rFonts w:ascii="Arial" w:cs="Arial" w:eastAsia="Arial" w:hAnsi="Arial"/>
          <w:sz w:val="17"/>
          <w:szCs w:val="17"/>
          <w:b w:val="1"/>
          <w:bCs w:val="1"/>
          <w:color w:val="auto"/>
        </w:rPr>
        <w:t>Chemical Linkers</w:t>
      </w:r>
      <w:r>
        <w:rPr>
          <w:rFonts w:ascii="Arial" w:cs="Arial" w:eastAsia="Arial" w:hAnsi="Arial"/>
          <w:sz w:val="17"/>
          <w:szCs w:val="17"/>
          <w:color w:val="auto"/>
        </w:rPr>
        <w:t>—We connect the selected protein-targeting ligands and E3 ligase ligands with our chemical linkers. Linker</w:t>
      </w:r>
      <w:r>
        <w:rPr>
          <w:rFonts w:ascii="Arial" w:cs="Arial" w:eastAsia="Arial" w:hAnsi="Arial"/>
          <w:sz w:val="17"/>
          <w:szCs w:val="17"/>
          <w:b w:val="1"/>
          <w:bCs w:val="1"/>
          <w:color w:val="auto"/>
        </w:rPr>
        <w:t xml:space="preserve"> </w:t>
      </w:r>
      <w:r>
        <w:rPr>
          <w:rFonts w:ascii="Arial" w:cs="Arial" w:eastAsia="Arial" w:hAnsi="Arial"/>
          <w:sz w:val="17"/>
          <w:szCs w:val="17"/>
          <w:color w:val="auto"/>
        </w:rPr>
        <w:t>selection is critical for rapid identification of protein degraders and can introduce function and selectivity to a nonfunctional or nonselective binding ligand upon incorporation into a PROTAC molecule. Linker composition can also be used to modulate properties of our PROTACs, such as membrane permeability, aqueous solubility, metabolic stability and biodistribution. We select from a proprietary library of conformationally privileged linkers that we have engineered with particular length, flexibility and composition to enable the efficient formation of the trimer complex essential to ubiquitin transfer and protein degradation.</w:t>
      </w:r>
    </w:p>
    <w:p>
      <w:pPr>
        <w:spacing w:after="0" w:line="190" w:lineRule="exact"/>
        <w:rPr>
          <w:sz w:val="20"/>
          <w:szCs w:val="20"/>
          <w:color w:val="auto"/>
        </w:rPr>
      </w:pPr>
    </w:p>
    <w:p>
      <w:pPr>
        <w:jc w:val="both"/>
        <w:ind w:left="360" w:right="140" w:firstLine="535"/>
        <w:spacing w:after="0" w:line="250" w:lineRule="auto"/>
        <w:rPr>
          <w:sz w:val="20"/>
          <w:szCs w:val="20"/>
          <w:color w:val="auto"/>
        </w:rPr>
      </w:pPr>
      <w:r>
        <w:rPr>
          <w:rFonts w:ascii="Arial" w:cs="Arial" w:eastAsia="Arial" w:hAnsi="Arial"/>
          <w:sz w:val="17"/>
          <w:szCs w:val="17"/>
          <w:color w:val="auto"/>
        </w:rPr>
        <w:t>Optimization of traditional small molecule agents tends to focus on guidelines that increase the chances of such molecules having sufficient permeability and solubility to make them orally bioavailable. Chimeric small molecules, including our PROTACs, are larger than traditional small molecule therapeutics, such that the conventional optimization parameters prevalent in traditional drug</w:t>
      </w:r>
    </w:p>
    <w:p>
      <w:pPr>
        <w:spacing w:after="0" w:line="12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1060"/>
          </w:cols>
          <w:pgMar w:left="240" w:top="449" w:right="599" w:bottom="1440" w:gutter="0" w:footer="0" w:header="0"/>
        </w:sectPr>
      </w:pPr>
    </w:p>
    <w:bookmarkStart w:id="97" w:name="page98"/>
    <w:bookmarkEnd w:id="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spacing w:after="0" w:line="245" w:lineRule="auto"/>
        <w:rPr>
          <w:sz w:val="20"/>
          <w:szCs w:val="20"/>
          <w:color w:val="auto"/>
        </w:rPr>
      </w:pPr>
      <w:r>
        <w:rPr>
          <w:rFonts w:ascii="Arial" w:cs="Arial" w:eastAsia="Arial" w:hAnsi="Arial"/>
          <w:sz w:val="17"/>
          <w:szCs w:val="17"/>
          <w:color w:val="auto"/>
        </w:rPr>
        <w:t>discovery do not readily apply. As such we have developed and apply PROTAC-specific computational, biological and biophysical data for identification and optimization of our PROTACs. Our systematic approach and our scientific team’s know-how allows us to rapidly progress from target identification to PROTAC optimization and development, and allows us to make PROTACs that have properties sufficient to drive potent effects in tumor cells and that are orally bioavailable. Using these principles, we have also made PROTACs that can cross the blood brain barrier and are continually building on our understanding of PROTACs and seeking ways to improve our platform.</w:t>
      </w:r>
    </w:p>
    <w:p>
      <w:pPr>
        <w:spacing w:after="0" w:line="280"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Key Features of Our PROTACs</w:t>
      </w:r>
    </w:p>
    <w:p>
      <w:pPr>
        <w:spacing w:after="0" w:line="126" w:lineRule="exact"/>
        <w:rPr>
          <w:sz w:val="20"/>
          <w:szCs w:val="20"/>
          <w:color w:val="auto"/>
        </w:rPr>
      </w:pPr>
    </w:p>
    <w:p>
      <w:pPr>
        <w:ind w:left="360" w:right="100" w:firstLine="535"/>
        <w:spacing w:after="0" w:line="241" w:lineRule="auto"/>
        <w:rPr>
          <w:sz w:val="20"/>
          <w:szCs w:val="20"/>
          <w:color w:val="auto"/>
        </w:rPr>
      </w:pPr>
      <w:r>
        <w:rPr>
          <w:rFonts w:ascii="Arial" w:cs="Arial" w:eastAsia="Arial" w:hAnsi="Arial"/>
          <w:sz w:val="17"/>
          <w:szCs w:val="17"/>
          <w:color w:val="auto"/>
        </w:rPr>
        <w:t>In the design, optimization and development of our PROTACs, we focus on the following key features that we believe are critical to successfully engineering PROTAC therapeutics with potentially robust application across multiple indications and therapeutic</w:t>
      </w:r>
    </w:p>
    <w:p>
      <w:pPr>
        <w:spacing w:after="0" w:line="1" w:lineRule="exact"/>
        <w:rPr>
          <w:sz w:val="20"/>
          <w:szCs w:val="20"/>
          <w:color w:val="auto"/>
        </w:rPr>
      </w:pPr>
    </w:p>
    <w:p>
      <w:pPr>
        <w:ind w:left="360" w:right="160"/>
        <w:spacing w:after="0" w:line="250" w:lineRule="auto"/>
        <w:rPr>
          <w:sz w:val="20"/>
          <w:szCs w:val="20"/>
          <w:color w:val="auto"/>
        </w:rPr>
      </w:pPr>
      <w:r>
        <w:rPr>
          <w:rFonts w:ascii="Arial" w:cs="Arial" w:eastAsia="Arial" w:hAnsi="Arial"/>
          <w:sz w:val="17"/>
          <w:szCs w:val="17"/>
          <w:color w:val="auto"/>
        </w:rPr>
        <w:t>areas: potency, selectivity, and deliverability and versatility. We have harnessed these features to successfully target and degrade a wide range of protein classes, including nuclear proteins, transcription factors, epigenetic modulators, membrane proteins, cytosolic proteins and high molecular weight neuroprotein aggregates.</w:t>
      </w:r>
    </w:p>
    <w:p>
      <w:pPr>
        <w:spacing w:after="0" w:line="274"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Potency</w:t>
      </w:r>
    </w:p>
    <w:p>
      <w:pPr>
        <w:spacing w:after="0" w:line="126" w:lineRule="exact"/>
        <w:rPr>
          <w:sz w:val="20"/>
          <w:szCs w:val="20"/>
          <w:color w:val="auto"/>
        </w:rPr>
      </w:pPr>
    </w:p>
    <w:p>
      <w:pPr>
        <w:ind w:left="360" w:right="100" w:firstLine="535"/>
        <w:spacing w:after="0" w:line="259" w:lineRule="auto"/>
        <w:rPr>
          <w:sz w:val="20"/>
          <w:szCs w:val="20"/>
          <w:color w:val="auto"/>
        </w:rPr>
      </w:pPr>
      <w:r>
        <w:rPr>
          <w:rFonts w:ascii="Arial" w:cs="Arial" w:eastAsia="Arial" w:hAnsi="Arial"/>
          <w:sz w:val="17"/>
          <w:szCs w:val="17"/>
          <w:color w:val="auto"/>
        </w:rPr>
        <w:t>The potency of our PROTAC platform is driven by two key characteristics: the iterative mechanism of our PROTACs and the ability to turn weak binders into potent degraders.</w:t>
      </w:r>
    </w:p>
    <w:p>
      <w:pPr>
        <w:spacing w:after="0" w:line="268"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Iterative Mechanism</w:t>
      </w:r>
    </w:p>
    <w:p>
      <w:pPr>
        <w:spacing w:after="0" w:line="124" w:lineRule="exact"/>
        <w:rPr>
          <w:sz w:val="20"/>
          <w:szCs w:val="20"/>
          <w:color w:val="auto"/>
        </w:rPr>
      </w:pPr>
    </w:p>
    <w:p>
      <w:pPr>
        <w:ind w:left="360" w:right="20" w:firstLine="535"/>
        <w:spacing w:after="0" w:line="245" w:lineRule="auto"/>
        <w:rPr>
          <w:sz w:val="20"/>
          <w:szCs w:val="20"/>
          <w:color w:val="auto"/>
        </w:rPr>
      </w:pPr>
      <w:r>
        <w:rPr>
          <w:rFonts w:ascii="Arial" w:cs="Arial" w:eastAsia="Arial" w:hAnsi="Arial"/>
          <w:sz w:val="17"/>
          <w:szCs w:val="17"/>
          <w:color w:val="auto"/>
        </w:rPr>
        <w:t>Our PROTACs behave iteratively to repeatedly induce the ubiquitination and subsequent degradation of proteins. As a result, protein degradation may be observed with PROTAC concentrations much lower than those required for typical small molecule inhibition, even operating at picomolar concentrations. We expect that the high cellular potency of PROTACs could provide the possibility of removal of proteins at levels equivalent to the knock out effect intended by gene-based medicines currently being explored. Our PROTACs offer potentially significant therapeutic advantages, including low doses, low drug exposures and practical dosing intervals, potentially mitigating toxicity and tolerability risks.</w:t>
      </w:r>
    </w:p>
    <w:p>
      <w:pPr>
        <w:spacing w:after="0" w:line="192" w:lineRule="exact"/>
        <w:rPr>
          <w:sz w:val="20"/>
          <w:szCs w:val="20"/>
          <w:color w:val="auto"/>
        </w:rPr>
      </w:pPr>
    </w:p>
    <w:p>
      <w:pPr>
        <w:ind w:left="360" w:right="200" w:firstLine="535"/>
        <w:spacing w:after="0" w:line="247" w:lineRule="auto"/>
        <w:rPr>
          <w:sz w:val="20"/>
          <w:szCs w:val="20"/>
          <w:color w:val="auto"/>
        </w:rPr>
      </w:pPr>
      <w:r>
        <w:rPr>
          <w:rFonts w:ascii="Arial" w:cs="Arial" w:eastAsia="Arial" w:hAnsi="Arial"/>
          <w:sz w:val="17"/>
          <w:szCs w:val="17"/>
          <w:color w:val="auto"/>
        </w:rPr>
        <w:t>The iterative mechanism of our PROTACs potentially leads to more complete and lasting inactivation of downstream signaling in cells. In oncology, this translates into improved inhibition of tumor cell growth and reduces the likelihood of cell compensation through activation of alternative proteins, a common risk associated with small molecule inhibitors. This enables PROTACs to operate in a broad therapeutic space between desired degradation-induced pharmacology and unwanted inhibition-induced effects.</w:t>
      </w:r>
    </w:p>
    <w:p>
      <w:pPr>
        <w:spacing w:after="0" w:line="192" w:lineRule="exact"/>
        <w:rPr>
          <w:sz w:val="20"/>
          <w:szCs w:val="20"/>
          <w:color w:val="auto"/>
        </w:rPr>
      </w:pPr>
    </w:p>
    <w:p>
      <w:pPr>
        <w:ind w:left="360" w:right="20" w:firstLine="535"/>
        <w:spacing w:after="0" w:line="250" w:lineRule="auto"/>
        <w:rPr>
          <w:sz w:val="20"/>
          <w:szCs w:val="20"/>
          <w:color w:val="auto"/>
        </w:rPr>
      </w:pPr>
      <w:r>
        <w:rPr>
          <w:rFonts w:ascii="Arial" w:cs="Arial" w:eastAsia="Arial" w:hAnsi="Arial"/>
          <w:sz w:val="17"/>
          <w:szCs w:val="17"/>
          <w:color w:val="auto"/>
        </w:rPr>
        <w:t>Once the pre-existing reservoir of the targeted protein is depleted, our PROTACs only need to degrade newly resynthesized protein to maintain their effect. Depending on the resynthesis rate of the protein, this may be achievable with low tissue concentrations of PROTAC, which could lead to safety benefits and opportunities for flexible dosing regimens.</w:t>
      </w:r>
    </w:p>
    <w:p>
      <w:pPr>
        <w:spacing w:after="0" w:line="276"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Weak Binders Become Potent Degraders</w:t>
      </w:r>
    </w:p>
    <w:p>
      <w:pPr>
        <w:spacing w:after="0" w:line="124" w:lineRule="exact"/>
        <w:rPr>
          <w:sz w:val="20"/>
          <w:szCs w:val="20"/>
          <w:color w:val="auto"/>
        </w:rPr>
      </w:pPr>
    </w:p>
    <w:p>
      <w:pPr>
        <w:ind w:left="360" w:right="180" w:firstLine="535"/>
        <w:spacing w:after="0" w:line="247" w:lineRule="auto"/>
        <w:rPr>
          <w:sz w:val="20"/>
          <w:szCs w:val="20"/>
          <w:color w:val="auto"/>
        </w:rPr>
      </w:pPr>
      <w:r>
        <w:rPr>
          <w:rFonts w:ascii="Arial" w:cs="Arial" w:eastAsia="Arial" w:hAnsi="Arial"/>
          <w:sz w:val="17"/>
          <w:szCs w:val="17"/>
          <w:color w:val="auto"/>
        </w:rPr>
        <w:t>Using our platform and know-how, we are able to engineer potent PROTACs that do not require a high degree of binding strength to their targets. This contrasts with small molecule inhibitors, which require strong binding to a target protein and function by continually occupying the protein’s active site. The potency of our PROTACs is determined by a number of kinetic factors: formation of the trimer complex, rapid ubiquitination, trafficking of the ubiquitinated target to the proteasome and release of</w:t>
      </w:r>
    </w:p>
    <w:p>
      <w:pPr>
        <w:spacing w:after="0" w:line="12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1060"/>
          </w:cols>
          <w:pgMar w:left="240" w:top="450" w:right="599" w:bottom="1440" w:gutter="0" w:footer="0" w:header="0"/>
        </w:sectPr>
      </w:pPr>
    </w:p>
    <w:bookmarkStart w:id="98" w:name="page99"/>
    <w:bookmarkEnd w:id="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40"/>
        <w:spacing w:after="0" w:line="250" w:lineRule="auto"/>
        <w:rPr>
          <w:sz w:val="20"/>
          <w:szCs w:val="20"/>
          <w:color w:val="auto"/>
        </w:rPr>
      </w:pPr>
      <w:r>
        <w:rPr>
          <w:rFonts w:ascii="Arial" w:cs="Arial" w:eastAsia="Arial" w:hAnsi="Arial"/>
          <w:sz w:val="17"/>
          <w:szCs w:val="17"/>
          <w:color w:val="auto"/>
        </w:rPr>
        <w:t>the PROTAC to enter another iterative cycle of degradation. As a result, a PROTAC with a low level of target protein occupancy can maintain a deep and prolonged suppression of protein levels, leading to the desired pharmacological effect. This provides opportunities to use our PROTAC technology to repurpose small molecules that only weakly bind to their target to create potent degraders as PROTACs.</w:t>
      </w:r>
    </w:p>
    <w:p>
      <w:pPr>
        <w:spacing w:after="0" w:line="189" w:lineRule="exact"/>
        <w:rPr>
          <w:sz w:val="20"/>
          <w:szCs w:val="20"/>
          <w:color w:val="auto"/>
        </w:rPr>
      </w:pPr>
    </w:p>
    <w:p>
      <w:pPr>
        <w:ind w:left="360" w:firstLine="535"/>
        <w:spacing w:after="0" w:line="251" w:lineRule="auto"/>
        <w:rPr>
          <w:sz w:val="20"/>
          <w:szCs w:val="20"/>
          <w:color w:val="auto"/>
        </w:rPr>
      </w:pPr>
      <w:r>
        <w:rPr>
          <w:rFonts w:ascii="Arial" w:cs="Arial" w:eastAsia="Arial" w:hAnsi="Arial"/>
          <w:sz w:val="17"/>
          <w:szCs w:val="17"/>
          <w:color w:val="auto"/>
        </w:rPr>
        <w:t>For example, we recently published experiments where we built PROTACs from the known protein kinase inhibitor foretinib, which is a relatively weak binder to the protein p38a, a protein implicated in immune disorders and heart disease. We constructed a foretinib-based PROTAC we refer to as PROTAC 1, which happened to further weaken the binding affinity to p38a. Binding affinity is measured by K</w:t>
      </w:r>
      <w:r>
        <w:rPr>
          <w:rFonts w:ascii="Arial" w:cs="Arial" w:eastAsia="Arial" w:hAnsi="Arial"/>
          <w:sz w:val="14"/>
          <w:szCs w:val="14"/>
          <w:color w:val="auto"/>
        </w:rPr>
        <w:t>D</w:t>
      </w:r>
      <w:r>
        <w:rPr>
          <w:rFonts w:ascii="Arial" w:cs="Arial" w:eastAsia="Arial" w:hAnsi="Arial"/>
          <w:sz w:val="17"/>
          <w:szCs w:val="17"/>
          <w:color w:val="auto"/>
        </w:rPr>
        <w:t>, or equilibrium dissociation constant. In this case, we observed that PROTAC 1 exhibited a tenfold reduction in binding affinity relative to foretinib, decreasing from 1 micromolar, or mM, to 11 mM. Despite the significantly weaker binding affinity, PROTAC 1 achieved potent degradation of p38a with a DC</w:t>
      </w:r>
      <w:r>
        <w:rPr>
          <w:rFonts w:ascii="Arial" w:cs="Arial" w:eastAsia="Arial" w:hAnsi="Arial"/>
          <w:sz w:val="14"/>
          <w:szCs w:val="14"/>
          <w:color w:val="auto"/>
        </w:rPr>
        <w:t>50</w:t>
      </w:r>
      <w:r>
        <w:rPr>
          <w:rFonts w:ascii="Arial" w:cs="Arial" w:eastAsia="Arial" w:hAnsi="Arial"/>
          <w:sz w:val="17"/>
          <w:szCs w:val="17"/>
          <w:color w:val="auto"/>
        </w:rPr>
        <w:t>, a concentration that results in half maximal degradation, of 210 nanomolar, or nM, which means that its degradation potency is approximately 50-fold better than its binding strength. The figure below shows a western blot of cells treated with increasing concentrations (left to right) of foretinib, the PROTAC 1, and an inactivated (non-degrading) version of PROTAC 1. The decreasing presence of the p38a protein is depicted by a lighter shade of the p38a band in the western blot as the doses of the PROTAC 1 increase. This demonstrates our ability to use a weak binder to create a potent PROTAC degrader. Based on our experience, we believe that with additional medicinal chemistry effort, the degradation potency of this weak-binding PROTAC could be further increased.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1285240</wp:posOffset>
            </wp:positionH>
            <wp:positionV relativeFrom="paragraph">
              <wp:posOffset>137795</wp:posOffset>
            </wp:positionV>
            <wp:extent cx="4686935" cy="12573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686935" cy="1257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Selectivity</w:t>
      </w:r>
    </w:p>
    <w:p>
      <w:pPr>
        <w:spacing w:after="0" w:line="126" w:lineRule="exact"/>
        <w:rPr>
          <w:sz w:val="20"/>
          <w:szCs w:val="20"/>
          <w:color w:val="auto"/>
        </w:rPr>
      </w:pPr>
    </w:p>
    <w:p>
      <w:pPr>
        <w:ind w:left="360" w:right="120" w:firstLine="535"/>
        <w:spacing w:after="0" w:line="247" w:lineRule="auto"/>
        <w:rPr>
          <w:sz w:val="20"/>
          <w:szCs w:val="20"/>
          <w:color w:val="auto"/>
        </w:rPr>
      </w:pPr>
      <w:r>
        <w:rPr>
          <w:rFonts w:ascii="Arial" w:cs="Arial" w:eastAsia="Arial" w:hAnsi="Arial"/>
          <w:sz w:val="17"/>
          <w:szCs w:val="17"/>
          <w:color w:val="auto"/>
        </w:rPr>
        <w:t>When a ligand is incorporated into a PROTAC, the trimer complex initiated by the PROTAC often causes the ligand’s selectivity to increase, meaning that the degradation profile of a PROTAC can be even more selective than the binding profile of the ligand alone. By minimizing the binding of a ligand to off-target proteins and maximizing selectivity for a target protein, our PROTACs may reduce the potential for incidental degradation of normal, healthy proteins and unwanted drug effects and toxicity.</w:t>
      </w:r>
    </w:p>
    <w:p>
      <w:pPr>
        <w:spacing w:after="0" w:line="126"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1020"/>
          </w:cols>
          <w:pgMar w:left="240" w:top="449" w:right="639" w:bottom="1440" w:gutter="0" w:footer="0" w:header="0"/>
        </w:sectPr>
      </w:pPr>
    </w:p>
    <w:bookmarkStart w:id="99" w:name="page100"/>
    <w:bookmarkEnd w:id="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120" w:firstLine="535"/>
        <w:spacing w:after="0" w:line="247" w:lineRule="auto"/>
        <w:rPr>
          <w:sz w:val="20"/>
          <w:szCs w:val="20"/>
          <w:color w:val="auto"/>
        </w:rPr>
      </w:pPr>
      <w:r>
        <w:rPr>
          <w:rFonts w:ascii="Arial" w:cs="Arial" w:eastAsia="Arial" w:hAnsi="Arial"/>
          <w:sz w:val="17"/>
          <w:szCs w:val="17"/>
          <w:color w:val="auto"/>
        </w:rPr>
        <w:t>We recently published experiments in which a ligand binding to 133 kinases degraded fewer than ten proteins when incorporated into a PROTAC with limited additional modification. The figure below on the left depicts foretinib binding to 133 protein kinases as measured by a competitive binding assay. The figure on the right depicts cells treated with a foretinib-based PROTAC degrading only a small subset of cellular proteins (lower left quadrant of the graph) as shown by mass spectrometry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1884680</wp:posOffset>
            </wp:positionH>
            <wp:positionV relativeFrom="paragraph">
              <wp:posOffset>139065</wp:posOffset>
            </wp:positionV>
            <wp:extent cx="3496310" cy="17983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96310" cy="1798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360" w:firstLine="535"/>
        <w:spacing w:after="0" w:line="250" w:lineRule="auto"/>
        <w:rPr>
          <w:sz w:val="20"/>
          <w:szCs w:val="20"/>
          <w:color w:val="auto"/>
        </w:rPr>
      </w:pPr>
      <w:r>
        <w:rPr>
          <w:rFonts w:ascii="Arial" w:cs="Arial" w:eastAsia="Arial" w:hAnsi="Arial"/>
          <w:sz w:val="17"/>
          <w:szCs w:val="17"/>
          <w:color w:val="auto"/>
        </w:rPr>
        <w:t>With further modification, and based on our experience, we believe it is possible to engineer promiscuous binders such as this into more selective protein degraders, and when starting with less promiscuous, yet still unselective, binders, identify very selective PROTAC degraders.</w:t>
      </w:r>
    </w:p>
    <w:p>
      <w:pPr>
        <w:spacing w:after="0" w:line="189" w:lineRule="exact"/>
        <w:rPr>
          <w:sz w:val="20"/>
          <w:szCs w:val="20"/>
          <w:color w:val="auto"/>
        </w:rPr>
      </w:pPr>
    </w:p>
    <w:p>
      <w:pPr>
        <w:ind w:left="360" w:firstLine="535"/>
        <w:spacing w:after="0" w:line="244" w:lineRule="auto"/>
        <w:rPr>
          <w:sz w:val="20"/>
          <w:szCs w:val="20"/>
          <w:color w:val="auto"/>
        </w:rPr>
      </w:pPr>
      <w:r>
        <w:rPr>
          <w:rFonts w:ascii="Arial" w:cs="Arial" w:eastAsia="Arial" w:hAnsi="Arial"/>
          <w:sz w:val="17"/>
          <w:szCs w:val="17"/>
          <w:color w:val="auto"/>
        </w:rPr>
        <w:t>This selectivity allows for engineering of PROTACs that degrade only the mutated and unwanted protein, while sparing the normal, or wild-type, protein that may be necessary for healthy function. For example, we have demonstrated degradation of abnormal, but not wild-type, forms of the BRAF protein using a PROTAC. Wild-type BRAF helps transmit chemical signals from outside the cell to the cell’s nucleus and is part of a pathway that regulates cell proliferation, differentiation, migration and apoptosis. Mutations of BRAF, however, have been associated with a number of different cancers. As shown in the figure below, our PROTAC degraded BRAF mutants, as depicted by a lighter shade in the columns labeled 300 nM, representative of each of the three classes of BRAF mutations, while not degrading the wild-type BRAF, as depicted by an unchanging shade in each of the columns shown on the western blot.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2159000</wp:posOffset>
            </wp:positionH>
            <wp:positionV relativeFrom="paragraph">
              <wp:posOffset>140970</wp:posOffset>
            </wp:positionV>
            <wp:extent cx="2947035" cy="9486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947035" cy="948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620"/>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4"/>
          <w:szCs w:val="14"/>
          <w:color w:val="auto"/>
        </w:rPr>
        <w:t>hMito is a protein this particular PROTAC is not targeted to degrade, and is</w:t>
      </w:r>
    </w:p>
    <w:p>
      <w:pPr>
        <w:ind w:left="2620"/>
        <w:spacing w:after="0"/>
        <w:rPr>
          <w:sz w:val="20"/>
          <w:szCs w:val="20"/>
          <w:color w:val="auto"/>
        </w:rPr>
      </w:pPr>
      <w:r>
        <w:rPr>
          <w:rFonts w:ascii="Arial" w:cs="Arial" w:eastAsia="Arial" w:hAnsi="Arial"/>
          <w:sz w:val="14"/>
          <w:szCs w:val="14"/>
          <w:color w:val="auto"/>
        </w:rPr>
        <w:t>included as a control to ensure total protein is equivalent in each lane.</w:t>
      </w:r>
    </w:p>
    <w:p>
      <w:pPr>
        <w:spacing w:after="0" w:line="285"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Deliverability and Versatility</w:t>
      </w:r>
    </w:p>
    <w:p>
      <w:pPr>
        <w:spacing w:after="0" w:line="126" w:lineRule="exact"/>
        <w:rPr>
          <w:sz w:val="20"/>
          <w:szCs w:val="20"/>
          <w:color w:val="auto"/>
        </w:rPr>
      </w:pPr>
    </w:p>
    <w:p>
      <w:pPr>
        <w:ind w:left="360" w:right="120" w:firstLine="535"/>
        <w:spacing w:after="0" w:line="247" w:lineRule="auto"/>
        <w:rPr>
          <w:sz w:val="20"/>
          <w:szCs w:val="20"/>
          <w:color w:val="auto"/>
        </w:rPr>
      </w:pPr>
      <w:r>
        <w:rPr>
          <w:rFonts w:ascii="Arial" w:cs="Arial" w:eastAsia="Arial" w:hAnsi="Arial"/>
          <w:sz w:val="17"/>
          <w:szCs w:val="17"/>
          <w:color w:val="auto"/>
        </w:rPr>
        <w:t>Our PROTACs have the potential for delivery through multiple routes of administration to reach target proteins, and certain of our PROTACs are capable of penetrating the blood brain barrier. In addition, the broad expression of the E3 ligases we target and the potential to turn weak binding ligands into potent degraders allows the application of our PROTAC technology to develop treatments for diseases associated with proteins that cannot be addressed by existing small molecule therapies.</w:t>
      </w:r>
    </w:p>
    <w:p>
      <w:pPr>
        <w:spacing w:after="0" w:line="126"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0960"/>
          </w:cols>
          <w:pgMar w:left="240" w:top="449" w:right="699" w:bottom="1440" w:gutter="0" w:footer="0" w:header="0"/>
        </w:sectPr>
      </w:pPr>
    </w:p>
    <w:bookmarkStart w:id="100" w:name="page101"/>
    <w:bookmarkEnd w:id="1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Deliverability</w:t>
      </w:r>
    </w:p>
    <w:p>
      <w:pPr>
        <w:spacing w:after="0" w:line="124" w:lineRule="exact"/>
        <w:rPr>
          <w:sz w:val="20"/>
          <w:szCs w:val="20"/>
          <w:color w:val="auto"/>
        </w:rPr>
      </w:pPr>
    </w:p>
    <w:p>
      <w:pPr>
        <w:ind w:left="360" w:right="100" w:firstLine="535"/>
        <w:spacing w:after="0" w:line="245" w:lineRule="auto"/>
        <w:rPr>
          <w:sz w:val="20"/>
          <w:szCs w:val="20"/>
          <w:color w:val="auto"/>
        </w:rPr>
      </w:pPr>
      <w:r>
        <w:rPr>
          <w:rFonts w:ascii="Arial" w:cs="Arial" w:eastAsia="Arial" w:hAnsi="Arial"/>
          <w:sz w:val="17"/>
          <w:szCs w:val="17"/>
          <w:color w:val="auto"/>
        </w:rPr>
        <w:t>We have developed PROTACs that are capable of being delivered orally, intravenously, subcutaneously and intrathecally, among other routes of administration, as well as PROTACs that are able to penetrate the blood brain barrier. The multiple routes of delivery for our PROTACs potentially provide many attractive clinical dosing options. For example, oral delivery can offer a differentiating, competitive and commercial advantage over other therapeutic approaches such as gene-based medicines that allows for more convenient treatment. Further, oral administration avoids risks of adverse events associated with intravenous or intramuscular administration, such as the potential for infection and blood clots at the infusion site.</w:t>
      </w:r>
    </w:p>
    <w:p>
      <w:pPr>
        <w:spacing w:after="0" w:line="279"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Versatility</w:t>
      </w:r>
    </w:p>
    <w:p>
      <w:pPr>
        <w:spacing w:after="0" w:line="124" w:lineRule="exact"/>
        <w:rPr>
          <w:sz w:val="20"/>
          <w:szCs w:val="20"/>
          <w:color w:val="auto"/>
        </w:rPr>
      </w:pPr>
    </w:p>
    <w:p>
      <w:pPr>
        <w:ind w:left="360" w:right="20" w:firstLine="535"/>
        <w:spacing w:after="0" w:line="244" w:lineRule="auto"/>
        <w:rPr>
          <w:sz w:val="20"/>
          <w:szCs w:val="20"/>
          <w:color w:val="auto"/>
        </w:rPr>
      </w:pPr>
      <w:r>
        <w:rPr>
          <w:rFonts w:ascii="Arial" w:cs="Arial" w:eastAsia="Arial" w:hAnsi="Arial"/>
          <w:sz w:val="17"/>
          <w:szCs w:val="17"/>
          <w:color w:val="auto"/>
        </w:rPr>
        <w:t>We believe our PROTACs may have potential application in a wide range of therapeutic areas because the E3 ligases we currently target are expressed widely across tissue types. Ligands that bind to some proteins may be of only weak affinity. However, we believe that our PROTAC technology will allow the degradation of proteins through such low affinity active binding sites or non-functional binding sites. Our ability to design weak binding PROTACs that nonetheless initiate rapid ubiquitination and subsequent degradation of targeted proteins has the potential to expand the number of disease-causing proteins targeted for drug development to include the up to 80% of proteins that cannot be addressed by existing small molecule therapies and are currently considered undruggable. We believe that rendering these targets druggable for the first time represents the true breadth and potential of our PROTAC platform.</w:t>
      </w:r>
    </w:p>
    <w:p>
      <w:pPr>
        <w:spacing w:after="0" w:line="195" w:lineRule="exact"/>
        <w:rPr>
          <w:sz w:val="20"/>
          <w:szCs w:val="20"/>
          <w:color w:val="auto"/>
        </w:rPr>
      </w:pPr>
    </w:p>
    <w:p>
      <w:pPr>
        <w:ind w:left="360" w:firstLine="535"/>
        <w:spacing w:after="0" w:line="245" w:lineRule="auto"/>
        <w:rPr>
          <w:sz w:val="20"/>
          <w:szCs w:val="20"/>
          <w:color w:val="auto"/>
        </w:rPr>
      </w:pPr>
      <w:r>
        <w:rPr>
          <w:rFonts w:ascii="Arial" w:cs="Arial" w:eastAsia="Arial" w:hAnsi="Arial"/>
          <w:sz w:val="17"/>
          <w:szCs w:val="17"/>
          <w:color w:val="auto"/>
        </w:rPr>
        <w:t>We conducted an experiment designed to demonstrate that non-functional binding sites, analogous to those that may be present on proteins considered undruggable, can be used to target proteins for degradation by PROTACs. The figure below depicts a structural model of the Abl tyrosine kinase. This protein kinase possesses an enzymatic active site that is inhibited by the marketed small molecule, imatinib. The Abl kinase also has a second, non-functional active site, called an allosteric site (shown in the red circle below), in its structure that can bind a different small molecule, named GNF-2, which despite binding allosterically (with a relatively weak K</w:t>
      </w:r>
      <w:r>
        <w:rPr>
          <w:rFonts w:ascii="Arial" w:cs="Arial" w:eastAsia="Arial" w:hAnsi="Arial"/>
          <w:sz w:val="14"/>
          <w:szCs w:val="14"/>
          <w:color w:val="auto"/>
        </w:rPr>
        <w:t>D</w:t>
      </w:r>
      <w:r>
        <w:rPr>
          <w:rFonts w:ascii="Arial" w:cs="Arial" w:eastAsia="Arial" w:hAnsi="Arial"/>
          <w:sz w:val="17"/>
          <w:szCs w:val="17"/>
          <w:color w:val="auto"/>
        </w:rPr>
        <w:t xml:space="preserve"> of 500 nM), inhibits only the wild type protein (C-Abl), but not BCR-Abl—a mutated form of Abl implicated in chronic myelogenous leukemia.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139065</wp:posOffset>
            </wp:positionV>
            <wp:extent cx="3180080" cy="23888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180080" cy="2388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1060"/>
          </w:cols>
          <w:pgMar w:left="240" w:top="449" w:right="599" w:bottom="1440" w:gutter="0" w:footer="0" w:header="0"/>
        </w:sectPr>
      </w:pPr>
    </w:p>
    <w:bookmarkStart w:id="101" w:name="page102"/>
    <w:bookmarkEnd w:id="1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280" w:firstLine="535"/>
        <w:spacing w:after="0" w:line="247" w:lineRule="auto"/>
        <w:rPr>
          <w:sz w:val="20"/>
          <w:szCs w:val="20"/>
          <w:color w:val="auto"/>
        </w:rPr>
      </w:pPr>
      <w:r>
        <w:rPr>
          <w:rFonts w:ascii="Arial" w:cs="Arial" w:eastAsia="Arial" w:hAnsi="Arial"/>
          <w:sz w:val="17"/>
          <w:szCs w:val="17"/>
          <w:color w:val="auto"/>
        </w:rPr>
        <w:t>When GNF-2 is converted into a PROTAC and used to treat cells, both BCR-Abl and C-Abl are effectively degraded. The figure below shows western blots of cells treated by increasing concentrations of our PROTAC and shows decreasing presence of each of BCR-Abl and C-Abl protein (depicted by a lighter shade of the BCR/Abl and C-Abl band in the western blot). Downstream signaling, as denoted by reduction of phosphorylated Stat5 (pStat5), is subsequently inhibited.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139065</wp:posOffset>
            </wp:positionV>
            <wp:extent cx="3263265" cy="17729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263265" cy="1772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120" w:right="1260"/>
        <w:spacing w:after="0" w:line="187" w:lineRule="auto"/>
        <w:rPr>
          <w:sz w:val="20"/>
          <w:szCs w:val="20"/>
          <w:color w:val="auto"/>
        </w:rPr>
      </w:pPr>
      <w:r>
        <w:rPr>
          <w:rFonts w:ascii="Arial" w:cs="Arial" w:eastAsia="Arial" w:hAnsi="Arial"/>
          <w:sz w:val="23"/>
          <w:szCs w:val="23"/>
          <w:color w:val="auto"/>
          <w:vertAlign w:val="superscript"/>
        </w:rPr>
        <w:t>1</w:t>
      </w:r>
      <w:r>
        <w:rPr>
          <w:rFonts w:ascii="Arial" w:cs="Arial" w:eastAsia="Arial" w:hAnsi="Arial"/>
          <w:sz w:val="14"/>
          <w:szCs w:val="14"/>
          <w:color w:val="auto"/>
        </w:rPr>
        <w:t>Tubulin is a protein the GNF-2 PROTAC is not targeted to degrade, and is included as a control to ensure total protein is equivalent in each lane.</w:t>
      </w:r>
    </w:p>
    <w:p>
      <w:pPr>
        <w:spacing w:after="0" w:line="195" w:lineRule="exact"/>
        <w:rPr>
          <w:sz w:val="20"/>
          <w:szCs w:val="20"/>
          <w:color w:val="auto"/>
        </w:rPr>
      </w:pPr>
    </w:p>
    <w:p>
      <w:pPr>
        <w:ind w:left="360" w:right="80" w:firstLine="535"/>
        <w:spacing w:after="0" w:line="246" w:lineRule="auto"/>
        <w:rPr>
          <w:sz w:val="20"/>
          <w:szCs w:val="20"/>
          <w:color w:val="auto"/>
        </w:rPr>
      </w:pPr>
      <w:r>
        <w:rPr>
          <w:rFonts w:ascii="Arial" w:cs="Arial" w:eastAsia="Arial" w:hAnsi="Arial"/>
          <w:sz w:val="17"/>
          <w:szCs w:val="17"/>
          <w:color w:val="auto"/>
        </w:rPr>
        <w:t>PROTAC-induced degradation may offer a solution for undruggable proteins because only binders, not functional inhibitors, are needed to facilitate E3 ligase recruitment and initiation of the degradation process. The probability of finding a suitable ligand using binding-site-agnostic screening is increased because the function of the ligand itself is not required. As a result, there is the potential for PROTACs to generate therapeutics from poorly selective ligands, weak-affinity ligands, or ligands that may not be intrinsically biologically active.</w:t>
      </w:r>
    </w:p>
    <w:p>
      <w:pPr>
        <w:spacing w:after="0" w:line="200" w:lineRule="exact"/>
        <w:rPr>
          <w:sz w:val="20"/>
          <w:szCs w:val="20"/>
          <w:color w:val="auto"/>
        </w:rPr>
      </w:pPr>
    </w:p>
    <w:p>
      <w:pPr>
        <w:spacing w:after="0" w:line="274"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Our Programs</w:t>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ARV-110 for AR Degradation in Men with Metastatic Castration-Resistant Prostate Cancer</w:t>
      </w:r>
    </w:p>
    <w:p>
      <w:pPr>
        <w:spacing w:after="0" w:line="126" w:lineRule="exact"/>
        <w:rPr>
          <w:sz w:val="20"/>
          <w:szCs w:val="20"/>
          <w:color w:val="auto"/>
        </w:rPr>
      </w:pPr>
    </w:p>
    <w:p>
      <w:pPr>
        <w:ind w:left="360" w:firstLine="535"/>
        <w:spacing w:after="0" w:line="245" w:lineRule="auto"/>
        <w:rPr>
          <w:sz w:val="20"/>
          <w:szCs w:val="20"/>
          <w:color w:val="auto"/>
        </w:rPr>
      </w:pPr>
      <w:r>
        <w:rPr>
          <w:rFonts w:ascii="Arial" w:cs="Arial" w:eastAsia="Arial" w:hAnsi="Arial"/>
          <w:sz w:val="17"/>
          <w:szCs w:val="17"/>
          <w:color w:val="auto"/>
        </w:rPr>
        <w:t>We are developing ARV-110, an orally bioavailable, AR degrading PROTAC, for the treatment of men with metastatic castration-resistant prostate cancer, or mCRPC. We have chosen AR degradation as our initial therapeutic focus due to the well-documented biology of AR signaling as the principal driver of this cancer. ARV-110 has demonstrated activity in preclinical models of AR overexpression and AR mutations, both common mechanisms of resistance to current standard-of-care agents in men with prostate cancer. We believe that the differentiated PROTAC pharmacology of ARV-110, including its iterative activity, has the potential to translate into significantly improved clinical outcomes over current standard-of-care agents.</w:t>
      </w:r>
    </w:p>
    <w:p>
      <w:pPr>
        <w:spacing w:after="0" w:line="277"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Prostate Cancer</w:t>
      </w:r>
    </w:p>
    <w:p>
      <w:pPr>
        <w:spacing w:after="0" w:line="126" w:lineRule="exact"/>
        <w:rPr>
          <w:sz w:val="20"/>
          <w:szCs w:val="20"/>
          <w:color w:val="auto"/>
        </w:rPr>
      </w:pPr>
    </w:p>
    <w:p>
      <w:pPr>
        <w:ind w:left="360" w:right="100" w:firstLine="535"/>
        <w:spacing w:after="0" w:line="245" w:lineRule="auto"/>
        <w:rPr>
          <w:sz w:val="20"/>
          <w:szCs w:val="20"/>
          <w:color w:val="auto"/>
        </w:rPr>
      </w:pPr>
      <w:r>
        <w:rPr>
          <w:rFonts w:ascii="Arial" w:cs="Arial" w:eastAsia="Arial" w:hAnsi="Arial"/>
          <w:sz w:val="17"/>
          <w:szCs w:val="17"/>
          <w:color w:val="auto"/>
        </w:rPr>
        <w:t>In the United States, prostate cancer is both the second most prevalent cancer in men and the second leading cause of cancer death in men. Current estimates predict that one in nine men will be diagnosed with prostate cancer in his lifetime. The American Cancer Society estimates that in 2018 there will be over 160,000 new cases of prostate cancer in the United States and approximately 30,000 deaths from the disease. Further, based on an article published in 2015 in PLoS ONE, a peer-reviewed scientific journal, there are approximately between 35,000 and 45,000 new incidences of mCRPC each year. Men with mCRPC have a poor prognosis and a predicted survival rate of fewer than two years from the initial time of progression.</w:t>
      </w:r>
    </w:p>
    <w:p>
      <w:pPr>
        <w:spacing w:after="0" w:line="127"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1020"/>
          </w:cols>
          <w:pgMar w:left="240" w:top="449" w:right="639" w:bottom="1440" w:gutter="0" w:footer="0" w:header="0"/>
        </w:sectPr>
      </w:pPr>
    </w:p>
    <w:bookmarkStart w:id="102" w:name="page103"/>
    <w:bookmarkEnd w:id="1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80" w:firstLine="535"/>
        <w:spacing w:after="0" w:line="243" w:lineRule="auto"/>
        <w:rPr>
          <w:sz w:val="20"/>
          <w:szCs w:val="20"/>
          <w:color w:val="auto"/>
        </w:rPr>
      </w:pPr>
      <w:r>
        <w:rPr>
          <w:rFonts w:ascii="Arial" w:cs="Arial" w:eastAsia="Arial" w:hAnsi="Arial"/>
          <w:sz w:val="17"/>
          <w:szCs w:val="17"/>
          <w:color w:val="auto"/>
        </w:rPr>
        <w:t>Treatment options for prostate cancer depend on many different factors, including the stage of the cancer. Castration-resistant prostate cancer is defined by disease progression despite androgen deprivation therapy, or ADT, and is often indicated by rising levels of prostate-specific antigen, or PSA. In making treatment evaluations, physicians monitor disease burdens in several ways, including changes in PSA levels. Increased PSA blood levels are considered by many physicians as indicative of cancer progression, and alternative treatment options may be considered. Current standard of care for men with castration-resistant prostate cancer provides that patients should initially receive a combination of ADT and either abiraterone, which works by decreasing androgen levels, or enzalutamide, which works by blocking androgen binding to AR. If the disease progresses despite these second-generation hormonal therapies, chemotherapy is considered the next treatment option. Treatment with chemotherapy is generally postponed for as long as possible due to the potential for severe side effects including neuropathies, nausea, diarrhea, decreased mental capacity and increased risk of infections.</w:t>
      </w:r>
    </w:p>
    <w:p>
      <w:pPr>
        <w:spacing w:after="0" w:line="395" w:lineRule="exact"/>
        <w:rPr>
          <w:sz w:val="20"/>
          <w:szCs w:val="20"/>
          <w:color w:val="auto"/>
        </w:rPr>
      </w:pPr>
    </w:p>
    <w:p>
      <w:pPr>
        <w:ind w:left="360" w:firstLine="535"/>
        <w:spacing w:after="0" w:line="244" w:lineRule="auto"/>
        <w:rPr>
          <w:sz w:val="20"/>
          <w:szCs w:val="20"/>
          <w:color w:val="auto"/>
        </w:rPr>
      </w:pPr>
      <w:r>
        <w:rPr>
          <w:rFonts w:ascii="Arial" w:cs="Arial" w:eastAsia="Arial" w:hAnsi="Arial"/>
          <w:sz w:val="17"/>
          <w:szCs w:val="17"/>
          <w:color w:val="auto"/>
        </w:rPr>
        <w:t>Androgen receptor remains the principal driver of castration-resistant prostate cancer progression during the transition from localized to metastatic disease, with AR gene amplification occurring in 40% to 60% of patients, amplification of a transcription regulatory region upstream of the AR gene occurring in 70% to 87% of patients, and AR point mutations occurring in approximately 15% of patients. Between 15% to 25% of patients do not respond to either abiraterone or enzalutamide and the vast majority of the responsive patients will ultimately become resistant, resulting in limited survival. There remains meaningful unmet medical need in the treatment paradigm of mCRPC, including a significant underserved set of patients who are or become resistant to current therapies. Based on our preclinical data, we believe our PROTACs may overcome these known resistance mechanisms and create meaningful clinical benefit for patients.</w:t>
      </w:r>
    </w:p>
    <w:p>
      <w:pPr>
        <w:spacing w:after="0" w:line="280"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Preclinical Development</w:t>
      </w:r>
    </w:p>
    <w:p>
      <w:pPr>
        <w:spacing w:after="0" w:line="126" w:lineRule="exact"/>
        <w:rPr>
          <w:sz w:val="20"/>
          <w:szCs w:val="20"/>
          <w:color w:val="auto"/>
        </w:rPr>
      </w:pPr>
    </w:p>
    <w:p>
      <w:pPr>
        <w:ind w:left="360" w:right="40" w:firstLine="535"/>
        <w:spacing w:after="0" w:line="259" w:lineRule="auto"/>
        <w:rPr>
          <w:sz w:val="20"/>
          <w:szCs w:val="20"/>
          <w:color w:val="auto"/>
        </w:rPr>
      </w:pPr>
      <w:r>
        <w:rPr>
          <w:rFonts w:ascii="Arial" w:cs="Arial" w:eastAsia="Arial" w:hAnsi="Arial"/>
          <w:sz w:val="17"/>
          <w:szCs w:val="17"/>
          <w:color w:val="auto"/>
        </w:rPr>
        <w:t>We have conducted a comprehensive preclinical program to study ARV-110 as a potential treatment for men with mCRPC and are preparing to submit an IND and initiate clinical development.</w:t>
      </w:r>
    </w:p>
    <w:p>
      <w:pPr>
        <w:spacing w:after="0" w:line="163" w:lineRule="exact"/>
        <w:rPr>
          <w:sz w:val="20"/>
          <w:szCs w:val="20"/>
          <w:color w:val="auto"/>
        </w:rPr>
      </w:pPr>
    </w:p>
    <w:p>
      <w:pPr>
        <w:ind w:left="360" w:right="180" w:firstLine="535"/>
        <w:spacing w:after="0" w:line="254" w:lineRule="auto"/>
        <w:rPr>
          <w:sz w:val="20"/>
          <w:szCs w:val="20"/>
          <w:color w:val="auto"/>
        </w:rPr>
      </w:pPr>
      <w:r>
        <w:rPr>
          <w:rFonts w:ascii="Arial" w:cs="Arial" w:eastAsia="Arial" w:hAnsi="Arial"/>
          <w:sz w:val="17"/>
          <w:szCs w:val="17"/>
          <w:color w:val="auto"/>
        </w:rPr>
        <w:t xml:space="preserve">In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models, ARV-110 degraded 95% to 98% of AR in multiple cell lines typically used in prostate cancer research. For example, the figure below shows a western blot of Vertebral Cancer of the Prostate, or VCaP, cells treated with ARV-110 at 10 nM concentration. The figure below shows decreasing presence of AR (depicted by a lighter shade of the AR band in the western blot) over time with near maximal degradation of AR within four hours of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2333625</wp:posOffset>
            </wp:positionH>
            <wp:positionV relativeFrom="paragraph">
              <wp:posOffset>135890</wp:posOffset>
            </wp:positionV>
            <wp:extent cx="2588895" cy="11404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588895" cy="1140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300" w:right="1120"/>
        <w:spacing w:after="0" w:line="187" w:lineRule="auto"/>
        <w:rPr>
          <w:sz w:val="20"/>
          <w:szCs w:val="20"/>
          <w:color w:val="auto"/>
        </w:rPr>
      </w:pPr>
      <w:r>
        <w:rPr>
          <w:rFonts w:ascii="Arial" w:cs="Arial" w:eastAsia="Arial" w:hAnsi="Arial"/>
          <w:sz w:val="23"/>
          <w:szCs w:val="23"/>
          <w:color w:val="auto"/>
          <w:vertAlign w:val="superscript"/>
        </w:rPr>
        <w:t>1</w:t>
      </w:r>
      <w:r>
        <w:rPr>
          <w:rFonts w:ascii="Arial" w:cs="Arial" w:eastAsia="Arial" w:hAnsi="Arial"/>
          <w:sz w:val="14"/>
          <w:szCs w:val="14"/>
          <w:color w:val="auto"/>
        </w:rPr>
        <w:t>Tubulin is a protein ARV-110 is not targeted to degrade, and is included as a control to ensure total protein is equivalent in each lane.</w:t>
      </w:r>
    </w:p>
    <w:p>
      <w:pPr>
        <w:spacing w:after="0" w:line="177" w:lineRule="exact"/>
        <w:rPr>
          <w:sz w:val="20"/>
          <w:szCs w:val="20"/>
          <w:color w:val="auto"/>
        </w:rPr>
      </w:pPr>
    </w:p>
    <w:p>
      <w:pPr>
        <w:ind w:left="360" w:right="40" w:firstLine="535"/>
        <w:spacing w:after="0" w:line="281" w:lineRule="auto"/>
        <w:rPr>
          <w:sz w:val="20"/>
          <w:szCs w:val="20"/>
          <w:color w:val="auto"/>
        </w:rPr>
      </w:pPr>
      <w:r>
        <w:rPr>
          <w:rFonts w:ascii="Arial" w:cs="Arial" w:eastAsia="Arial" w:hAnsi="Arial"/>
          <w:sz w:val="17"/>
          <w:szCs w:val="17"/>
          <w:color w:val="auto"/>
        </w:rPr>
        <w:t xml:space="preserve">ARV-110 is also highly selective for AR. A proteomic analysis of VCaP cells treated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with ARV-110 at a 10 nM concentration for eight hours demonstrated that only AR was degraded from the nearly 4,000 measured proteins.</w:t>
      </w:r>
    </w:p>
    <w:p>
      <w:pPr>
        <w:spacing w:after="0" w:line="163" w:lineRule="exact"/>
        <w:rPr>
          <w:sz w:val="20"/>
          <w:szCs w:val="20"/>
          <w:color w:val="auto"/>
        </w:rPr>
      </w:pPr>
    </w:p>
    <w:p>
      <w:pPr>
        <w:ind w:left="360" w:right="60" w:firstLine="535"/>
        <w:spacing w:after="0" w:line="259" w:lineRule="auto"/>
        <w:rPr>
          <w:sz w:val="20"/>
          <w:szCs w:val="20"/>
          <w:color w:val="auto"/>
        </w:rPr>
      </w:pPr>
      <w:r>
        <w:rPr>
          <w:rFonts w:ascii="Arial" w:cs="Arial" w:eastAsia="Arial" w:hAnsi="Arial"/>
          <w:sz w:val="17"/>
          <w:szCs w:val="17"/>
          <w:color w:val="auto"/>
        </w:rPr>
        <w:t>Importantly, in addition to AR degradation and selectivity, we have observed in preclinical studies the ability of ARV-110 to potently inhibit prostate cancer cell growth and reduce PSA levels. In addition</w:t>
      </w:r>
    </w:p>
    <w:p>
      <w:pPr>
        <w:spacing w:after="0" w:line="116"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1000"/>
          </w:cols>
          <w:pgMar w:left="240" w:top="449" w:right="659" w:bottom="1440" w:gutter="0" w:footer="0" w:header="0"/>
        </w:sectPr>
      </w:pPr>
    </w:p>
    <w:bookmarkStart w:id="103" w:name="page104"/>
    <w:bookmarkEnd w:id="1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20"/>
        <w:spacing w:after="0" w:line="245" w:lineRule="auto"/>
        <w:rPr>
          <w:sz w:val="20"/>
          <w:szCs w:val="20"/>
          <w:color w:val="auto"/>
        </w:rPr>
      </w:pPr>
      <w:r>
        <w:rPr>
          <w:rFonts w:ascii="Arial" w:cs="Arial" w:eastAsia="Arial" w:hAnsi="Arial"/>
          <w:sz w:val="17"/>
          <w:szCs w:val="17"/>
          <w:color w:val="auto"/>
        </w:rPr>
        <w:t xml:space="preserve">to guiding treatment decisions, reduction in PSA is often an indicator of the effectiveness of treatment in clinical trials, although it is not recognized as a surrogate endpoint for purposes of regulatory approval. The figure below shows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inhibition of PSA synthesis in Lymph Node Cancer of the Prostate cells, which are androgen-sensitive human prostate adenocarcinoma cells, that have been engineered to overexpress AR, using ARV-110 as compared with enzalutamide. In this study, ARV-110 demonstrated equivalent reduction in PSA to enzalutamide at ten-fold lower concentration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2741930</wp:posOffset>
            </wp:positionH>
            <wp:positionV relativeFrom="paragraph">
              <wp:posOffset>140970</wp:posOffset>
            </wp:positionV>
            <wp:extent cx="1781175" cy="15982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781175" cy="159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60" w:firstLine="535"/>
        <w:spacing w:after="0" w:line="261" w:lineRule="auto"/>
        <w:rPr>
          <w:sz w:val="20"/>
          <w:szCs w:val="20"/>
          <w:color w:val="auto"/>
        </w:rPr>
      </w:pPr>
      <w:r>
        <w:rPr>
          <w:rFonts w:ascii="Arial" w:cs="Arial" w:eastAsia="Arial" w:hAnsi="Arial"/>
          <w:sz w:val="17"/>
          <w:szCs w:val="17"/>
          <w:color w:val="auto"/>
        </w:rPr>
        <w:t xml:space="preserve">In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mouse models, ARV-110 has inhibited AR-dependent tumor growth, in a statistically significant manner. ARV-110 exhibited superior tumor growth inhibition compared to enzalutamide in both castrated and intact (non-castrated) xenograft models derived from VCaP cell lines.</w:t>
      </w:r>
    </w:p>
    <w:p>
      <w:pPr>
        <w:spacing w:after="0" w:line="162" w:lineRule="exact"/>
        <w:rPr>
          <w:sz w:val="20"/>
          <w:szCs w:val="20"/>
          <w:color w:val="auto"/>
        </w:rPr>
      </w:pPr>
    </w:p>
    <w:p>
      <w:pPr>
        <w:ind w:left="360" w:right="120" w:firstLine="535"/>
        <w:spacing w:after="0" w:line="249" w:lineRule="auto"/>
        <w:rPr>
          <w:sz w:val="20"/>
          <w:szCs w:val="20"/>
          <w:color w:val="auto"/>
        </w:rPr>
      </w:pPr>
      <w:r>
        <w:rPr>
          <w:rFonts w:ascii="Arial" w:cs="Arial" w:eastAsia="Arial" w:hAnsi="Arial"/>
          <w:sz w:val="17"/>
          <w:szCs w:val="17"/>
          <w:color w:val="auto"/>
        </w:rPr>
        <w:t xml:space="preserve">To assess the ability of ARV-110 to treat enzalutamide-resistant cancers, we conducted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studies of ARV-110 in an enzalutamide-resistant VCaP xenograft model. These VCaP tumors acquired resistance to enzalutamide after being continuously propagated in castrated, enzalutamide treated mice for approximately three years. This resistance can be seen in the figure below, as tumors in mice dosed with enzalutamide grew at nearly the same rate as tumors in mice dosed only with the drug vehicle—a control similar to dosing a placebo. Orally delivered ARV-110 significantly inhibited tumor growth, described as tumor growth inhibition, or TGI, in these enzalutamide-resistant VCaP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2708275</wp:posOffset>
            </wp:positionH>
            <wp:positionV relativeFrom="paragraph">
              <wp:posOffset>138430</wp:posOffset>
            </wp:positionV>
            <wp:extent cx="1847850" cy="15982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847850" cy="159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60" w:right="60" w:firstLine="535"/>
        <w:spacing w:after="0" w:line="281" w:lineRule="auto"/>
        <w:rPr>
          <w:sz w:val="20"/>
          <w:szCs w:val="20"/>
          <w:color w:val="auto"/>
        </w:rPr>
      </w:pPr>
      <w:r>
        <w:rPr>
          <w:rFonts w:ascii="Arial" w:cs="Arial" w:eastAsia="Arial" w:hAnsi="Arial"/>
          <w:sz w:val="17"/>
          <w:szCs w:val="17"/>
          <w:color w:val="auto"/>
        </w:rPr>
        <w:t xml:space="preserve">We have also conducted preclinical studies of ARV-110 for enzalutamide-insensitive cancers. We conducted an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study using a tumor line derived directly from a patient, referred to as a patient</w:t>
      </w:r>
    </w:p>
    <w:p>
      <w:pPr>
        <w:spacing w:after="0" w:line="9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1040"/>
          </w:cols>
          <w:pgMar w:left="240" w:top="449" w:right="619" w:bottom="1440" w:gutter="0" w:footer="0" w:header="0"/>
        </w:sectPr>
      </w:pPr>
    </w:p>
    <w:bookmarkStart w:id="104" w:name="page105"/>
    <w:bookmarkEnd w:id="1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spacing w:after="0" w:line="245" w:lineRule="auto"/>
        <w:rPr>
          <w:sz w:val="20"/>
          <w:szCs w:val="20"/>
          <w:color w:val="auto"/>
        </w:rPr>
      </w:pPr>
      <w:r>
        <w:rPr>
          <w:rFonts w:ascii="Arial" w:cs="Arial" w:eastAsia="Arial" w:hAnsi="Arial"/>
          <w:sz w:val="17"/>
          <w:szCs w:val="17"/>
          <w:color w:val="auto"/>
        </w:rPr>
        <w:t>derived xenograft, or PDX, model. This model is derived from a tumor from a patient not treated with enzalutamide but that is insensitive to enzalutamide. This insensitivity can be seen in the figure below, as tumors in mice dosed with enzalutamide grew at only a slightly slower rate than tumors in mice dosed only with the drug vehicle. In contrast, orally delivered ARV-110 significantly inhibited tumor growth in these enzalutamide-insensitive tumors, achieving a TGI value of 100%. Further, PSA levels in the plasma of mice following 20 days of ARV-110 dosing significantly decreased in comparison to those dosed with only the drug vehicle or enzalutamide.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2717165</wp:posOffset>
            </wp:positionH>
            <wp:positionV relativeFrom="paragraph">
              <wp:posOffset>140970</wp:posOffset>
            </wp:positionV>
            <wp:extent cx="1823085" cy="15982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823085" cy="159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60" w:right="40" w:firstLine="535"/>
        <w:spacing w:after="0" w:line="250" w:lineRule="auto"/>
        <w:rPr>
          <w:sz w:val="20"/>
          <w:szCs w:val="20"/>
          <w:color w:val="auto"/>
        </w:rPr>
      </w:pPr>
      <w:r>
        <w:rPr>
          <w:rFonts w:ascii="Arial" w:cs="Arial" w:eastAsia="Arial" w:hAnsi="Arial"/>
          <w:sz w:val="17"/>
          <w:szCs w:val="17"/>
          <w:color w:val="auto"/>
        </w:rPr>
        <w:t>We believe the activity of ARV-110 in the above VCaP and PDX models may closely reflect enzalutamide resistance or insensitivity in the clinic and shows the potential for treatment of patients whose tumors have become resistant to, or demonstrate intrinsic resistance to, a current standard-of-care agent.</w:t>
      </w:r>
    </w:p>
    <w:p>
      <w:pPr>
        <w:spacing w:after="0" w:line="189" w:lineRule="exact"/>
        <w:rPr>
          <w:sz w:val="20"/>
          <w:szCs w:val="20"/>
          <w:color w:val="auto"/>
        </w:rPr>
      </w:pPr>
    </w:p>
    <w:p>
      <w:pPr>
        <w:ind w:left="360" w:right="540" w:firstLine="535"/>
        <w:spacing w:after="0" w:line="250" w:lineRule="auto"/>
        <w:rPr>
          <w:sz w:val="20"/>
          <w:szCs w:val="20"/>
          <w:color w:val="auto"/>
        </w:rPr>
      </w:pPr>
      <w:r>
        <w:rPr>
          <w:rFonts w:ascii="Arial" w:cs="Arial" w:eastAsia="Arial" w:hAnsi="Arial"/>
          <w:sz w:val="17"/>
          <w:szCs w:val="17"/>
          <w:color w:val="auto"/>
        </w:rPr>
        <w:t>ARV-110 has also reduced the levels of PSA in plasma comparable to levels achieved with enzalutamide in a different VCaP xenograft mouse model but at a lower dosing level. The figure below shows measurements of levels of PSA in the plasma of mice following 26 days of oral, daily dosing of either a vehicle, enzalutamide or ARV-110 at multiple dosing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2667000</wp:posOffset>
            </wp:positionH>
            <wp:positionV relativeFrom="paragraph">
              <wp:posOffset>137160</wp:posOffset>
            </wp:positionV>
            <wp:extent cx="1931035" cy="15982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931035" cy="159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60" w:right="40" w:firstLine="535"/>
        <w:spacing w:after="0" w:line="247" w:lineRule="auto"/>
        <w:rPr>
          <w:sz w:val="20"/>
          <w:szCs w:val="20"/>
          <w:color w:val="auto"/>
        </w:rPr>
      </w:pPr>
      <w:r>
        <w:rPr>
          <w:rFonts w:ascii="Arial" w:cs="Arial" w:eastAsia="Arial" w:hAnsi="Arial"/>
          <w:sz w:val="17"/>
          <w:szCs w:val="17"/>
          <w:color w:val="auto"/>
        </w:rPr>
        <w:t>We have conducted IND-enabling Good Laboratory Practice, or GLP, toxicology studies with ARV-110 in rats and dogs and believe that these studies support advancement of ARV-110 into clinical development. Both study designs called for animals to be treated once daily, orally for 28 days, followed by a 14-day recovery period for high dose animals. We believe both studies provide favorable safety margins of approximately five to ten times higher than the anticipated therapeutic doses.</w:t>
      </w:r>
    </w:p>
    <w:p>
      <w:pPr>
        <w:spacing w:after="0" w:line="12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1040"/>
          </w:cols>
          <w:pgMar w:left="240" w:top="449" w:right="619" w:bottom="1440" w:gutter="0" w:footer="0" w:header="0"/>
        </w:sectPr>
      </w:pPr>
    </w:p>
    <w:bookmarkStart w:id="105" w:name="page106"/>
    <w:bookmarkEnd w:id="1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40" w:firstLine="535"/>
        <w:spacing w:after="0" w:line="245" w:lineRule="auto"/>
        <w:rPr>
          <w:sz w:val="20"/>
          <w:szCs w:val="20"/>
          <w:color w:val="auto"/>
        </w:rPr>
      </w:pPr>
      <w:r>
        <w:rPr>
          <w:rFonts w:ascii="Arial" w:cs="Arial" w:eastAsia="Arial" w:hAnsi="Arial"/>
          <w:sz w:val="17"/>
          <w:szCs w:val="17"/>
          <w:color w:val="auto"/>
        </w:rPr>
        <w:t>In the rat study, ARV-110 doses of 20, 60 or 120 mpk per day were administered to male animals and ARV-110 doses of 20, 40 or 80 mpk per day were administered to female animals. In this study, a no observed adverse effect level, or NOAEL, of 40 mpk in female animals and either 60 mpk or 120 mpk in male animals was identified and is expected to be confirmed once the audited draft study report is available in September 2018. All findings observed in male high-dose animals were considered reversible by the study director. Atrophy of the prostate and seminal vesicles was noted in male animals at all dose levels and we believe is attributable to the pharmacologic activity of ARV-110.</w:t>
      </w:r>
    </w:p>
    <w:p>
      <w:pPr>
        <w:spacing w:after="0" w:line="392" w:lineRule="exact"/>
        <w:rPr>
          <w:sz w:val="20"/>
          <w:szCs w:val="20"/>
          <w:color w:val="auto"/>
        </w:rPr>
      </w:pPr>
    </w:p>
    <w:p>
      <w:pPr>
        <w:ind w:left="360" w:firstLine="535"/>
        <w:spacing w:after="0" w:line="245" w:lineRule="auto"/>
        <w:rPr>
          <w:sz w:val="20"/>
          <w:szCs w:val="20"/>
          <w:color w:val="auto"/>
        </w:rPr>
      </w:pPr>
      <w:r>
        <w:rPr>
          <w:rFonts w:ascii="Arial" w:cs="Arial" w:eastAsia="Arial" w:hAnsi="Arial"/>
          <w:sz w:val="17"/>
          <w:szCs w:val="17"/>
          <w:color w:val="auto"/>
        </w:rPr>
        <w:t>In the dog study, ARV-110 doses of 3, 10 or 30 mpk per day were administered to all animals. In this study, the NOAEL was 10 mpk per day. The high dose of 30 mpk per day exceeded the maximum tolerated dose, and dosing in this group was stopped prior to the planned completion to allow for collection of reversibility data. Elevations in liver function enzymes noted in some mid- and high-dose animals were considered reversible by the study director, and non-adverse as they were without microscopic correlates. In addition, at all dose levels, including animals receiving vehicle only, gastrointestinal alteration such as loose and abnormally colored stools were noted. Decreased prostate weights were noted in all male animals and we believe are attributable to the pharmacologic activity of ARV-110.</w:t>
      </w:r>
    </w:p>
    <w:p>
      <w:pPr>
        <w:spacing w:after="0" w:line="277"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Our Planned Phase 1 Clinical Trial</w:t>
      </w:r>
    </w:p>
    <w:p>
      <w:pPr>
        <w:spacing w:after="0" w:line="126" w:lineRule="exact"/>
        <w:rPr>
          <w:sz w:val="20"/>
          <w:szCs w:val="20"/>
          <w:color w:val="auto"/>
        </w:rPr>
      </w:pPr>
    </w:p>
    <w:p>
      <w:pPr>
        <w:ind w:left="360" w:firstLine="535"/>
        <w:spacing w:after="0" w:line="241" w:lineRule="auto"/>
        <w:rPr>
          <w:sz w:val="20"/>
          <w:szCs w:val="20"/>
          <w:color w:val="auto"/>
        </w:rPr>
      </w:pPr>
      <w:r>
        <w:rPr>
          <w:rFonts w:ascii="Arial" w:cs="Arial" w:eastAsia="Arial" w:hAnsi="Arial"/>
          <w:sz w:val="17"/>
          <w:szCs w:val="17"/>
          <w:color w:val="auto"/>
        </w:rPr>
        <w:t>We expect to file an IND for ARV-110 in the second half of 2018 and expect to dose the first patient in a Phase 1 clinical trial in the first quarter of 2019. Our planned Phase 1 trial is designed as a dose-escalation study of ARV-110 in approximately 28 to 36 men with progressive mCRPC. The Phase 1 trial primarily will investigate the safety and tolerability of ARV-110 and characterize its pharmacokinetic profile. Secondary endpoints are expected to include preliminary assessment of biochemical and clinical activity based on evaluation of PSA levels and radiographic measurement of evaluable lesions based on bone scans and Response Evaluation Criteria in Solid Tumors, or RECIST criteria, a standardized set of rules for response assessment widely used in oncology clinical trials based on tumor shrinkage. We plan to include exploratory markers of disease burden, such as circulating tumor cell enumeration, as exploratory endpoints of the trial. We expect initial topline results, including evaluation of PSA levels, from this trial in the second half of 2019. If a safe dose is identified for further development, we expect to enroll an additional 60 patients with mCRPC in an expansion cohort. Patients in the expansion cohort will be treated at the recommended Phase 2 dose. We expect that data from these patients will assist us in further characterizing the safety and pharmacokinetic profile of ARV-110 and allow us to better understand the disease characteristics and AR status of those patients who may derive benefit from ARV-110 therapy. We expect to analyze data collected from patients in the expansion cohort according to the following patient subsets: (1) pre- and post-chemotherapy; (2) post-enzalutamide or post-abiraterone;</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(3) post-enzalutamide and post-abiraterone; and (4) presence or absence of AR splice variants, AR mutations and AR amplification.</w:t>
      </w:r>
    </w:p>
    <w:p>
      <w:pPr>
        <w:spacing w:after="0" w:line="296"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Next Generation AR Degraders</w:t>
      </w:r>
    </w:p>
    <w:p>
      <w:pPr>
        <w:spacing w:after="0" w:line="126" w:lineRule="exact"/>
        <w:rPr>
          <w:sz w:val="20"/>
          <w:szCs w:val="20"/>
          <w:color w:val="auto"/>
        </w:rPr>
      </w:pPr>
    </w:p>
    <w:p>
      <w:pPr>
        <w:ind w:left="360" w:right="20" w:firstLine="535"/>
        <w:spacing w:after="0" w:line="247" w:lineRule="auto"/>
        <w:rPr>
          <w:sz w:val="20"/>
          <w:szCs w:val="20"/>
          <w:color w:val="auto"/>
        </w:rPr>
      </w:pPr>
      <w:r>
        <w:rPr>
          <w:rFonts w:ascii="Arial" w:cs="Arial" w:eastAsia="Arial" w:hAnsi="Arial"/>
          <w:sz w:val="17"/>
          <w:szCs w:val="17"/>
          <w:color w:val="auto"/>
        </w:rPr>
        <w:t>We are developing additional PROTACs capable of degrading AR and certain AR splice variants. Our next generation AR degrader is being developed to target and degrade AR and certain additional, clinically relevant AR point mutations, most notably the L702H point mutation. The L702H point mutation in the ligand-binding domain of AR results in activation of the AR by glucocorticoids and can cause resistance to a standard of care regimen.</w:t>
      </w:r>
    </w:p>
    <w:p>
      <w:pPr>
        <w:spacing w:after="0" w:line="276"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AR-V7 Degraders</w:t>
      </w:r>
    </w:p>
    <w:p>
      <w:pPr>
        <w:spacing w:after="0" w:line="126" w:lineRule="exact"/>
        <w:rPr>
          <w:sz w:val="20"/>
          <w:szCs w:val="20"/>
          <w:color w:val="auto"/>
        </w:rPr>
      </w:pPr>
    </w:p>
    <w:p>
      <w:pPr>
        <w:ind w:left="360" w:right="280" w:firstLine="535"/>
        <w:spacing w:after="0" w:line="259" w:lineRule="auto"/>
        <w:rPr>
          <w:sz w:val="20"/>
          <w:szCs w:val="20"/>
          <w:color w:val="auto"/>
        </w:rPr>
      </w:pPr>
      <w:r>
        <w:rPr>
          <w:rFonts w:ascii="Arial" w:cs="Arial" w:eastAsia="Arial" w:hAnsi="Arial"/>
          <w:sz w:val="17"/>
          <w:szCs w:val="17"/>
          <w:color w:val="auto"/>
        </w:rPr>
        <w:t>We expect that results from our Phase 1 clinical trial of ARV-110 will provide further data on the role of androgen receptor splice variant-7, or AR-V7, in prostate cancer. ARV-110 binds to full-length</w:t>
      </w:r>
    </w:p>
    <w:p>
      <w:pPr>
        <w:spacing w:after="0" w:line="11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1040"/>
          </w:cols>
          <w:pgMar w:left="240" w:top="449" w:right="619" w:bottom="1440" w:gutter="0" w:footer="0" w:header="0"/>
        </w:sectPr>
      </w:pPr>
    </w:p>
    <w:bookmarkStart w:id="106" w:name="page107"/>
    <w:bookmarkEnd w:id="1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spacing w:after="0" w:line="243" w:lineRule="auto"/>
        <w:rPr>
          <w:sz w:val="20"/>
          <w:szCs w:val="20"/>
          <w:color w:val="auto"/>
        </w:rPr>
      </w:pPr>
      <w:r>
        <w:rPr>
          <w:rFonts w:ascii="Arial" w:cs="Arial" w:eastAsia="Arial" w:hAnsi="Arial"/>
          <w:sz w:val="17"/>
          <w:szCs w:val="17"/>
          <w:color w:val="auto"/>
        </w:rPr>
        <w:t>AR at its ligand-binding domain. AR-V7 is a truncated form of AR that lacks the ligand-binding domain necessary to bind with ARV-110 and which ARV-110 therefore does not degrade. AR exists as a dimer, a complex made up of two single AR proteins. AR-V7 can form a dimer with a full-length AR, and such non-identical protein dimers are called heterodimers. We believe that ARV-110, by degrading the full-length AR component of the heterodimer, will successfully inactivate AR-V7-directed signaling. Although shown as a heterodimer preclinically, there is uncertainty as to whether AR-V7 and AR form a heterodimer in patients’ tumors. It is also possible that AR-V7 signals through V7-only dimers, which would be unaffected by ARV-110. Although the presence of AR-V7 has been shown to correlate with a lack of response to enzalutamide and abiraterone, a recent study demonstrated that approximately 40% of patients with AR-V7 expressing circulating tumor cells show a PSA response to enzalutamide. Given the evolving potential role of AR-V7 in prostate cancer, as a follow-on to ARV-110, we are exploring the identification and development of a PROTAC that can degrade AR-V7 directly, as well as other AR splice variants.</w:t>
      </w:r>
    </w:p>
    <w:p>
      <w:pPr>
        <w:spacing w:after="0" w:line="200" w:lineRule="exact"/>
        <w:rPr>
          <w:sz w:val="20"/>
          <w:szCs w:val="20"/>
          <w:color w:val="auto"/>
        </w:rPr>
      </w:pPr>
    </w:p>
    <w:p>
      <w:pPr>
        <w:spacing w:after="0" w:line="280"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ARV-471 for ER Degradation in Women with Metastatic ER Positive Breast Cancer</w:t>
      </w:r>
    </w:p>
    <w:p>
      <w:pPr>
        <w:spacing w:after="0" w:line="231" w:lineRule="exact"/>
        <w:rPr>
          <w:sz w:val="20"/>
          <w:szCs w:val="20"/>
          <w:color w:val="auto"/>
        </w:rPr>
      </w:pPr>
    </w:p>
    <w:p>
      <w:pPr>
        <w:ind w:left="360" w:right="60" w:firstLine="535"/>
        <w:spacing w:after="0" w:line="244" w:lineRule="auto"/>
        <w:rPr>
          <w:sz w:val="20"/>
          <w:szCs w:val="20"/>
          <w:color w:val="auto"/>
        </w:rPr>
      </w:pPr>
      <w:r>
        <w:rPr>
          <w:rFonts w:ascii="Arial" w:cs="Arial" w:eastAsia="Arial" w:hAnsi="Arial"/>
          <w:sz w:val="17"/>
          <w:szCs w:val="17"/>
          <w:color w:val="auto"/>
        </w:rPr>
        <w:t>We are developing ARV-471, an orally bioavailable ER degrading PROTAC, as an alternative to, and potentially more potent degrader than, the intramuscular injection fulvestrant and other selective ER degraders currently in development for the treatment of women with metastatic ER positive / HER2 negative breast cancer, or ER+ breast cancer. Similar to our AR program, we have chosen ER degradation as a therapeutic focus given the well-documented biology of ER signaling as a principal driver in breast cancer. ARV-471 has demonstrated activity in metastatic ER+ breast cancer preclinical models. We plan to clinically investigate ARV-471 for use as a single agent and in combination with CDK 4/6 inhibitors such as palbociclib. We believe ARV-471 has the potential to improve clinical outcomes over current standards of care for women with metastatic ER+ breast cancer.</w:t>
      </w:r>
    </w:p>
    <w:p>
      <w:pPr>
        <w:spacing w:after="0" w:line="280"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Breast Cancer</w:t>
      </w:r>
    </w:p>
    <w:p>
      <w:pPr>
        <w:spacing w:after="0" w:line="126" w:lineRule="exact"/>
        <w:rPr>
          <w:sz w:val="20"/>
          <w:szCs w:val="20"/>
          <w:color w:val="auto"/>
        </w:rPr>
      </w:pPr>
    </w:p>
    <w:p>
      <w:pPr>
        <w:ind w:left="360" w:right="20" w:firstLine="535"/>
        <w:spacing w:after="0" w:line="247" w:lineRule="auto"/>
        <w:rPr>
          <w:sz w:val="20"/>
          <w:szCs w:val="20"/>
          <w:color w:val="auto"/>
        </w:rPr>
      </w:pPr>
      <w:r>
        <w:rPr>
          <w:rFonts w:ascii="Arial" w:cs="Arial" w:eastAsia="Arial" w:hAnsi="Arial"/>
          <w:sz w:val="17"/>
          <w:szCs w:val="17"/>
          <w:color w:val="auto"/>
        </w:rPr>
        <w:t>In the United States, breast cancer is the second most common cancer and the second leading cause of cancer death in women. The American Cancer Society estimates that in 2018 there will be approximately 266,000 women diagnosed with invasive breast cancer in the United States. Metastatic breast cancer accounts for approximately 6% of newly diagnosed cases. Approximately 80% of newly diagnosed breast cancers are ER+, with many patients developing resistance to current treatment options over time.</w:t>
      </w:r>
    </w:p>
    <w:p>
      <w:pPr>
        <w:spacing w:after="0" w:line="192" w:lineRule="exact"/>
        <w:rPr>
          <w:sz w:val="20"/>
          <w:szCs w:val="20"/>
          <w:color w:val="auto"/>
        </w:rPr>
      </w:pPr>
    </w:p>
    <w:p>
      <w:pPr>
        <w:ind w:left="360" w:right="140" w:firstLine="535"/>
        <w:spacing w:after="0" w:line="244" w:lineRule="auto"/>
        <w:rPr>
          <w:sz w:val="20"/>
          <w:szCs w:val="20"/>
          <w:color w:val="auto"/>
        </w:rPr>
      </w:pPr>
      <w:r>
        <w:rPr>
          <w:rFonts w:ascii="Arial" w:cs="Arial" w:eastAsia="Arial" w:hAnsi="Arial"/>
          <w:sz w:val="17"/>
          <w:szCs w:val="17"/>
          <w:color w:val="auto"/>
        </w:rPr>
        <w:t>Treatment options for breast cancer depend on many different factors, including the stage of the cancer and whether the cancer cells contain hormone receptors. Women with locally advanced or metastatic breast cancer are treated with systemic therapy, including hormone therapy, chemotherapy and targeted therapy, either as single-agents or in combination. Women with metastatic ER+ breast cancer are often treated with hormone therapy, such as tamoxifen or an aromatase inhibitor, sometimes in combination with targeted drugs such as CDK 4/6 inhibitors. In patients with aggressive disease or whose disease continues to progress with a hormonal treatment regimen, chemotherapy may be prescribed. Treatment with chemotherapy is generally postponed for as long as possible due to the potential for severe side effects including neuropathies, nausea, diarrhea, decreased mental capacity and increased risk of infections.</w:t>
      </w:r>
    </w:p>
    <w:p>
      <w:pPr>
        <w:spacing w:after="0" w:line="195" w:lineRule="exact"/>
        <w:rPr>
          <w:sz w:val="20"/>
          <w:szCs w:val="20"/>
          <w:color w:val="auto"/>
        </w:rPr>
      </w:pPr>
    </w:p>
    <w:p>
      <w:pPr>
        <w:ind w:left="360" w:right="140" w:firstLine="535"/>
        <w:spacing w:after="0" w:line="246" w:lineRule="auto"/>
        <w:rPr>
          <w:sz w:val="20"/>
          <w:szCs w:val="20"/>
          <w:color w:val="auto"/>
        </w:rPr>
      </w:pPr>
      <w:r>
        <w:rPr>
          <w:rFonts w:ascii="Arial" w:cs="Arial" w:eastAsia="Arial" w:hAnsi="Arial"/>
          <w:sz w:val="17"/>
          <w:szCs w:val="17"/>
          <w:color w:val="auto"/>
        </w:rPr>
        <w:t>A current standard of care for women with ER+ locally advanced or metastatic breast cancer is fulvestrant, an ER degrader administered as a monthly intramuscular injection, either as a single-agent or in combination with another targeted therapy. While fulvestrant has validated the importance of ER degradation as a therapeutic intervention, up to 50% of ER can remain when compared to baseline levels after six months of treatment with fulvestrant, providing an opportunity for more potent ER degraders, such as our PROTACs.</w:t>
      </w:r>
    </w:p>
    <w:p>
      <w:pPr>
        <w:spacing w:after="0" w:line="32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1060"/>
          </w:cols>
          <w:pgMar w:left="240" w:top="449" w:right="599" w:bottom="1440" w:gutter="0" w:footer="0" w:header="0"/>
        </w:sectPr>
      </w:pPr>
    </w:p>
    <w:bookmarkStart w:id="107" w:name="page108"/>
    <w:bookmarkEnd w:id="1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Preclinical Development</w:t>
      </w:r>
    </w:p>
    <w:p>
      <w:pPr>
        <w:spacing w:after="0" w:line="126" w:lineRule="exact"/>
        <w:rPr>
          <w:sz w:val="20"/>
          <w:szCs w:val="20"/>
          <w:color w:val="auto"/>
        </w:rPr>
      </w:pPr>
    </w:p>
    <w:p>
      <w:pPr>
        <w:ind w:left="360" w:right="60" w:firstLine="535"/>
        <w:spacing w:after="0" w:line="250" w:lineRule="auto"/>
        <w:rPr>
          <w:sz w:val="20"/>
          <w:szCs w:val="20"/>
          <w:color w:val="auto"/>
        </w:rPr>
      </w:pPr>
      <w:r>
        <w:rPr>
          <w:rFonts w:ascii="Arial" w:cs="Arial" w:eastAsia="Arial" w:hAnsi="Arial"/>
          <w:sz w:val="17"/>
          <w:szCs w:val="17"/>
          <w:color w:val="auto"/>
        </w:rPr>
        <w:t>We are conducting a comprehensive preclinical program to study ARV-471 as a potential treatment for women with metastatic ER+ breast cancer. In our preclinical studies, ARV-471 was a superior degrader of ER compared to fulvestrant. ARV-471 has also shown superior tumor growth inhibition when combined with a CDK4/6 inhibitor compared to fulvestrant and the same combination partner.</w:t>
      </w:r>
    </w:p>
    <w:p>
      <w:pPr>
        <w:spacing w:after="0" w:line="171" w:lineRule="exact"/>
        <w:rPr>
          <w:sz w:val="20"/>
          <w:szCs w:val="20"/>
          <w:color w:val="auto"/>
        </w:rPr>
      </w:pPr>
    </w:p>
    <w:p>
      <w:pPr>
        <w:ind w:left="360" w:firstLine="535"/>
        <w:spacing w:after="0" w:line="251" w:lineRule="auto"/>
        <w:rPr>
          <w:sz w:val="20"/>
          <w:szCs w:val="20"/>
          <w:color w:val="auto"/>
        </w:rPr>
      </w:pPr>
      <w:r>
        <w:rPr>
          <w:rFonts w:ascii="Arial" w:cs="Arial" w:eastAsia="Arial" w:hAnsi="Arial"/>
          <w:sz w:val="17"/>
          <w:szCs w:val="17"/>
          <w:color w:val="auto"/>
        </w:rPr>
        <w:t xml:space="preserve">In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models, ARV-471 has induced ER degradation in multiple cell lines typically used in breast cancer research. For example, the figure below shows western blots of MCF-7 cells, 134VI cells, and ZR751 cells, all ER+ breast cancer cell lines, treated at varying nanomolar concentrations of ARV-471 and fulvestrant. This experiment indicates decreasing presence of ER in each cell line (depicted by a lighter shade of the ER band in the western blot) from right to left as drug concentrations increase. AR-471 achieved a DC</w:t>
      </w:r>
      <w:r>
        <w:rPr>
          <w:rFonts w:ascii="Arial" w:cs="Arial" w:eastAsia="Arial" w:hAnsi="Arial"/>
          <w:sz w:val="14"/>
          <w:szCs w:val="14"/>
          <w:color w:val="auto"/>
        </w:rPr>
        <w:t>50</w:t>
      </w:r>
      <w:r>
        <w:rPr>
          <w:rFonts w:ascii="Arial" w:cs="Arial" w:eastAsia="Arial" w:hAnsi="Arial"/>
          <w:sz w:val="17"/>
          <w:szCs w:val="17"/>
          <w:color w:val="auto"/>
        </w:rPr>
        <w:t xml:space="preserve"> in the MCF-7 cells of 1.8nM.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2051050</wp:posOffset>
            </wp:positionH>
            <wp:positionV relativeFrom="paragraph">
              <wp:posOffset>137160</wp:posOffset>
            </wp:positionV>
            <wp:extent cx="3163570" cy="34798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163570" cy="347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300"/>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4"/>
          <w:szCs w:val="14"/>
          <w:color w:val="auto"/>
        </w:rPr>
        <w:t>Beta-actin is a protein Fulvestrant and ARV-471 are not targeted to degrade,</w:t>
      </w:r>
    </w:p>
    <w:p>
      <w:pPr>
        <w:ind w:left="2300"/>
        <w:spacing w:after="0"/>
        <w:rPr>
          <w:sz w:val="20"/>
          <w:szCs w:val="20"/>
          <w:color w:val="auto"/>
        </w:rPr>
      </w:pPr>
      <w:r>
        <w:rPr>
          <w:rFonts w:ascii="Arial" w:cs="Arial" w:eastAsia="Arial" w:hAnsi="Arial"/>
          <w:sz w:val="14"/>
          <w:szCs w:val="14"/>
          <w:color w:val="auto"/>
        </w:rPr>
        <w:t>and is included as a control to ensure total protein is equivalent in each lane.</w:t>
      </w:r>
    </w:p>
    <w:p>
      <w:pPr>
        <w:spacing w:after="0" w:line="183" w:lineRule="exact"/>
        <w:rPr>
          <w:sz w:val="20"/>
          <w:szCs w:val="20"/>
          <w:color w:val="auto"/>
        </w:rPr>
      </w:pPr>
    </w:p>
    <w:p>
      <w:pPr>
        <w:ind w:left="360" w:right="100" w:firstLine="535"/>
        <w:spacing w:after="0" w:line="248" w:lineRule="auto"/>
        <w:rPr>
          <w:sz w:val="20"/>
          <w:szCs w:val="20"/>
          <w:color w:val="auto"/>
        </w:rPr>
      </w:pPr>
      <w:r>
        <w:rPr>
          <w:rFonts w:ascii="Arial" w:cs="Arial" w:eastAsia="Arial" w:hAnsi="Arial"/>
          <w:sz w:val="17"/>
          <w:szCs w:val="17"/>
          <w:color w:val="auto"/>
        </w:rPr>
        <w:t xml:space="preserve">In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experiments ARV-471 has achieved superior tumor growth inhibition and degradation compared to fulvestrant. We have tested ARV-471 for tumor growth inhibitory activity using an industry-standard MCF-7 xenograft mouse model. MCF-7 is a well-characterized estradiol-dependent ER+ cell line that forms tumors when implanted in the mammary fat pad of female mice. As shown in the figure below, ARV-471 resulted in very high tumor growth inhibition when dosed daily orally at 10 milligrams per kilogram, or mpk, and more than 80% tumor shrinkage when dosed daily orally at 30 mpk for 28 days. At both doses, ARV-471 demonstrated superior activity compared to a clinically relevant dose of fulvestrant, which is 200 mpk twice per week for two weeks and then once per week for two weeks.</w:t>
      </w:r>
    </w:p>
    <w:p>
      <w:pPr>
        <w:spacing w:after="0" w:line="32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1060"/>
          </w:cols>
          <w:pgMar w:left="240" w:top="449" w:right="599" w:bottom="1440" w:gutter="0" w:footer="0" w:header="0"/>
        </w:sectPr>
      </w:pPr>
    </w:p>
    <w:bookmarkStart w:id="108" w:name="page109"/>
    <w:bookmarkEnd w:id="1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2667000</wp:posOffset>
            </wp:positionH>
            <wp:positionV relativeFrom="paragraph">
              <wp:posOffset>203835</wp:posOffset>
            </wp:positionV>
            <wp:extent cx="1931035" cy="15982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931035" cy="159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60" w:right="20" w:firstLine="535"/>
        <w:spacing w:after="0" w:line="245" w:lineRule="auto"/>
        <w:rPr>
          <w:sz w:val="20"/>
          <w:szCs w:val="20"/>
          <w:color w:val="auto"/>
        </w:rPr>
      </w:pPr>
      <w:r>
        <w:rPr>
          <w:rFonts w:ascii="Arial" w:cs="Arial" w:eastAsia="Arial" w:hAnsi="Arial"/>
          <w:sz w:val="17"/>
          <w:szCs w:val="17"/>
          <w:color w:val="auto"/>
        </w:rPr>
        <w:t>After 28 days of dosing in this efficacy study, the MCF-7 tumors were removed from the mice and processed for western blots to observe the level of ER degradation induced by oral dosing of ARV-471. Each column of the western blot in the figure below represents an individual tumor. Beta-actin is a protein included in the western blot as a total protein loading control. As depicted by the lighter shades of the ER band, ARV-471 reduced ER by 85%, on average, at 10 mpk as compared to the control tumors and by 89%, on average, at 30 mpk as compared to the control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140970</wp:posOffset>
            </wp:positionV>
            <wp:extent cx="5377815" cy="15233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377815" cy="1523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1 Beta-actin is a protein ARV-471 is not targeted to degrade, and is included as a control to ensure total protein is equivalent in each lane.</w:t>
      </w:r>
    </w:p>
    <w:p>
      <w:pPr>
        <w:spacing w:after="0" w:line="201" w:lineRule="exact"/>
        <w:rPr>
          <w:sz w:val="20"/>
          <w:szCs w:val="20"/>
          <w:color w:val="auto"/>
        </w:rPr>
      </w:pPr>
    </w:p>
    <w:p>
      <w:pPr>
        <w:ind w:left="360" w:firstLine="535"/>
        <w:spacing w:after="0" w:line="244" w:lineRule="auto"/>
        <w:rPr>
          <w:sz w:val="20"/>
          <w:szCs w:val="20"/>
          <w:color w:val="auto"/>
        </w:rPr>
      </w:pPr>
      <w:r>
        <w:rPr>
          <w:rFonts w:ascii="Arial" w:cs="Arial" w:eastAsia="Arial" w:hAnsi="Arial"/>
          <w:sz w:val="17"/>
          <w:szCs w:val="17"/>
          <w:color w:val="auto"/>
        </w:rPr>
        <w:t>We have also conducted preclinical studies to test ARV-471 in a model using a PDX model. This model is derived from a tumor with an ESR1 mutation (Y537S), which is a mutation in the ER that occurs in patients who have been treated with standard-of-care agents such as tamoxifen or an aromatase inhibitor, such as letrozole, and has been cited as a mechanism of resistance to those drugs. These studies included a comparison with fulvestrant. The figure below shows the results of this 28-day dosing study. In this study, oral ARV-471 inhibited tumor growth by 99% at the 10 mpk dosing level and by 106% at the 30 mpk dosing level. ARV-471 was also observed to be a superior inhibitor of tumor growth, at both the 10 mpk and 30 mpk dosing levels, compared to a clinically relevant dose of 200 mpk of fulvestrant. Further, ARV-471 was shown to reduce ER by 79% and 88% at the 10 mpk and 30 mpk dosing levels, respectively, compared with 63% at the 200 mpk of fulvestrant dosing level.</w:t>
      </w:r>
    </w:p>
    <w:p>
      <w:pPr>
        <w:spacing w:after="0" w:line="12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1060"/>
          </w:cols>
          <w:pgMar w:left="240" w:top="449" w:right="599" w:bottom="1440" w:gutter="0" w:footer="0" w:header="0"/>
        </w:sectPr>
      </w:pPr>
    </w:p>
    <w:bookmarkStart w:id="109" w:name="page110"/>
    <w:bookmarkEnd w:id="1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2642235</wp:posOffset>
            </wp:positionH>
            <wp:positionV relativeFrom="paragraph">
              <wp:posOffset>295275</wp:posOffset>
            </wp:positionV>
            <wp:extent cx="1981200" cy="15982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981200" cy="159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60" w:right="60" w:firstLine="535"/>
        <w:spacing w:after="0" w:line="245" w:lineRule="auto"/>
        <w:rPr>
          <w:sz w:val="20"/>
          <w:szCs w:val="20"/>
          <w:color w:val="auto"/>
        </w:rPr>
      </w:pPr>
      <w:r>
        <w:rPr>
          <w:rFonts w:ascii="Arial" w:cs="Arial" w:eastAsia="Arial" w:hAnsi="Arial"/>
          <w:sz w:val="17"/>
          <w:szCs w:val="17"/>
          <w:color w:val="auto"/>
        </w:rPr>
        <w:t>We have also conducted studies of ARV-471 in combination with palbociclib, a CDK4/6 inhibitor that is standard of care when used together with fulvestrant. In these studies, we have achieved significant tumor shrinkage with ARV-471 in ER+ MCF-7 xenograft models. As shown in the figure below, in a 28-day dosing study in MCF-7 xenografts, ARV-471 at 30 mpk daily in combination with palbociclib was superior in shrinking tumors, as compared to either palbociclib as a single agent at 60 mpk daily, or the standard-of-care combination of palbociclib at 60 mpk daily plus fulvestrant at 200 mpk twice per week for two weeks and then once per week for two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82550</wp:posOffset>
            </wp:positionV>
            <wp:extent cx="1906270" cy="15982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906270" cy="159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right="120" w:firstLine="535"/>
        <w:spacing w:after="0" w:line="259" w:lineRule="auto"/>
        <w:rPr>
          <w:sz w:val="20"/>
          <w:szCs w:val="20"/>
          <w:color w:val="auto"/>
        </w:rPr>
      </w:pPr>
      <w:r>
        <w:rPr>
          <w:rFonts w:ascii="Arial" w:cs="Arial" w:eastAsia="Arial" w:hAnsi="Arial"/>
          <w:sz w:val="17"/>
          <w:szCs w:val="17"/>
          <w:color w:val="auto"/>
        </w:rPr>
        <w:t>We believe that ARV-471 may show compelling activity in combination with other targeted agents currently used or in clinical trials for metastatic breast cancer including CDK4/6, PI3K and mTOR inhibitors and plan to test these combinations in preclinical models.</w:t>
      </w:r>
    </w:p>
    <w:p>
      <w:pPr>
        <w:spacing w:after="0" w:line="181" w:lineRule="exact"/>
        <w:rPr>
          <w:sz w:val="20"/>
          <w:szCs w:val="20"/>
          <w:color w:val="auto"/>
        </w:rPr>
      </w:pPr>
    </w:p>
    <w:p>
      <w:pPr>
        <w:ind w:left="360" w:right="60" w:firstLine="535"/>
        <w:spacing w:after="0" w:line="259" w:lineRule="auto"/>
        <w:rPr>
          <w:sz w:val="20"/>
          <w:szCs w:val="20"/>
          <w:color w:val="auto"/>
        </w:rPr>
      </w:pPr>
      <w:r>
        <w:rPr>
          <w:rFonts w:ascii="Arial" w:cs="Arial" w:eastAsia="Arial" w:hAnsi="Arial"/>
          <w:sz w:val="17"/>
          <w:szCs w:val="17"/>
          <w:color w:val="auto"/>
        </w:rPr>
        <w:t>Dose range finding toxicology studies for ARV-471 are ongoing and we began IND-enabling GLP toxicology studies for ARV-471 in September 2018.</w:t>
      </w:r>
    </w:p>
    <w:p>
      <w:pPr>
        <w:spacing w:after="0" w:line="266"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Our Planned Phase 1 Clinical Trials</w:t>
      </w:r>
    </w:p>
    <w:p>
      <w:pPr>
        <w:spacing w:after="0" w:line="126" w:lineRule="exact"/>
        <w:rPr>
          <w:sz w:val="20"/>
          <w:szCs w:val="20"/>
          <w:color w:val="auto"/>
        </w:rPr>
      </w:pPr>
    </w:p>
    <w:p>
      <w:pPr>
        <w:ind w:left="360" w:firstLine="535"/>
        <w:spacing w:after="0" w:line="245" w:lineRule="auto"/>
        <w:rPr>
          <w:sz w:val="20"/>
          <w:szCs w:val="20"/>
          <w:color w:val="auto"/>
        </w:rPr>
      </w:pPr>
      <w:r>
        <w:rPr>
          <w:rFonts w:ascii="Arial" w:cs="Arial" w:eastAsia="Arial" w:hAnsi="Arial"/>
          <w:sz w:val="17"/>
          <w:szCs w:val="17"/>
          <w:color w:val="auto"/>
        </w:rPr>
        <w:t>We expect to file an IND for ARV-471 in the first half of 2019 and dose the first patient in a Phase 1 clinical trial in mid-2019. We expect to design our Phase 1 trial to be a dose-escalation study in approximately 28 to 36 women with locally advanced or metastatic ER+ breast cancer who have progressed on prior endocrine therapy. If a safe dose is identified for further development, we expect to enroll an expansion cohort, which will include patients whose disease is known to have the ESR1 mutation that has been cited as a mechanism of resistance to tamoxifen and aromatase inhibitors.</w:t>
      </w:r>
    </w:p>
    <w:p>
      <w:pPr>
        <w:spacing w:after="0" w:line="13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1040"/>
          </w:cols>
          <w:pgMar w:left="240" w:top="449" w:right="619" w:bottom="1440" w:gutter="0" w:footer="0" w:header="0"/>
        </w:sectPr>
      </w:pPr>
    </w:p>
    <w:bookmarkStart w:id="110" w:name="page111"/>
    <w:bookmarkEnd w:id="1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40" w:firstLine="535"/>
        <w:spacing w:after="0" w:line="245" w:lineRule="auto"/>
        <w:rPr>
          <w:sz w:val="20"/>
          <w:szCs w:val="20"/>
          <w:color w:val="auto"/>
        </w:rPr>
      </w:pPr>
      <w:r>
        <w:rPr>
          <w:rFonts w:ascii="Arial" w:cs="Arial" w:eastAsia="Arial" w:hAnsi="Arial"/>
          <w:sz w:val="17"/>
          <w:szCs w:val="17"/>
          <w:color w:val="auto"/>
        </w:rPr>
        <w:t>The Phase 1 trial will primarily investigate the safety and tolerability of ARV-471 and characterize its pharmacokinetic profile. We will also evaluate ER degradation by comparing ER levels in pre-treatment and post-treatment tumor biopsies and use FES-PET scans as a measure of target engagement by ARV-471. Patients with measurable disease will be evaluated using RECIST criteria for evidence of tumor response. In addition, we expect to conduct a Phase 1b trial of ARV-471 in combination with a CDK4/6 inhibitor such as palbociclib once a recommended dose is identified from the dose-escalation portion of the trial.</w:t>
      </w:r>
    </w:p>
    <w:p>
      <w:pPr>
        <w:spacing w:after="0" w:line="195" w:lineRule="exact"/>
        <w:rPr>
          <w:sz w:val="20"/>
          <w:szCs w:val="20"/>
          <w:color w:val="auto"/>
        </w:rPr>
      </w:pPr>
    </w:p>
    <w:p>
      <w:pPr>
        <w:ind w:left="360" w:right="340" w:firstLine="535"/>
        <w:spacing w:after="0" w:line="250" w:lineRule="auto"/>
        <w:rPr>
          <w:sz w:val="20"/>
          <w:szCs w:val="20"/>
          <w:color w:val="auto"/>
        </w:rPr>
      </w:pPr>
      <w:r>
        <w:rPr>
          <w:rFonts w:ascii="Arial" w:cs="Arial" w:eastAsia="Arial" w:hAnsi="Arial"/>
          <w:sz w:val="17"/>
          <w:szCs w:val="17"/>
          <w:color w:val="auto"/>
        </w:rPr>
        <w:t>Assuming ARV-471 has a favorable profile in these early clinical trials, we initially intend to pursue an indication in patients who have failed prior endocrine therapy, with the intention of moving to patients in earlier lines of treatment, including first-line metastatic, localized and adjuvant disease settings.</w:t>
      </w:r>
    </w:p>
    <w:p>
      <w:pPr>
        <w:spacing w:after="0" w:line="274"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Our Discovery Programs</w:t>
      </w:r>
    </w:p>
    <w:p>
      <w:pPr>
        <w:spacing w:after="0" w:line="211"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Neurodegenerative Diseases</w:t>
      </w:r>
    </w:p>
    <w:p>
      <w:pPr>
        <w:spacing w:after="0" w:line="126" w:lineRule="exact"/>
        <w:rPr>
          <w:sz w:val="20"/>
          <w:szCs w:val="20"/>
          <w:color w:val="auto"/>
        </w:rPr>
      </w:pPr>
    </w:p>
    <w:p>
      <w:pPr>
        <w:ind w:left="360" w:right="80" w:firstLine="535"/>
        <w:spacing w:after="0" w:line="244" w:lineRule="auto"/>
        <w:rPr>
          <w:sz w:val="20"/>
          <w:szCs w:val="20"/>
          <w:color w:val="auto"/>
        </w:rPr>
      </w:pPr>
      <w:r>
        <w:rPr>
          <w:rFonts w:ascii="Arial" w:cs="Arial" w:eastAsia="Arial" w:hAnsi="Arial"/>
          <w:sz w:val="17"/>
          <w:szCs w:val="17"/>
          <w:color w:val="auto"/>
        </w:rPr>
        <w:t>Neurodegenerative diseases are generally progressive in nature and result in the degeneration and often death of neurons in the brain, leading to cognitive decline, functional impairment and eventually death. These diseases affect a rapidly growing patient population and represent one of the largest unmet medical needs of our time. Alzheimer’s and Parkinson’s diseases encompass the largest patient populations among the neurodegenerative diseases. The Alzheimer’s Association estimates that approximately 5.7 million Americans have Alzheimer’s dementia, and the Parkinson’s Foundation estimates that approximately one million Americans live with Parkinson’s disease. Both Alzheimer’s disease and Parkinson’s disease are characterized by aggregations of proteins in the brain, making them well suited potential therapeutic indications for our PROTAC technology.</w:t>
      </w:r>
    </w:p>
    <w:p>
      <w:pPr>
        <w:spacing w:after="0" w:line="195" w:lineRule="exact"/>
        <w:rPr>
          <w:sz w:val="20"/>
          <w:szCs w:val="20"/>
          <w:color w:val="auto"/>
        </w:rPr>
      </w:pPr>
    </w:p>
    <w:p>
      <w:pPr>
        <w:ind w:left="360" w:firstLine="535"/>
        <w:spacing w:after="0" w:line="247" w:lineRule="auto"/>
        <w:rPr>
          <w:sz w:val="20"/>
          <w:szCs w:val="20"/>
          <w:color w:val="auto"/>
        </w:rPr>
      </w:pPr>
      <w:r>
        <w:rPr>
          <w:rFonts w:ascii="Arial" w:cs="Arial" w:eastAsia="Arial" w:hAnsi="Arial"/>
          <w:sz w:val="17"/>
          <w:szCs w:val="17"/>
          <w:color w:val="auto"/>
        </w:rPr>
        <w:t>Inhibitor-based therapies targeting the proteins thought to be the cause of these neurodegenerative diseases have failed to show clinically meaningful benefit to date. While some existing products provide symptomatic relief to Alzheimer’s and Parkinson’s patients, they have significant side effect risks and over time gradually lose their effectiveness in treating the symptoms of the disease. Further, there are no approved disease-modifying treatments for Alzheimer’s or Parkinson’s.</w:t>
      </w:r>
    </w:p>
    <w:p>
      <w:pPr>
        <w:spacing w:after="0" w:line="12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109</w:t>
      </w:r>
    </w:p>
    <w:p>
      <w:pPr>
        <w:sectPr>
          <w:pgSz w:w="11900" w:h="16838" w:orient="portrait"/>
          <w:cols w:equalWidth="0" w:num="1">
            <w:col w:w="11040"/>
          </w:cols>
          <w:pgMar w:left="240" w:top="449" w:right="619" w:bottom="1440" w:gutter="0" w:footer="0" w:header="0"/>
        </w:sectPr>
      </w:pPr>
    </w:p>
    <w:bookmarkStart w:id="111" w:name="page112"/>
    <w:bookmarkEnd w:id="1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Developing PROTACs that Degrade Proteins Associated with Neurodegenerative Diseases</w:t>
      </w:r>
    </w:p>
    <w:p>
      <w:pPr>
        <w:spacing w:after="0" w:line="126" w:lineRule="exact"/>
        <w:rPr>
          <w:sz w:val="20"/>
          <w:szCs w:val="20"/>
          <w:color w:val="auto"/>
        </w:rPr>
      </w:pPr>
    </w:p>
    <w:p>
      <w:pPr>
        <w:ind w:left="360" w:right="140" w:firstLine="535"/>
        <w:spacing w:after="0" w:line="247" w:lineRule="auto"/>
        <w:rPr>
          <w:sz w:val="20"/>
          <w:szCs w:val="20"/>
          <w:color w:val="auto"/>
        </w:rPr>
      </w:pPr>
      <w:r>
        <w:rPr>
          <w:rFonts w:ascii="Arial" w:cs="Arial" w:eastAsia="Arial" w:hAnsi="Arial"/>
          <w:sz w:val="17"/>
          <w:szCs w:val="17"/>
          <w:color w:val="auto"/>
        </w:rPr>
        <w:t xml:space="preserve">In preclinical studies, we have established the potential of our PROTAC platform in the central nervous system, or CNS, with demonstration of both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degradation of tau protein, a target classically associated with neurodegenerative diseases, including Alzheimer’s disease. In direct injections of a tau-directed PROTAC into the hippocampi of mice, we have shown a statistically significant reduction in tau levels of approximately 50%. The figure below shows a single 3 microliter (mL) injection of a 1 mg/mL solution of tau PROTAC into mouse hippocampus reduced tau levels over an eight-hour period. Total tau was measured with a Meso Scale Discovery, or MSD, assay, a commonly used assay for measuring specific molecules. The circled points show the reduction in tau over a period of eight hours after PROTAC injection.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138430</wp:posOffset>
            </wp:positionV>
            <wp:extent cx="1764665" cy="15982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764665" cy="159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The Blood Brain Barrier Challenge</w:t>
      </w:r>
    </w:p>
    <w:p>
      <w:pPr>
        <w:spacing w:after="0" w:line="126" w:lineRule="exact"/>
        <w:rPr>
          <w:sz w:val="20"/>
          <w:szCs w:val="20"/>
          <w:color w:val="auto"/>
        </w:rPr>
      </w:pPr>
    </w:p>
    <w:p>
      <w:pPr>
        <w:jc w:val="both"/>
        <w:ind w:left="360" w:right="60" w:firstLine="535"/>
        <w:spacing w:after="0" w:line="250" w:lineRule="auto"/>
        <w:rPr>
          <w:sz w:val="20"/>
          <w:szCs w:val="20"/>
          <w:color w:val="auto"/>
        </w:rPr>
      </w:pPr>
      <w:r>
        <w:rPr>
          <w:rFonts w:ascii="Arial" w:cs="Arial" w:eastAsia="Arial" w:hAnsi="Arial"/>
          <w:sz w:val="17"/>
          <w:szCs w:val="17"/>
          <w:color w:val="auto"/>
        </w:rPr>
        <w:t>The human brain contains approximately 400 miles of blood vessels lined by closely linked endothelial cells to form the blood brain barrier, which protects the brain from toxins and foreign chemicals by regulating the transfer of proteins, nutrients and waste products. As a result, delivery of therapeutics to the brain creates unique challenges.</w:t>
      </w:r>
    </w:p>
    <w:p>
      <w:pPr>
        <w:spacing w:after="0" w:line="189" w:lineRule="exact"/>
        <w:rPr>
          <w:sz w:val="20"/>
          <w:szCs w:val="20"/>
          <w:color w:val="auto"/>
        </w:rPr>
      </w:pPr>
    </w:p>
    <w:p>
      <w:pPr>
        <w:ind w:left="360" w:right="240" w:firstLine="535"/>
        <w:spacing w:after="0" w:line="247" w:lineRule="auto"/>
        <w:rPr>
          <w:sz w:val="20"/>
          <w:szCs w:val="20"/>
          <w:color w:val="auto"/>
        </w:rPr>
      </w:pPr>
      <w:r>
        <w:rPr>
          <w:rFonts w:ascii="Arial" w:cs="Arial" w:eastAsia="Arial" w:hAnsi="Arial"/>
          <w:sz w:val="17"/>
          <w:szCs w:val="17"/>
          <w:color w:val="auto"/>
        </w:rPr>
        <w:t>Engineering products that cross the blood brain barrier is a highly desirable characteristic in developing effective therapeutics for patients with neurodegenerative diseases as compared with therapies delivered directly into the CNS. Any product candidates for neurodegenerative disease must reach their intended targets in the brain at exposure levels that will provide a therapeutic effect, while having an acceptable safety profile.</w:t>
      </w:r>
    </w:p>
    <w:p>
      <w:pPr>
        <w:spacing w:after="0" w:line="278"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Developing PROTACs that Cross the Blood Brain Barrier</w:t>
      </w:r>
    </w:p>
    <w:p>
      <w:pPr>
        <w:spacing w:after="0" w:line="112" w:lineRule="exact"/>
        <w:rPr>
          <w:sz w:val="20"/>
          <w:szCs w:val="20"/>
          <w:color w:val="auto"/>
        </w:rPr>
      </w:pPr>
    </w:p>
    <w:p>
      <w:pPr>
        <w:ind w:left="360" w:firstLine="535"/>
        <w:spacing w:after="0" w:line="250" w:lineRule="auto"/>
        <w:rPr>
          <w:sz w:val="20"/>
          <w:szCs w:val="20"/>
          <w:color w:val="auto"/>
        </w:rPr>
      </w:pPr>
      <w:r>
        <w:rPr>
          <w:rFonts w:ascii="Arial" w:cs="Arial" w:eastAsia="Arial" w:hAnsi="Arial"/>
          <w:sz w:val="17"/>
          <w:szCs w:val="17"/>
          <w:color w:val="auto"/>
        </w:rPr>
        <w:t xml:space="preserve">We have achieved brain penetration in rodents with intravenously administered PROTACs designed to target tau and a-synuclein. These PROTACs achieved brain/plasma ratios of 0.5 to 2, which are comparable to approved brain tumor agents. When we further tested a subset of these PROTACs, we observed distribution of the PROTACs into both the hippocampus and the cerebellum. In these experiments, our PROTACs crossed the blood brain barrier and achieved widespread penetration into different parts of the brain. We have also identified a PROTAC capable of degrading tau in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experiment that also penetrates the blood brain barrier. We plan to conduct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experiments to confirm the blood brain barrier penetration and test for tau degradation in a rodent brain. We aim to optimize tau and a-synuclein PROTACs for a combination of compelling target degradation and blood brain barrier penetration with broad CNS tissue distribution in rodent brains, through oral delivery.</w:t>
      </w:r>
    </w:p>
    <w:p>
      <w:pPr>
        <w:spacing w:after="0" w:line="12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110</w:t>
      </w:r>
    </w:p>
    <w:p>
      <w:pPr>
        <w:sectPr>
          <w:pgSz w:w="11900" w:h="16838" w:orient="portrait"/>
          <w:cols w:equalWidth="0" w:num="1">
            <w:col w:w="11040"/>
          </w:cols>
          <w:pgMar w:left="240" w:top="449" w:right="619" w:bottom="1440" w:gutter="0" w:footer="0" w:header="0"/>
        </w:sectPr>
      </w:pPr>
    </w:p>
    <w:bookmarkStart w:id="112" w:name="page113"/>
    <w:bookmarkEnd w:id="1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jc w:val="both"/>
        <w:ind w:left="360" w:right="180" w:firstLine="535"/>
        <w:spacing w:after="0" w:line="258" w:lineRule="auto"/>
        <w:rPr>
          <w:sz w:val="20"/>
          <w:szCs w:val="20"/>
          <w:color w:val="auto"/>
        </w:rPr>
      </w:pPr>
      <w:r>
        <w:rPr>
          <w:rFonts w:ascii="Arial" w:cs="Arial" w:eastAsia="Arial" w:hAnsi="Arial"/>
          <w:sz w:val="17"/>
          <w:szCs w:val="17"/>
          <w:color w:val="auto"/>
        </w:rPr>
        <w:t>In March 2018, we entered into a sponsored research agreement with The Silverstein Foundation for Parkinson’s with GBA that provides us with up to $0.8 million of funding to complement our research efforts to discover a blood brain barrier-penetrant a-synuclein-targeting PROTAC.</w:t>
      </w:r>
    </w:p>
    <w:p>
      <w:pPr>
        <w:spacing w:after="0" w:line="267"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Other Oncology Targets and Undruggable Targets</w:t>
      </w:r>
    </w:p>
    <w:p>
      <w:pPr>
        <w:spacing w:after="0" w:line="231" w:lineRule="exact"/>
        <w:rPr>
          <w:sz w:val="20"/>
          <w:szCs w:val="20"/>
          <w:color w:val="auto"/>
        </w:rPr>
      </w:pPr>
    </w:p>
    <w:p>
      <w:pPr>
        <w:ind w:left="360" w:firstLine="535"/>
        <w:spacing w:after="0" w:line="245" w:lineRule="auto"/>
        <w:rPr>
          <w:sz w:val="20"/>
          <w:szCs w:val="20"/>
          <w:color w:val="auto"/>
        </w:rPr>
      </w:pPr>
      <w:r>
        <w:rPr>
          <w:rFonts w:ascii="Arial" w:cs="Arial" w:eastAsia="Arial" w:hAnsi="Arial"/>
          <w:sz w:val="17"/>
          <w:szCs w:val="17"/>
          <w:color w:val="auto"/>
        </w:rPr>
        <w:t>We have active discovery programs to evaluate additional established targets in oncology, as well as other currently undruggable targets. In line with our strategy, we assess potential discovery programs on a target by target basis to decide whether our PROTACs provide a compelling differentiated approach over standard-of-care or other, existing or potential competing mechanisms of action directed against a specific target. In the case of currently undruggable targets, we assess whether the features of our PROTACs, including their potential to degrade proteins via sites other than enzymatic active sites and the ability to initiate the degradation process using only weak binders, offer us opportunities to degrade those targets.</w:t>
      </w: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Intellectual Property</w:t>
      </w:r>
    </w:p>
    <w:p>
      <w:pPr>
        <w:spacing w:after="0" w:line="233" w:lineRule="exact"/>
        <w:rPr>
          <w:sz w:val="20"/>
          <w:szCs w:val="20"/>
          <w:color w:val="auto"/>
        </w:rPr>
      </w:pPr>
    </w:p>
    <w:p>
      <w:pPr>
        <w:ind w:left="360" w:right="180" w:firstLine="535"/>
        <w:spacing w:after="0" w:line="247" w:lineRule="auto"/>
        <w:rPr>
          <w:sz w:val="20"/>
          <w:szCs w:val="20"/>
          <w:color w:val="auto"/>
        </w:rPr>
      </w:pPr>
      <w:r>
        <w:rPr>
          <w:rFonts w:ascii="Arial" w:cs="Arial" w:eastAsia="Arial" w:hAnsi="Arial"/>
          <w:sz w:val="17"/>
          <w:szCs w:val="17"/>
          <w:color w:val="auto"/>
        </w:rPr>
        <w:t>Our commercial success depends in part upon our ability to secure and maintain patent and other proprietary protection for our platform protein degradation technologies, including our PROTAC programs, product candidates and know-how related to our business, defend and enforce our intellectual property rights, in particular our patent rights, preserve the confidentiality of our trade secrets and operate without infringing valid and enforceable intellectual property rights of others.</w:t>
      </w:r>
    </w:p>
    <w:p>
      <w:pPr>
        <w:spacing w:after="0" w:line="192" w:lineRule="exact"/>
        <w:rPr>
          <w:sz w:val="20"/>
          <w:szCs w:val="20"/>
          <w:color w:val="auto"/>
        </w:rPr>
      </w:pPr>
    </w:p>
    <w:p>
      <w:pPr>
        <w:ind w:left="360" w:right="80" w:firstLine="535"/>
        <w:spacing w:after="0" w:line="245" w:lineRule="auto"/>
        <w:rPr>
          <w:sz w:val="20"/>
          <w:szCs w:val="20"/>
          <w:color w:val="auto"/>
        </w:rPr>
      </w:pPr>
      <w:r>
        <w:rPr>
          <w:rFonts w:ascii="Arial" w:cs="Arial" w:eastAsia="Arial" w:hAnsi="Arial"/>
          <w:sz w:val="17"/>
          <w:szCs w:val="17"/>
          <w:color w:val="auto"/>
        </w:rPr>
        <w:t>The patent positions for biopharmaceutical companies like us are generally uncertain and can involve complex legal, scientific and factual issues. In addition, the coverage claimed in a patent application can be significantly reduced before a patent is issued, and its scope can be reinterpreted and even challenged after issuance. As a result, we cannot guarantee that any of our product candidates will be protected or remain protectable by enforceable patents.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w:t>
      </w:r>
    </w:p>
    <w:p>
      <w:pPr>
        <w:spacing w:after="0" w:line="192" w:lineRule="exact"/>
        <w:rPr>
          <w:sz w:val="20"/>
          <w:szCs w:val="20"/>
          <w:color w:val="auto"/>
        </w:rPr>
      </w:pPr>
    </w:p>
    <w:p>
      <w:pPr>
        <w:ind w:left="360" w:right="220" w:firstLine="535"/>
        <w:spacing w:after="0" w:line="259" w:lineRule="auto"/>
        <w:rPr>
          <w:sz w:val="20"/>
          <w:szCs w:val="20"/>
          <w:color w:val="auto"/>
        </w:rPr>
      </w:pPr>
      <w:r>
        <w:rPr>
          <w:rFonts w:ascii="Arial" w:cs="Arial" w:eastAsia="Arial" w:hAnsi="Arial"/>
          <w:sz w:val="17"/>
          <w:szCs w:val="17"/>
          <w:color w:val="auto"/>
        </w:rPr>
        <w:t>As of August 31, 2018 our patent estate that we own, co-own and in-license includes six issued U.S. patents, four foreign issued patents, and 143 pending patent applications in our patent portfolio.</w:t>
      </w:r>
    </w:p>
    <w:p>
      <w:pPr>
        <w:spacing w:after="0" w:line="266"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PROTAC Patents and Patent Applications</w:t>
      </w:r>
    </w:p>
    <w:p>
      <w:pPr>
        <w:spacing w:after="0" w:line="126" w:lineRule="exact"/>
        <w:rPr>
          <w:sz w:val="20"/>
          <w:szCs w:val="20"/>
          <w:color w:val="auto"/>
        </w:rPr>
      </w:pPr>
    </w:p>
    <w:p>
      <w:pPr>
        <w:ind w:left="360" w:right="300" w:firstLine="535"/>
        <w:spacing w:after="0" w:line="259" w:lineRule="auto"/>
        <w:rPr>
          <w:sz w:val="20"/>
          <w:szCs w:val="20"/>
          <w:color w:val="auto"/>
        </w:rPr>
      </w:pPr>
      <w:r>
        <w:rPr>
          <w:rFonts w:ascii="Arial" w:cs="Arial" w:eastAsia="Arial" w:hAnsi="Arial"/>
          <w:sz w:val="17"/>
          <w:szCs w:val="17"/>
          <w:color w:val="auto"/>
        </w:rPr>
        <w:t>Our PROTAC patent portfolio is generally organized into two categories: PROTAC platform patent filings, and PROTAC product candidate or protein target-specific patent filings.</w:t>
      </w:r>
    </w:p>
    <w:p>
      <w:pPr>
        <w:spacing w:after="0" w:line="266"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PROTAC Platform</w:t>
      </w:r>
    </w:p>
    <w:p>
      <w:pPr>
        <w:spacing w:after="0" w:line="126" w:lineRule="exact"/>
        <w:rPr>
          <w:sz w:val="20"/>
          <w:szCs w:val="20"/>
          <w:color w:val="auto"/>
        </w:rPr>
      </w:pPr>
    </w:p>
    <w:p>
      <w:pPr>
        <w:ind w:left="360" w:right="60" w:firstLine="535"/>
        <w:spacing w:after="0" w:line="245" w:lineRule="auto"/>
        <w:rPr>
          <w:sz w:val="20"/>
          <w:szCs w:val="20"/>
          <w:color w:val="auto"/>
        </w:rPr>
      </w:pPr>
      <w:r>
        <w:rPr>
          <w:rFonts w:ascii="Arial" w:cs="Arial" w:eastAsia="Arial" w:hAnsi="Arial"/>
          <w:sz w:val="17"/>
          <w:szCs w:val="17"/>
          <w:color w:val="auto"/>
        </w:rPr>
        <w:t>As of August 31, 2018, our PROTAC platform patent estate that we own, co-own, and in-license and that covers our various E3 ubiquitin ligase constructs included one issued foreign patent, nine pending U.S. patent applications and 64 pending foreign patent applications. This patent estate includes constructs that have ligands for the Von Hippel Lindau, or VHL, E3 ubiquitin ligase, the cereblon, or CRBN, E3 ubiquitin ligase, the inhibitor apoptosis protein, IAP, E3 ubiquitin ligase, and the human mouse double minute homolog, or MDM2 E3 ubiquitin ligase.</w:t>
      </w:r>
    </w:p>
    <w:p>
      <w:pPr>
        <w:spacing w:after="0" w:line="195" w:lineRule="exact"/>
        <w:rPr>
          <w:sz w:val="20"/>
          <w:szCs w:val="20"/>
          <w:color w:val="auto"/>
        </w:rPr>
      </w:pPr>
    </w:p>
    <w:p>
      <w:pPr>
        <w:ind w:left="360" w:right="260" w:firstLine="535"/>
        <w:spacing w:after="0" w:line="259" w:lineRule="auto"/>
        <w:rPr>
          <w:sz w:val="20"/>
          <w:szCs w:val="20"/>
          <w:color w:val="auto"/>
        </w:rPr>
      </w:pPr>
      <w:r>
        <w:rPr>
          <w:rFonts w:ascii="Arial" w:cs="Arial" w:eastAsia="Arial" w:hAnsi="Arial"/>
          <w:sz w:val="17"/>
          <w:szCs w:val="17"/>
          <w:color w:val="auto"/>
        </w:rPr>
        <w:t>We exclusively license from Yale University a portfolio of patent and patent applications describing composition-of-matter claims encompassing PROTAC compounds comprised of ligands for</w:t>
      </w:r>
    </w:p>
    <w:p>
      <w:pPr>
        <w:spacing w:after="0" w:line="116"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111</w:t>
      </w:r>
    </w:p>
    <w:p>
      <w:pPr>
        <w:sectPr>
          <w:pgSz w:w="11900" w:h="16838" w:orient="portrait"/>
          <w:cols w:equalWidth="0" w:num="1">
            <w:col w:w="11020"/>
          </w:cols>
          <w:pgMar w:left="240" w:top="449" w:right="639" w:bottom="1440" w:gutter="0" w:footer="0" w:header="0"/>
        </w:sectPr>
      </w:pPr>
    </w:p>
    <w:bookmarkStart w:id="113" w:name="page114"/>
    <w:bookmarkEnd w:id="1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120"/>
        <w:spacing w:after="0" w:line="245" w:lineRule="auto"/>
        <w:rPr>
          <w:sz w:val="20"/>
          <w:szCs w:val="20"/>
          <w:color w:val="auto"/>
        </w:rPr>
      </w:pPr>
      <w:r>
        <w:rPr>
          <w:rFonts w:ascii="Arial" w:cs="Arial" w:eastAsia="Arial" w:hAnsi="Arial"/>
          <w:sz w:val="17"/>
          <w:szCs w:val="17"/>
          <w:color w:val="auto"/>
        </w:rPr>
        <w:t>the VHL E3 ubiquitin ligase as well as claims to associated methods of use. Patent applications have been filed in the United States, Brazil, Canada, China, Europe, Hong Kong, India, Japan, Korea, Mexico and Russia, and a patent has been granted in Australia. If granted, and all appropriate maintenance fees are paid, the expiration of these patents will be in 2033. We also co-own with Yale patent applications describing composition-of-matter claims encompassing PROTAC compounds comprised of ligands for the VHL E3 ligase. Patent applications have been filed in the United States, Australia, Canada, China, Europe, Hong Kong, India, Japan, Korea, Mexico and Russia. Arvinas’ rights to these patent applications are governed by the Yale License Agreement described below.</w:t>
      </w:r>
    </w:p>
    <w:p>
      <w:pPr>
        <w:spacing w:after="0" w:line="192" w:lineRule="exact"/>
        <w:rPr>
          <w:sz w:val="20"/>
          <w:szCs w:val="20"/>
          <w:color w:val="auto"/>
        </w:rPr>
      </w:pPr>
    </w:p>
    <w:p>
      <w:pPr>
        <w:ind w:left="360" w:firstLine="535"/>
        <w:spacing w:after="0" w:line="245" w:lineRule="auto"/>
        <w:rPr>
          <w:sz w:val="20"/>
          <w:szCs w:val="20"/>
          <w:color w:val="auto"/>
        </w:rPr>
      </w:pPr>
      <w:r>
        <w:rPr>
          <w:rFonts w:ascii="Arial" w:cs="Arial" w:eastAsia="Arial" w:hAnsi="Arial"/>
          <w:sz w:val="17"/>
          <w:szCs w:val="17"/>
          <w:color w:val="auto"/>
        </w:rPr>
        <w:t>We own three patent families with three pending U.S. patent applications with claims directed to composition of matter claims covering the CRBN E3 ubiquitin ligase ligand generically, the chemical linker group generically, and a small molecule or peptide ligand that binds to a target protein generically. Patent applications have been filed in the United States, Australia, Brazil, Canada, China, Europe, Hong Kong, India, Japan, Korea, Mexico and Russia. Patent applications in this family, if issued, would expire in 2035, without taking potential patent term extensions into account.</w:t>
      </w:r>
    </w:p>
    <w:p>
      <w:pPr>
        <w:spacing w:after="0" w:line="195" w:lineRule="exact"/>
        <w:rPr>
          <w:sz w:val="20"/>
          <w:szCs w:val="20"/>
          <w:color w:val="auto"/>
        </w:rPr>
      </w:pPr>
    </w:p>
    <w:p>
      <w:pPr>
        <w:ind w:left="360" w:right="60" w:firstLine="535"/>
        <w:spacing w:after="0" w:line="247" w:lineRule="auto"/>
        <w:rPr>
          <w:sz w:val="20"/>
          <w:szCs w:val="20"/>
          <w:color w:val="auto"/>
        </w:rPr>
      </w:pPr>
      <w:r>
        <w:rPr>
          <w:rFonts w:ascii="Arial" w:cs="Arial" w:eastAsia="Arial" w:hAnsi="Arial"/>
          <w:sz w:val="17"/>
          <w:szCs w:val="17"/>
          <w:color w:val="auto"/>
        </w:rPr>
        <w:t>We own a patent application family describing composition-of-matter claims encompassing PROTAC compounds comprised of ligands for the IAP E3 ubiquitin ligase as well as claims to associated methods of use. Patent applications have been filed in the United States, Australia, Brazil, Canada, Europe, India, Korea, Mexico and Russia. If granted, and all appropriate maintenance fees are paid, the expiration of these patents will be in 2036.</w:t>
      </w:r>
    </w:p>
    <w:p>
      <w:pPr>
        <w:spacing w:after="0" w:line="192" w:lineRule="exact"/>
        <w:rPr>
          <w:sz w:val="20"/>
          <w:szCs w:val="20"/>
          <w:color w:val="auto"/>
        </w:rPr>
      </w:pPr>
    </w:p>
    <w:p>
      <w:pPr>
        <w:ind w:left="360" w:right="100" w:firstLine="535"/>
        <w:spacing w:after="0" w:line="247" w:lineRule="auto"/>
        <w:rPr>
          <w:sz w:val="20"/>
          <w:szCs w:val="20"/>
          <w:color w:val="auto"/>
        </w:rPr>
      </w:pPr>
      <w:r>
        <w:rPr>
          <w:rFonts w:ascii="Arial" w:cs="Arial" w:eastAsia="Arial" w:hAnsi="Arial"/>
          <w:sz w:val="17"/>
          <w:szCs w:val="17"/>
          <w:color w:val="auto"/>
        </w:rPr>
        <w:t>We own a patent application family describing composition-of-matter claims encompassing PROTAC compounds comprised of ligands for the MDM2 E3 ubiquitin ligase as well as claims to associated methods of use. Patent applications under this family have been filed in the United States, Australia, Brazil, Canada, China, Europe, India, Japan, Korea, Mexico, and Russia. If granted, and all appropriate maintenance fees are paid, the expiration of these patents will be in 2036.</w:t>
      </w:r>
    </w:p>
    <w:p>
      <w:pPr>
        <w:spacing w:after="0" w:line="276"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PROTAC Product Candidates</w:t>
      </w:r>
    </w:p>
    <w:p>
      <w:pPr>
        <w:spacing w:after="0" w:line="126" w:lineRule="exact"/>
        <w:rPr>
          <w:sz w:val="20"/>
          <w:szCs w:val="20"/>
          <w:color w:val="auto"/>
        </w:rPr>
      </w:pPr>
    </w:p>
    <w:p>
      <w:pPr>
        <w:ind w:left="360" w:right="180" w:firstLine="535"/>
        <w:spacing w:after="0" w:line="247" w:lineRule="auto"/>
        <w:rPr>
          <w:sz w:val="20"/>
          <w:szCs w:val="20"/>
          <w:color w:val="auto"/>
        </w:rPr>
      </w:pPr>
      <w:r>
        <w:rPr>
          <w:rFonts w:ascii="Arial" w:cs="Arial" w:eastAsia="Arial" w:hAnsi="Arial"/>
          <w:sz w:val="17"/>
          <w:szCs w:val="17"/>
          <w:color w:val="auto"/>
        </w:rPr>
        <w:t>Our product or protein-specific patent applications were created to pursue more focused exclusivity around PROTAC compounds designed to target specific proteins. As of August 31, 2018, our PROTAC product patent portfolio that we own, co-own and in-license included four U.S. issued patents, two issued foreign patents, 30 pending U.S. patent applications, and 34 pending foreign patent applications.</w:t>
      </w:r>
    </w:p>
    <w:p>
      <w:pPr>
        <w:spacing w:after="0" w:line="192" w:lineRule="exact"/>
        <w:rPr>
          <w:sz w:val="20"/>
          <w:szCs w:val="20"/>
          <w:color w:val="auto"/>
        </w:rPr>
      </w:pPr>
    </w:p>
    <w:p>
      <w:pPr>
        <w:ind w:left="360" w:right="40" w:firstLine="535"/>
        <w:spacing w:after="0" w:line="243" w:lineRule="auto"/>
        <w:rPr>
          <w:sz w:val="20"/>
          <w:szCs w:val="20"/>
          <w:color w:val="auto"/>
        </w:rPr>
      </w:pPr>
      <w:r>
        <w:rPr>
          <w:rFonts w:ascii="Arial" w:cs="Arial" w:eastAsia="Arial" w:hAnsi="Arial"/>
          <w:sz w:val="17"/>
          <w:szCs w:val="17"/>
          <w:color w:val="auto"/>
        </w:rPr>
        <w:t>We own two patent families describing composition-of-matter claims of PROTAC compounds addressing AR, as well as associated methods of use to treat cancer, one of which covers ARV-110. For the family covering ARV-110 we own one international patent application and one pending U.S. patent application with claims directed to composition of matter generically covering ARV-110 and methods of use thereof. The U.S. patent application and any foreign patent applications claiming priority to the international application, if issued, would expire in 2037, without taking potential patent term extensions into account. Patent applications under the other family have been filed in the United States, Australia, Brazil, Canada, China, Europe, India, Japan, Korea, Mexico, and Russia. If granted, and all appropriate maintenance fees are paid, the expiration of these patents will be 2036. A CIP patent application, an application filed during the lifetime of an earlier nonprovisional application, repeating some substantial portion or all of the earlier nonprovisional application and adding matter not disclosed in the earlier nonprovisional application, was filed in 2017 with composition of matter claims directed to compounds comprising of androgen binding moieties and chemical linkers generally. If granted, and all appropriate maintenance fees are paid, the U.S. CIP application will expire in 2036 without taking potential patent term extensions into account.</w:t>
      </w:r>
    </w:p>
    <w:p>
      <w:pPr>
        <w:spacing w:after="0" w:line="13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11040"/>
          </w:cols>
          <w:pgMar w:left="240" w:top="449" w:right="619" w:bottom="1440" w:gutter="0" w:footer="0" w:header="0"/>
        </w:sectPr>
      </w:pPr>
    </w:p>
    <w:bookmarkStart w:id="114" w:name="page115"/>
    <w:bookmarkEnd w:id="1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firstLine="535"/>
        <w:spacing w:after="0" w:line="247" w:lineRule="auto"/>
        <w:rPr>
          <w:sz w:val="20"/>
          <w:szCs w:val="20"/>
          <w:color w:val="auto"/>
        </w:rPr>
      </w:pPr>
      <w:r>
        <w:rPr>
          <w:rFonts w:ascii="Arial" w:cs="Arial" w:eastAsia="Arial" w:hAnsi="Arial"/>
          <w:sz w:val="17"/>
          <w:szCs w:val="17"/>
          <w:color w:val="auto"/>
        </w:rPr>
        <w:t>With regards to ARV-471, we own one international patent application and one pending U.S. patent application with claims directed to composition of matter generically covering ARV-471 and methods of use thereof. The U.S. patent application and any foreign patent applications claiming priority to the international application, if issued, would expire in 2037, without taking potential patent term extensions into account.</w:t>
      </w:r>
    </w:p>
    <w:p>
      <w:pPr>
        <w:spacing w:after="0" w:line="192" w:lineRule="exact"/>
        <w:rPr>
          <w:sz w:val="20"/>
          <w:szCs w:val="20"/>
          <w:color w:val="auto"/>
        </w:rPr>
      </w:pPr>
    </w:p>
    <w:p>
      <w:pPr>
        <w:ind w:left="360" w:firstLine="535"/>
        <w:spacing w:after="0" w:line="245" w:lineRule="auto"/>
        <w:rPr>
          <w:sz w:val="20"/>
          <w:szCs w:val="20"/>
          <w:color w:val="auto"/>
        </w:rPr>
      </w:pPr>
      <w:r>
        <w:rPr>
          <w:rFonts w:ascii="Arial" w:cs="Arial" w:eastAsia="Arial" w:hAnsi="Arial"/>
          <w:sz w:val="17"/>
          <w:szCs w:val="17"/>
          <w:color w:val="auto"/>
        </w:rPr>
        <w:t>We and Yale co-own seven patent families describing composition of matter claims of PROTAC compounds addressing certain discovery and other potential protein targets, and associated methods of use. Patent applications for each of these have been filed in the United States. In addition, patent applications have been filed under the Patent Cooperation Treaty at the international stage for four of the families and with the European Patent Office for one of the families. Our rights to these patent applications are governed by the Yale License Agreement described below.</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We also co-own with Genentech one United States patent application to PROTAC compounds addressing a specific protein.</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Arvinas’ rights to that patent application are governed by the Genentech License Agreement described below.</w:t>
      </w:r>
    </w:p>
    <w:p>
      <w:pPr>
        <w:spacing w:after="0" w:line="211" w:lineRule="exact"/>
        <w:rPr>
          <w:sz w:val="20"/>
          <w:szCs w:val="20"/>
          <w:color w:val="auto"/>
        </w:rPr>
      </w:pPr>
    </w:p>
    <w:p>
      <w:pPr>
        <w:ind w:left="360" w:right="500" w:firstLine="535"/>
        <w:spacing w:after="0" w:line="259" w:lineRule="auto"/>
        <w:rPr>
          <w:sz w:val="20"/>
          <w:szCs w:val="20"/>
          <w:color w:val="auto"/>
        </w:rPr>
      </w:pPr>
      <w:r>
        <w:rPr>
          <w:rFonts w:ascii="Arial" w:cs="Arial" w:eastAsia="Arial" w:hAnsi="Arial"/>
          <w:sz w:val="17"/>
          <w:szCs w:val="17"/>
          <w:color w:val="auto"/>
        </w:rPr>
        <w:t>The term of individual patents depends upon the legal term of the patents in the countries in which they are obtained. In most countries in which we file, the patent term is 20 years from the earliest date of filing a non-provisional patent application.</w:t>
      </w:r>
    </w:p>
    <w:p>
      <w:pPr>
        <w:spacing w:after="0" w:line="181" w:lineRule="exact"/>
        <w:rPr>
          <w:sz w:val="20"/>
          <w:szCs w:val="20"/>
          <w:color w:val="auto"/>
        </w:rPr>
      </w:pPr>
    </w:p>
    <w:p>
      <w:pPr>
        <w:ind w:left="360" w:firstLine="535"/>
        <w:spacing w:after="0" w:line="243" w:lineRule="auto"/>
        <w:rPr>
          <w:sz w:val="20"/>
          <w:szCs w:val="20"/>
          <w:color w:val="auto"/>
        </w:rPr>
      </w:pPr>
      <w:r>
        <w:rPr>
          <w:rFonts w:ascii="Arial" w:cs="Arial" w:eastAsia="Arial" w:hAnsi="Arial"/>
          <w:sz w:val="17"/>
          <w:szCs w:val="17"/>
          <w:color w:val="auto"/>
        </w:rPr>
        <w:t>In the United States, the term of a patent covering an FDA-approved drug may be eligible for a patent term extension under the Hatch-Waxman Act as compensation for the loss of patent term during the FDA regulatory review process. The period of extension may be up to five years beyond the expiration of the patent, but cannot extend the remaining term of a patent beyond a total of 14 years from the date of product approval. Only one patent among those eligible for an extension may be extended. Similar provisions are available in Europe and in certain other jurisdictions to extend the term of a patent that covers an approved drug. It is possible that issued U.S. patents covering ARV-110 and ARV-471 may be entitled to patent term extensions. If our product candidates receive FDA approval, we intend to apply for patent term extensions, if available, to extend the term of patents that cover the approved product candidates. We also intend to seek patent term extensions in any jurisdiction where they are available, however, there is no guarantee that the applicable authorities, including the FDA, will agree with our assessment of whether such extensions should be granted, and even if granted, the length of such extensions.</w:t>
      </w:r>
    </w:p>
    <w:p>
      <w:pPr>
        <w:spacing w:after="0" w:line="200" w:lineRule="exact"/>
        <w:rPr>
          <w:sz w:val="20"/>
          <w:szCs w:val="20"/>
          <w:color w:val="auto"/>
        </w:rPr>
      </w:pPr>
    </w:p>
    <w:p>
      <w:pPr>
        <w:spacing w:after="0" w:line="280"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Trade Secrets</w:t>
      </w:r>
    </w:p>
    <w:p>
      <w:pPr>
        <w:spacing w:after="0" w:line="126" w:lineRule="exact"/>
        <w:rPr>
          <w:sz w:val="20"/>
          <w:szCs w:val="20"/>
          <w:color w:val="auto"/>
        </w:rPr>
      </w:pPr>
    </w:p>
    <w:p>
      <w:pPr>
        <w:ind w:left="360" w:right="180" w:firstLine="535"/>
        <w:spacing w:after="0" w:line="247" w:lineRule="auto"/>
        <w:rPr>
          <w:sz w:val="20"/>
          <w:szCs w:val="20"/>
          <w:color w:val="auto"/>
        </w:rPr>
      </w:pPr>
      <w:r>
        <w:rPr>
          <w:rFonts w:ascii="Arial" w:cs="Arial" w:eastAsia="Arial" w:hAnsi="Arial"/>
          <w:sz w:val="17"/>
          <w:szCs w:val="17"/>
          <w:color w:val="auto"/>
        </w:rPr>
        <w:t>We also rely on trade secrets, technical know-how and continuing innovation to develop and maintain our competitive advantage. Our policy requires inventors who are identified on any company-owned patent applications to assign rights to us. We also rely on confidentiality agreements with our employees, consultants and other advisors to protect our proprietary information. Our policy is to require third parties that receive material confidential information to enter into confidentiality agreements with us.</w:t>
      </w:r>
    </w:p>
    <w:p>
      <w:pPr>
        <w:spacing w:after="0" w:line="276"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Trademarks</w:t>
      </w:r>
    </w:p>
    <w:p>
      <w:pPr>
        <w:spacing w:after="0" w:line="126" w:lineRule="exact"/>
        <w:rPr>
          <w:sz w:val="20"/>
          <w:szCs w:val="20"/>
          <w:color w:val="auto"/>
        </w:rPr>
      </w:pPr>
    </w:p>
    <w:p>
      <w:pPr>
        <w:jc w:val="both"/>
        <w:ind w:left="360" w:right="40" w:firstLine="535"/>
        <w:spacing w:after="0" w:line="247" w:lineRule="auto"/>
        <w:rPr>
          <w:sz w:val="20"/>
          <w:szCs w:val="20"/>
          <w:color w:val="auto"/>
        </w:rPr>
      </w:pPr>
      <w:r>
        <w:rPr>
          <w:rFonts w:ascii="Arial" w:cs="Arial" w:eastAsia="Arial" w:hAnsi="Arial"/>
          <w:sz w:val="17"/>
          <w:szCs w:val="17"/>
          <w:color w:val="auto"/>
        </w:rPr>
        <w:t>We own the service mark PROTAC for pharmaceutical products development of new small molecules aimed at degrading disease-causing cellular proteins for treatment in the field of oncology, immunology, inflammatory diseases, and central nervous system disorders. We also own a U.S. trademark application for the mark PROTAC for small molecule products aimed at degrading disease-causing cellular proteins for treatment in the field of oncology, immunology, inflammatory diseases, and central nervous system disorders.</w:t>
      </w:r>
    </w:p>
    <w:p>
      <w:pPr>
        <w:spacing w:after="0" w:line="12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1040"/>
          </w:cols>
          <w:pgMar w:left="240" w:top="449" w:right="619" w:bottom="1440" w:gutter="0" w:footer="0" w:header="0"/>
        </w:sectPr>
      </w:pPr>
    </w:p>
    <w:bookmarkStart w:id="115" w:name="page116"/>
    <w:bookmarkEnd w:id="1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Licenses and Strategic Collaborations</w:t>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Yale University License Agreement</w:t>
      </w:r>
    </w:p>
    <w:p>
      <w:pPr>
        <w:spacing w:after="0" w:line="126" w:lineRule="exact"/>
        <w:rPr>
          <w:sz w:val="20"/>
          <w:szCs w:val="20"/>
          <w:color w:val="auto"/>
        </w:rPr>
      </w:pPr>
    </w:p>
    <w:p>
      <w:pPr>
        <w:ind w:left="360" w:firstLine="535"/>
        <w:spacing w:after="0" w:line="243" w:lineRule="auto"/>
        <w:rPr>
          <w:sz w:val="20"/>
          <w:szCs w:val="20"/>
          <w:color w:val="auto"/>
        </w:rPr>
      </w:pPr>
      <w:r>
        <w:rPr>
          <w:rFonts w:ascii="Arial" w:cs="Arial" w:eastAsia="Arial" w:hAnsi="Arial"/>
          <w:sz w:val="17"/>
          <w:szCs w:val="17"/>
          <w:color w:val="auto"/>
        </w:rPr>
        <w:t>In July 2013, we entered into a license agreement with Yale pursuant to which Yale granted us an exclusive, worldwide license under specified intellectual property rights for the treatment or prevention of any human or animal disease in which a product mediates degradation of one or more target proteins, which we refer to as the Field, subject to certain exceptions. These licensed intellectual property rights arose from the research conducted by Dr. Craig Crews at Yale. During the period in which Professor Crews serves as a member of our board of directors or scientific advisory board or has a similar advisory arrangement, has a consulting arrangement with us, or his laboratory is performing sponsored research for us, and so long as he is an employee or faculty member (including emeritus faculty member) at Yale, Yale will notify us of any inventions in the Field invented in Professor Crews’ laboratory and such invention will be included in the licensed intellectual property, subject to the rights of any non-profit sponsor of the research to use such invention solely for non-profit purposes. In addition, the laboratory of Professor Crews is restricted from conducting any sponsored research, collaboration or other similar arrangement in the Field with a for-profit company while Professor Crews is engaged with us, except where such arrangement allows Yale to grant us licenses of any inventions developed in the laboratory of Professor Crews in the Field in the licensed territory.</w:t>
      </w:r>
    </w:p>
    <w:p>
      <w:pPr>
        <w:spacing w:after="0" w:line="392" w:lineRule="exact"/>
        <w:rPr>
          <w:sz w:val="20"/>
          <w:szCs w:val="20"/>
          <w:color w:val="auto"/>
        </w:rPr>
      </w:pPr>
    </w:p>
    <w:p>
      <w:pPr>
        <w:ind w:left="360" w:right="80" w:firstLine="535"/>
        <w:spacing w:after="0" w:line="247" w:lineRule="auto"/>
        <w:rPr>
          <w:sz w:val="20"/>
          <w:szCs w:val="20"/>
          <w:color w:val="auto"/>
        </w:rPr>
      </w:pPr>
      <w:r>
        <w:rPr>
          <w:rFonts w:ascii="Arial" w:cs="Arial" w:eastAsia="Arial" w:hAnsi="Arial"/>
          <w:sz w:val="17"/>
          <w:szCs w:val="17"/>
          <w:color w:val="auto"/>
        </w:rPr>
        <w:t>We are obligated to use commercially reasonable efforts to implement a written plan we agreed to with Yale setting forth a description of any research and development, testing, governmental approval and commercialization activities relating to licensed products and our financing plans. We must update this plan on an annual basis to indicate progress to date on the plan and a schedule of major events required to commercialize licensed products.</w:t>
      </w:r>
    </w:p>
    <w:p>
      <w:pPr>
        <w:spacing w:after="0" w:line="192" w:lineRule="exact"/>
        <w:rPr>
          <w:sz w:val="20"/>
          <w:szCs w:val="20"/>
          <w:color w:val="auto"/>
        </w:rPr>
      </w:pPr>
    </w:p>
    <w:p>
      <w:pPr>
        <w:ind w:left="360" w:right="20" w:firstLine="535"/>
        <w:spacing w:after="0" w:line="242" w:lineRule="auto"/>
        <w:rPr>
          <w:sz w:val="20"/>
          <w:szCs w:val="20"/>
          <w:color w:val="auto"/>
        </w:rPr>
      </w:pPr>
      <w:r>
        <w:rPr>
          <w:rFonts w:ascii="Arial" w:cs="Arial" w:eastAsia="Arial" w:hAnsi="Arial"/>
          <w:sz w:val="17"/>
          <w:szCs w:val="17"/>
          <w:color w:val="auto"/>
        </w:rPr>
        <w:t>Pursuant to the license agreement we paid to Yale an upfront payment of $149,511. We are responsible for paying Yale an annual license maintenance fee in varying amounts (ranging from the low tens-thousands of dollars to the mid to high tens-thousands of dollars) until the first sale to a third party of any licensed product, which is creditable against our royalty obligations for the given year. As of June 30, 2018, we have paid a total of $135,000 in license maintenance fees to Yale. We are required to pay Yale, subject to the achievement of specified development and regulatory milestones, payments aggregating up to approximately $3.0 million for the first licensed product and up to approximately $ 1.5 million for the second licensed product. We are not required to make any milestone payments for any licensed products beyond the first two. While the agreement remains in effect, we are required to pay Yale low single-digit royalties on aggregate worldwide net sales of certain licensed products, which may be subject to reductions. Yale is guaranteed a minimum royalty payment amount (ranging from $200,000 to $500,000) for each year after the first sale of a licensed product that results in net sales. We must also pay Yale a mid-single digit to mid-double digit percentage, decreasing as a licensed product proceeds through development stages, of any consideration we receive from sublicensees, depending on the timing of such sublicense. We have previously paid to Yale $750,000 for sublicense consideration, representing the maximum amount required to be paid for sublicense consideration received prior to the filing of an IND for a licensed product. We are also responsible for costs relating to the prosecution and maintenance of the licensed patents. Finally, subject to certain conditions, all payments made by us to Yale (except patent costs) will be tripled during the pendency of any patent challenge made by us against Yale.</w:t>
      </w:r>
    </w:p>
    <w:p>
      <w:pPr>
        <w:spacing w:after="0" w:line="203" w:lineRule="exact"/>
        <w:rPr>
          <w:sz w:val="20"/>
          <w:szCs w:val="20"/>
          <w:color w:val="auto"/>
        </w:rPr>
      </w:pPr>
    </w:p>
    <w:p>
      <w:pPr>
        <w:ind w:left="360" w:right="20" w:firstLine="535"/>
        <w:spacing w:after="0" w:line="245" w:lineRule="auto"/>
        <w:rPr>
          <w:sz w:val="20"/>
          <w:szCs w:val="20"/>
          <w:color w:val="auto"/>
        </w:rPr>
      </w:pPr>
      <w:r>
        <w:rPr>
          <w:rFonts w:ascii="Arial" w:cs="Arial" w:eastAsia="Arial" w:hAnsi="Arial"/>
          <w:sz w:val="17"/>
          <w:szCs w:val="17"/>
          <w:color w:val="auto"/>
        </w:rPr>
        <w:t>We have also agreed to pay for PROTAC research support from Yale pursuant to a sponsored research agreement that we entered into with Yale in July 2016 and amended in April 2018. Under the sponsored research agreement, as amended, we agreed to pay Yale an aggregate of $ 3.7 million over five years, ending in the first quarter of 2021, and as of June 30, 2018, we had paid Yale an aggregate of approximately $1.0 million. The research is performed by and under the supervision and direction of Professor Crews for so long as he is employed by Yale.</w:t>
      </w:r>
    </w:p>
    <w:p>
      <w:pPr>
        <w:spacing w:after="0" w:line="13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114</w:t>
      </w:r>
    </w:p>
    <w:p>
      <w:pPr>
        <w:sectPr>
          <w:pgSz w:w="11900" w:h="16838" w:orient="portrait"/>
          <w:cols w:equalWidth="0" w:num="1">
            <w:col w:w="11040"/>
          </w:cols>
          <w:pgMar w:left="240" w:top="450" w:right="619" w:bottom="1440" w:gutter="0" w:footer="0" w:header="0"/>
        </w:sectPr>
      </w:pPr>
    </w:p>
    <w:bookmarkStart w:id="116" w:name="page117"/>
    <w:bookmarkEnd w:id="1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20" w:firstLine="535"/>
        <w:spacing w:after="0" w:line="243" w:lineRule="auto"/>
        <w:rPr>
          <w:sz w:val="20"/>
          <w:szCs w:val="20"/>
          <w:color w:val="auto"/>
        </w:rPr>
      </w:pPr>
      <w:r>
        <w:rPr>
          <w:rFonts w:ascii="Arial" w:cs="Arial" w:eastAsia="Arial" w:hAnsi="Arial"/>
          <w:sz w:val="17"/>
          <w:szCs w:val="17"/>
          <w:color w:val="auto"/>
        </w:rPr>
        <w:t>The license agreement remains in effect until (a) for certain products, the date on which the last claim of the licensed patents expires; and (b) for certain products, 10 years after the sale of such products. The expiration of the last to expire patent right licensed from Yale, if it issues as a patent and all appropriate maintenance fees are paid, is currently expected be in 2038. We could also obtain rights to additional patents, including through the issuance of pending patent applications, with later expiration dates, through our rights to any inventions in the Field invented in Professor Crews’ laboratory, which could extend the term of the Yale Agreement. Either we or Yale may terminate the agreement for the other party’s uncured material breach of certain provisions, we may terminate the agreement for convenience upon six months’ prior notice, and Yale may terminate the agreement if we fail to make a payment when due, fail to obtain or maintain adequate insurance coverage or fail to achieve specified financing or regulatory milestone events. The agreement will automatically terminate if we become insolvent.</w:t>
      </w:r>
    </w:p>
    <w:p>
      <w:pPr>
        <w:spacing w:after="0" w:line="283"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Genentech License Agreement</w:t>
      </w:r>
    </w:p>
    <w:p>
      <w:pPr>
        <w:spacing w:after="0" w:line="126" w:lineRule="exact"/>
        <w:rPr>
          <w:sz w:val="20"/>
          <w:szCs w:val="20"/>
          <w:color w:val="auto"/>
        </w:rPr>
      </w:pPr>
    </w:p>
    <w:p>
      <w:pPr>
        <w:ind w:left="360" w:right="400" w:firstLine="535"/>
        <w:spacing w:after="0" w:line="245" w:lineRule="auto"/>
        <w:rPr>
          <w:sz w:val="20"/>
          <w:szCs w:val="20"/>
          <w:color w:val="auto"/>
        </w:rPr>
      </w:pPr>
      <w:r>
        <w:rPr>
          <w:rFonts w:ascii="Arial" w:cs="Arial" w:eastAsia="Arial" w:hAnsi="Arial"/>
          <w:sz w:val="17"/>
          <w:szCs w:val="17"/>
          <w:color w:val="auto"/>
        </w:rPr>
        <w:t>In September 2015, we entered into an Option and License Agreement with Genentech, Inc. and F. Hoffmann-La Roche Ltd, collectively referred to as Genentech, focused on PROTAC discovery and research for target proteins, or Targets, based on our proprietary platform technology, other than excluded Targets as described below. This collaboration was expanded in November 2017 through an Amended and Restated Option, License and Collaboration Agreement, which we refer to as the Restated Genentech Agreement.</w:t>
      </w:r>
    </w:p>
    <w:p>
      <w:pPr>
        <w:spacing w:after="0" w:line="195" w:lineRule="exact"/>
        <w:rPr>
          <w:sz w:val="20"/>
          <w:szCs w:val="20"/>
          <w:color w:val="auto"/>
        </w:rPr>
      </w:pPr>
    </w:p>
    <w:p>
      <w:pPr>
        <w:ind w:left="360" w:right="40" w:firstLine="535"/>
        <w:spacing w:after="0" w:line="247" w:lineRule="auto"/>
        <w:rPr>
          <w:sz w:val="20"/>
          <w:szCs w:val="20"/>
          <w:color w:val="auto"/>
        </w:rPr>
      </w:pPr>
      <w:r>
        <w:rPr>
          <w:rFonts w:ascii="Arial" w:cs="Arial" w:eastAsia="Arial" w:hAnsi="Arial"/>
          <w:sz w:val="17"/>
          <w:szCs w:val="17"/>
          <w:color w:val="auto"/>
        </w:rPr>
        <w:t>The collaboration is managed by a joint research committee and a joint project team, each of which is comprised of representatives from us and Genentech. Decisions of the joint research committee and joint project team are made by consensus, with each party having one vote. If the joint research committee is unable to agree, and the parties’ executives are not able to resolve the dispute, then Genentech has final decision-making authority, subject to specified limitations.</w:t>
      </w:r>
    </w:p>
    <w:p>
      <w:pPr>
        <w:spacing w:after="0" w:line="192" w:lineRule="exact"/>
        <w:rPr>
          <w:sz w:val="20"/>
          <w:szCs w:val="20"/>
          <w:color w:val="auto"/>
        </w:rPr>
      </w:pPr>
    </w:p>
    <w:p>
      <w:pPr>
        <w:ind w:left="360" w:right="180" w:firstLine="535"/>
        <w:spacing w:after="0" w:line="245" w:lineRule="auto"/>
        <w:rPr>
          <w:sz w:val="20"/>
          <w:szCs w:val="20"/>
          <w:color w:val="auto"/>
        </w:rPr>
      </w:pPr>
      <w:r>
        <w:rPr>
          <w:rFonts w:ascii="Arial" w:cs="Arial" w:eastAsia="Arial" w:hAnsi="Arial"/>
          <w:sz w:val="17"/>
          <w:szCs w:val="17"/>
          <w:color w:val="auto"/>
        </w:rPr>
        <w:t>Under the Restated Genentech Agreement, Genentech has the right to designate up to ten Targets for further discovery and research utilizing our PROTAC platform technology. Genentech may designate as a Target any protein to which a PROTAC, by design, binds, to achieve its mechanism of action, subject to certain exclusions. Genentech also has the right to remove a Target from the collaboration and substitute a different Target that is not an excluded Target at any time prior to us commencing research on such Target or in certain circumstances following commencement of research by us.</w:t>
      </w:r>
    </w:p>
    <w:p>
      <w:pPr>
        <w:spacing w:after="0" w:line="195" w:lineRule="exact"/>
        <w:rPr>
          <w:sz w:val="20"/>
          <w:szCs w:val="20"/>
          <w:color w:val="auto"/>
        </w:rPr>
      </w:pPr>
    </w:p>
    <w:p>
      <w:pPr>
        <w:ind w:left="360" w:firstLine="535"/>
        <w:spacing w:after="0" w:line="245" w:lineRule="auto"/>
        <w:rPr>
          <w:sz w:val="20"/>
          <w:szCs w:val="20"/>
          <w:color w:val="auto"/>
        </w:rPr>
      </w:pPr>
      <w:r>
        <w:rPr>
          <w:rFonts w:ascii="Arial" w:cs="Arial" w:eastAsia="Arial" w:hAnsi="Arial"/>
          <w:sz w:val="17"/>
          <w:szCs w:val="17"/>
          <w:color w:val="auto"/>
        </w:rPr>
        <w:t>Once a Target becomes subject to the collaboration, we are obligated to use diligent efforts to undertake a research program in accordance with a research plan agreed to by the parties for such Target. We are responsible for funding our activities under the research program for each Target up to the amount set forth in the budget for such Target agreed upon by the parties in the research plan. For costs incurred in excess of the budgeted amount, Genentech has the option of either having us continue the work on the Target and reimbursing us for our costs in doing so or terminating the work on such Target.</w:t>
      </w:r>
    </w:p>
    <w:p>
      <w:pPr>
        <w:spacing w:after="0" w:line="195" w:lineRule="exact"/>
        <w:rPr>
          <w:sz w:val="20"/>
          <w:szCs w:val="20"/>
          <w:color w:val="auto"/>
        </w:rPr>
      </w:pPr>
    </w:p>
    <w:p>
      <w:pPr>
        <w:ind w:left="360" w:right="280" w:firstLine="535"/>
        <w:spacing w:after="0" w:line="245" w:lineRule="auto"/>
        <w:rPr>
          <w:sz w:val="20"/>
          <w:szCs w:val="20"/>
          <w:color w:val="auto"/>
        </w:rPr>
      </w:pPr>
      <w:r>
        <w:rPr>
          <w:rFonts w:ascii="Arial" w:cs="Arial" w:eastAsia="Arial" w:hAnsi="Arial"/>
          <w:sz w:val="17"/>
          <w:szCs w:val="17"/>
          <w:color w:val="auto"/>
        </w:rPr>
        <w:t xml:space="preserve">The research program for each Target contemplates that the discovery and research work will occur in two stages: Stage 1, in which our objective will be to identify a PROTAC that demonstrates in vitro protein degradation of the Target; and Stage 2, in which our objective will be to demonstrate certain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research and development activity, but not to complete toxicology studies or other necessory IND-enabling studies. For each Target, at the conclusion of Stage 1, Genentech has the opportunity to continue the research program for such Target or terminate all activities on such Target. At the conclusion of each stage, we are obligated to provide certain deliverables to Genentech, including a data package at the end of Stage 2. Genentech has an option to obtain an exclusive</w:t>
      </w:r>
    </w:p>
    <w:p>
      <w:pPr>
        <w:spacing w:after="0" w:line="12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115</w:t>
      </w:r>
    </w:p>
    <w:p>
      <w:pPr>
        <w:sectPr>
          <w:pgSz w:w="11900" w:h="16838" w:orient="portrait"/>
          <w:cols w:equalWidth="0" w:num="1">
            <w:col w:w="11060"/>
          </w:cols>
          <w:pgMar w:left="240" w:top="449" w:right="599" w:bottom="1440" w:gutter="0" w:footer="0" w:header="0"/>
        </w:sectPr>
      </w:pPr>
    </w:p>
    <w:bookmarkStart w:id="117" w:name="page118"/>
    <w:bookmarkEnd w:id="1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40"/>
        <w:spacing w:after="0" w:line="245" w:lineRule="auto"/>
        <w:rPr>
          <w:sz w:val="20"/>
          <w:szCs w:val="20"/>
          <w:color w:val="auto"/>
        </w:rPr>
      </w:pPr>
      <w:r>
        <w:rPr>
          <w:rFonts w:ascii="Arial" w:cs="Arial" w:eastAsia="Arial" w:hAnsi="Arial"/>
          <w:sz w:val="17"/>
          <w:szCs w:val="17"/>
          <w:color w:val="auto"/>
        </w:rPr>
        <w:t>worldwide license to the applicable PROTACs directed against the applicable Target, which we refer to as Licensed PROTACs. Each such option must be exercised within a specified time after we deliver the data package for such Licensed PROTAC to Genentech. Once Genentech exercises an option, it is responsible, at its cost, to use diligent efforts to develop and commercialize the Licensed PROTAC through first commercial sale in the United States, the European Union and Japan. To date, Genentech has designated four Targets, three of these Targets are under active collaboration and Genentech has exercised its option with respect to one of the Targets.</w:t>
      </w:r>
    </w:p>
    <w:p>
      <w:pPr>
        <w:spacing w:after="0" w:line="195" w:lineRule="exact"/>
        <w:rPr>
          <w:sz w:val="20"/>
          <w:szCs w:val="20"/>
          <w:color w:val="auto"/>
        </w:rPr>
      </w:pPr>
    </w:p>
    <w:p>
      <w:pPr>
        <w:ind w:left="360" w:right="340" w:firstLine="535"/>
        <w:spacing w:after="0" w:line="247" w:lineRule="auto"/>
        <w:rPr>
          <w:sz w:val="20"/>
          <w:szCs w:val="20"/>
          <w:color w:val="auto"/>
        </w:rPr>
      </w:pPr>
      <w:r>
        <w:rPr>
          <w:rFonts w:ascii="Arial" w:cs="Arial" w:eastAsia="Arial" w:hAnsi="Arial"/>
          <w:sz w:val="17"/>
          <w:szCs w:val="17"/>
          <w:color w:val="auto"/>
        </w:rPr>
        <w:t>During the term of the Restated Genentech Agreement, we and our affiliates are not permitted, either directly or indirectly, to conduct any activities in the design, identification or discovery of any small molecule pharmacologically active agent directed against a Target included in the collaboration, including certain PROTACs whose intended primary mechanism of action is, by design, through induction of proteasomal degradation of such Target.</w:t>
      </w:r>
    </w:p>
    <w:p>
      <w:pPr>
        <w:spacing w:after="0" w:line="192" w:lineRule="exact"/>
        <w:rPr>
          <w:sz w:val="20"/>
          <w:szCs w:val="20"/>
          <w:color w:val="auto"/>
        </w:rPr>
      </w:pPr>
    </w:p>
    <w:p>
      <w:pPr>
        <w:jc w:val="both"/>
        <w:ind w:left="360" w:right="80" w:firstLine="535"/>
        <w:spacing w:after="0" w:line="241" w:lineRule="auto"/>
        <w:rPr>
          <w:sz w:val="20"/>
          <w:szCs w:val="20"/>
          <w:color w:val="auto"/>
        </w:rPr>
      </w:pPr>
      <w:r>
        <w:rPr>
          <w:rFonts w:ascii="Arial" w:cs="Arial" w:eastAsia="Arial" w:hAnsi="Arial"/>
          <w:sz w:val="17"/>
          <w:szCs w:val="17"/>
          <w:color w:val="auto"/>
        </w:rPr>
        <w:t>Under the terms of the Restated Genentech Agreement, we received $11.0 million in 2015 and an additional $34.5 million in 2017 in upfront payments and expansion target payments for the three Targets currently included in the collaboration. We are eligible to receive up to an aggregate of $27.5 million in additional expansion target payments if Genentech exercises its options for all remaining Targets.</w:t>
      </w:r>
    </w:p>
    <w:p>
      <w:pPr>
        <w:spacing w:after="0" w:line="1" w:lineRule="exact"/>
        <w:rPr>
          <w:sz w:val="20"/>
          <w:szCs w:val="20"/>
          <w:color w:val="auto"/>
        </w:rPr>
      </w:pPr>
    </w:p>
    <w:p>
      <w:pPr>
        <w:ind w:left="360" w:right="180"/>
        <w:spacing w:after="0" w:line="245" w:lineRule="auto"/>
        <w:rPr>
          <w:sz w:val="20"/>
          <w:szCs w:val="20"/>
          <w:color w:val="auto"/>
        </w:rPr>
      </w:pPr>
      <w:r>
        <w:rPr>
          <w:rFonts w:ascii="Arial" w:cs="Arial" w:eastAsia="Arial" w:hAnsi="Arial"/>
          <w:sz w:val="17"/>
          <w:szCs w:val="17"/>
          <w:color w:val="auto"/>
        </w:rPr>
        <w:t>We are also eligible to receive payments aggregating up to $44.0 million per Target subject to the achievement of specified development milestones; payments aggregating up to $52.5 million per Target (assuming approval of two indications) subject to the achievement of specified regulatory milestones; and payments aggregating up to $ 60 million per Licensed PROTAC subject to the achievement of specified sales milestones. These milestone payments are subject to reduction if we do not have a valid patent claim covering the Licensed PROTAC at the time the milestone is achieved. We are also eligible to receive, on net sales of Licensed PROTACs, mid-single digit royalties, which may be subject to reductions.</w:t>
      </w:r>
    </w:p>
    <w:p>
      <w:pPr>
        <w:spacing w:after="0" w:line="192" w:lineRule="exact"/>
        <w:rPr>
          <w:sz w:val="20"/>
          <w:szCs w:val="20"/>
          <w:color w:val="auto"/>
        </w:rPr>
      </w:pPr>
    </w:p>
    <w:p>
      <w:pPr>
        <w:ind w:left="360" w:firstLine="535"/>
        <w:spacing w:after="0" w:line="242" w:lineRule="auto"/>
        <w:rPr>
          <w:sz w:val="20"/>
          <w:szCs w:val="20"/>
          <w:color w:val="auto"/>
        </w:rPr>
      </w:pPr>
      <w:r>
        <w:rPr>
          <w:rFonts w:ascii="Arial" w:cs="Arial" w:eastAsia="Arial" w:hAnsi="Arial"/>
          <w:sz w:val="17"/>
          <w:szCs w:val="17"/>
          <w:color w:val="auto"/>
        </w:rPr>
        <w:t>Unless earlier terminated, the Restated Genentech Agreement will expire upon the expiration of all royalty periods for any Licensed PROTACs. The royalty period for each Licensed PROTAC expires on a country-by-country basis upon either (1) the expiration of the last-to-expire valid patent claim covering such Licensed PROTAC or (2) ten years after the first commercial sale with respect to such Licensed PROTAC, depending on whether the sale of the Licensed PROTAC is covered by an applicable valid claim. The expiration of the last to expire patent right licensed to Genentech, if it issues as a patent and all appropriate maintenance fees are paid, is currently expected be in 2038. We could also obtain rights to additional patents, including through the issuance of pending patent applications, with later expiration dates, or new Licensed PROTACs could be added to the agreement that are subject to additional royalty terms with later expiration dates, which in either case could extend the term of the Restated Genentech Agreement. Genentech has the right to terminate the Restated Genentech Agreement for convenience in its entirety or with respect to a specific Target on 60 days’ prior notice. Either we or Genentech may terminate the agreement, in its entirety or with respect to a specific Target, if the other party is in material breach and such breach is not cured within the specified cure period. In addition, either we or Genentech may terminate the agreement in the event of specified insolvency events involving the other party. If Genentech terminates the agreement for convenience or if we terminate the agreement as a result of Genentech’s uncured material breach or Genentech’s insolvency, all licenses we granted to Genentech terminate (either in its entirety or with respect to a specific Target, as applicable based on the nature of the termination). If Genentech terminates the agreement as a result of our uncured material breach or our insolvency, all licenses that we granted to Genentech terminate (either in its entirety or with respect to a specific Target, as applicable based on the nature of the termination), except that Genentech has the right to elect to retain its licenses, in which case it would no longer be obligated to use diligent efforts to develop and commercialize the applicable Licensed PROTACs and its payment obligations to us would be reduced.</w:t>
      </w:r>
    </w:p>
    <w:p>
      <w:pPr>
        <w:spacing w:after="0" w:line="13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116</w:t>
      </w:r>
    </w:p>
    <w:p>
      <w:pPr>
        <w:sectPr>
          <w:pgSz w:w="11900" w:h="16838" w:orient="portrait"/>
          <w:cols w:equalWidth="0" w:num="1">
            <w:col w:w="11060"/>
          </w:cols>
          <w:pgMar w:left="240" w:top="449" w:right="599" w:bottom="1440" w:gutter="0" w:footer="0" w:header="0"/>
        </w:sectPr>
      </w:pPr>
    </w:p>
    <w:bookmarkStart w:id="118" w:name="page119"/>
    <w:bookmarkEnd w:id="1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Pfizer License Agreement</w:t>
      </w:r>
    </w:p>
    <w:p>
      <w:pPr>
        <w:spacing w:after="0" w:line="126" w:lineRule="exact"/>
        <w:rPr>
          <w:sz w:val="20"/>
          <w:szCs w:val="20"/>
          <w:color w:val="auto"/>
        </w:rPr>
      </w:pPr>
    </w:p>
    <w:p>
      <w:pPr>
        <w:ind w:left="360" w:right="240" w:firstLine="535"/>
        <w:spacing w:after="0" w:line="247" w:lineRule="auto"/>
        <w:rPr>
          <w:sz w:val="20"/>
          <w:szCs w:val="20"/>
          <w:color w:val="auto"/>
        </w:rPr>
      </w:pPr>
      <w:r>
        <w:rPr>
          <w:rFonts w:ascii="Arial" w:cs="Arial" w:eastAsia="Arial" w:hAnsi="Arial"/>
          <w:sz w:val="17"/>
          <w:szCs w:val="17"/>
          <w:color w:val="auto"/>
        </w:rPr>
        <w:t>In December 2017, we entered into a Research Collaboration and License Agreement with Pfizer, Inc., or Pfizer, setting forth our collaboration to identify or optimize PROTACs that mediate for degradation of target proteins, or Targets, using our proprietary platform technology that are identified in the agreement or subsequently selected by Pfizer, subject to certain exclusions. We refer to this agreement as the Pfizer Collaboration Agreement.</w:t>
      </w:r>
    </w:p>
    <w:p>
      <w:pPr>
        <w:spacing w:after="0" w:line="192" w:lineRule="exact"/>
        <w:rPr>
          <w:sz w:val="20"/>
          <w:szCs w:val="20"/>
          <w:color w:val="auto"/>
        </w:rPr>
      </w:pPr>
    </w:p>
    <w:p>
      <w:pPr>
        <w:jc w:val="both"/>
        <w:ind w:left="360" w:right="360" w:firstLine="535"/>
        <w:spacing w:after="0" w:line="250" w:lineRule="auto"/>
        <w:rPr>
          <w:sz w:val="20"/>
          <w:szCs w:val="20"/>
          <w:color w:val="auto"/>
        </w:rPr>
      </w:pPr>
      <w:r>
        <w:rPr>
          <w:rFonts w:ascii="Arial" w:cs="Arial" w:eastAsia="Arial" w:hAnsi="Arial"/>
          <w:sz w:val="17"/>
          <w:szCs w:val="17"/>
          <w:color w:val="auto"/>
        </w:rPr>
        <w:t>Under the Pfizer Collaboration Agreement, Pfizer has designated a number of initial Targets. For each identified Target, we and Pfizer will conduct a separate research program pursuant to a research plan. Pfizer may make substitutions for any of the initial Target candidates, subject to the stage of research for such Target.</w:t>
      </w:r>
    </w:p>
    <w:p>
      <w:pPr>
        <w:spacing w:after="0" w:line="189" w:lineRule="exact"/>
        <w:rPr>
          <w:sz w:val="20"/>
          <w:szCs w:val="20"/>
          <w:color w:val="auto"/>
        </w:rPr>
      </w:pPr>
    </w:p>
    <w:p>
      <w:pPr>
        <w:ind w:left="360" w:right="60" w:firstLine="535"/>
        <w:spacing w:after="0" w:line="244" w:lineRule="auto"/>
        <w:rPr>
          <w:sz w:val="20"/>
          <w:szCs w:val="20"/>
          <w:color w:val="auto"/>
        </w:rPr>
      </w:pPr>
      <w:r>
        <w:rPr>
          <w:rFonts w:ascii="Arial" w:cs="Arial" w:eastAsia="Arial" w:hAnsi="Arial"/>
          <w:sz w:val="17"/>
          <w:szCs w:val="17"/>
          <w:color w:val="auto"/>
        </w:rPr>
        <w:t>We and Pfizer are obligated to use commercially reasonable efforts to complete our respective activities set forth in a research plan, including, in our case, the obligation to provide certain deliverables at the end of each stage. Under the research plan, we are required to provide compound formulation and conduct pharmacokinetic/pharmacodynamic and drug safety research and development activities in support of screening and other activities conducted by Pfizer relating to a Target. Following the provision of the deliverables by us for a stage, we will suspend the conduct of any further activities until Pfizer has exercised its right to proceed. If Pfizer does not exercise such right within the applicable time period, we will cease activities for such Target and such Target will no longer be part of the collaboration. Each party will bear its own costs in the conduct of such activities, except that any additional work that we agree with Pfizer to perform outside of the research plan will be paid for by Pfizer.</w:t>
      </w:r>
    </w:p>
    <w:p>
      <w:pPr>
        <w:spacing w:after="0" w:line="193" w:lineRule="exact"/>
        <w:rPr>
          <w:sz w:val="20"/>
          <w:szCs w:val="20"/>
          <w:color w:val="auto"/>
        </w:rPr>
      </w:pPr>
    </w:p>
    <w:p>
      <w:pPr>
        <w:ind w:left="360" w:right="80" w:firstLine="535"/>
        <w:spacing w:after="0" w:line="247" w:lineRule="auto"/>
        <w:rPr>
          <w:sz w:val="20"/>
          <w:szCs w:val="20"/>
          <w:color w:val="auto"/>
        </w:rPr>
      </w:pPr>
      <w:r>
        <w:rPr>
          <w:rFonts w:ascii="Arial" w:cs="Arial" w:eastAsia="Arial" w:hAnsi="Arial"/>
          <w:sz w:val="17"/>
          <w:szCs w:val="17"/>
          <w:color w:val="auto"/>
        </w:rPr>
        <w:t>Pfizer has the right to exercise an option to obtain an exclusive worldwide license with respect to each Target for a specified period of time after receipt of the applicable deliverables for such Target. If Pfizer does not exercise its option for a Target, such Target is no longer subject to the Pfizer Collaboration Agreement. If Pfizer exercises such option, Pfizer will have an exclusive license to develop and commercialize compounds directed against such Target, subject to certain diligence obligations.</w:t>
      </w:r>
    </w:p>
    <w:p>
      <w:pPr>
        <w:spacing w:after="0" w:line="192" w:lineRule="exact"/>
        <w:rPr>
          <w:sz w:val="20"/>
          <w:szCs w:val="20"/>
          <w:color w:val="auto"/>
        </w:rPr>
      </w:pPr>
    </w:p>
    <w:p>
      <w:pPr>
        <w:ind w:left="360" w:firstLine="535"/>
        <w:spacing w:after="0" w:line="245" w:lineRule="auto"/>
        <w:rPr>
          <w:sz w:val="20"/>
          <w:szCs w:val="20"/>
          <w:color w:val="auto"/>
        </w:rPr>
      </w:pPr>
      <w:r>
        <w:rPr>
          <w:rFonts w:ascii="Arial" w:cs="Arial" w:eastAsia="Arial" w:hAnsi="Arial"/>
          <w:sz w:val="17"/>
          <w:szCs w:val="17"/>
          <w:color w:val="auto"/>
        </w:rPr>
        <w:t>During the term of the Pfizer Collaboration Agreement, we and our affiliates are not permitted, either directly or indirectly, to develop or commercialize any pharmacologically-active agent whose primary mechanism of action is, by design, directed to a Target, or grant any license, covenant not to sue or other right to any third party for the conduct of such activities. There are no restrictions on Pfizer from developing, manufacturing or commercializing products, programs, technologies or processes that are similar to or may compete with any covered by the Pfizer Collaboration Agreement, subject to certain limitations on Pfizer’s right to use our confidential information or know-how.</w:t>
      </w:r>
    </w:p>
    <w:p>
      <w:pPr>
        <w:spacing w:after="0" w:line="392" w:lineRule="exact"/>
        <w:rPr>
          <w:sz w:val="20"/>
          <w:szCs w:val="20"/>
          <w:color w:val="auto"/>
        </w:rPr>
      </w:pPr>
    </w:p>
    <w:p>
      <w:pPr>
        <w:ind w:left="360" w:firstLine="535"/>
        <w:spacing w:after="0" w:line="245" w:lineRule="auto"/>
        <w:rPr>
          <w:sz w:val="20"/>
          <w:szCs w:val="20"/>
          <w:color w:val="auto"/>
        </w:rPr>
      </w:pPr>
      <w:r>
        <w:rPr>
          <w:rFonts w:ascii="Arial" w:cs="Arial" w:eastAsia="Arial" w:hAnsi="Arial"/>
          <w:sz w:val="17"/>
          <w:szCs w:val="17"/>
          <w:color w:val="auto"/>
        </w:rPr>
        <w:t>Under the terms of the Pfizer Collaboration Agreement, we received an aggregate of $28 million in upfront payments and milestone payments in the six months ended June 30, 2018. We are entitled to receive up to an additional $37.5 million in option payments if Pfizer exercises its options for all Targets. We are also entitled to receive up to $225 million in development milestones and up to $550 million in sales-based milestones for all designated Targets. In addition, we are eligible to receive, on net sales of PROTAC-related products, mid- to high-single digit tiered royalties, which may be subject to reductions.</w:t>
      </w:r>
    </w:p>
    <w:p>
      <w:pPr>
        <w:spacing w:after="0" w:line="195" w:lineRule="exact"/>
        <w:rPr>
          <w:sz w:val="20"/>
          <w:szCs w:val="20"/>
          <w:color w:val="auto"/>
        </w:rPr>
      </w:pPr>
    </w:p>
    <w:p>
      <w:pPr>
        <w:jc w:val="both"/>
        <w:ind w:left="360" w:right="260" w:firstLine="535"/>
        <w:spacing w:after="0" w:line="250" w:lineRule="auto"/>
        <w:rPr>
          <w:sz w:val="20"/>
          <w:szCs w:val="20"/>
          <w:color w:val="auto"/>
        </w:rPr>
      </w:pPr>
      <w:r>
        <w:rPr>
          <w:rFonts w:ascii="Arial" w:cs="Arial" w:eastAsia="Arial" w:hAnsi="Arial"/>
          <w:sz w:val="17"/>
          <w:szCs w:val="17"/>
          <w:color w:val="auto"/>
        </w:rPr>
        <w:t>Unless earlier terminated, the Pfizer Collaboration Agreement will expire upon the expiration of all royalty obligations thereunder. The royalty period for each product developed under the Pfizer Collaboration Agreement will expire on a country-by-country basis upon the later of (1) the expiration of the last-to-expire valid patent claim that claims or covers the composition of matter of a compound</w:t>
      </w:r>
    </w:p>
    <w:p>
      <w:pPr>
        <w:spacing w:after="0" w:line="123"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117</w:t>
      </w:r>
    </w:p>
    <w:p>
      <w:pPr>
        <w:sectPr>
          <w:pgSz w:w="11900" w:h="16838" w:orient="portrait"/>
          <w:cols w:equalWidth="0" w:num="1">
            <w:col w:w="11060"/>
          </w:cols>
          <w:pgMar w:left="240" w:top="449" w:right="599" w:bottom="1440" w:gutter="0" w:footer="0" w:header="0"/>
        </w:sectPr>
      </w:pPr>
    </w:p>
    <w:bookmarkStart w:id="119" w:name="page120"/>
    <w:bookmarkEnd w:id="1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80"/>
        <w:spacing w:after="0" w:line="244" w:lineRule="auto"/>
        <w:rPr>
          <w:sz w:val="20"/>
          <w:szCs w:val="20"/>
          <w:color w:val="auto"/>
        </w:rPr>
      </w:pPr>
      <w:r>
        <w:rPr>
          <w:rFonts w:ascii="Arial" w:cs="Arial" w:eastAsia="Arial" w:hAnsi="Arial"/>
          <w:sz w:val="17"/>
          <w:szCs w:val="17"/>
          <w:color w:val="auto"/>
        </w:rPr>
        <w:t>contained within such product or (2) ten years after the first commercial sale with respect to such product. Pfizer has the right to terminate the Pfizer Collaboration Agreement for convenience in its entirety or with respect to a specific target on 60 days’ prior notice. Either we or Pfizer may terminate the Pfizer Collaboration Agreement, in its entirety or with respect to a specific target, if the other party is in material breach and such breach is not cured within the specified cure period. In addition, either we or Pfizer may terminate the Pfizer Collaboration Agreement in the event of specified insolvency events involving the other party. If Pfizer terminates the agreement in its entirety or as a result of our uncured material breach or our insolvency, Pfizer retains its license with respect to Targets for which it has exercised an option (unless Pfizer elects otherwise), subject to reduced payment obligations.</w:t>
      </w:r>
    </w:p>
    <w:p>
      <w:pPr>
        <w:spacing w:after="0" w:line="278"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Competition</w:t>
      </w:r>
    </w:p>
    <w:p>
      <w:pPr>
        <w:spacing w:after="0" w:line="233" w:lineRule="exact"/>
        <w:rPr>
          <w:sz w:val="20"/>
          <w:szCs w:val="20"/>
          <w:color w:val="auto"/>
        </w:rPr>
      </w:pPr>
    </w:p>
    <w:p>
      <w:pPr>
        <w:ind w:left="360" w:right="100" w:firstLine="535"/>
        <w:spacing w:after="0" w:line="243" w:lineRule="auto"/>
        <w:rPr>
          <w:sz w:val="20"/>
          <w:szCs w:val="20"/>
          <w:color w:val="auto"/>
        </w:rPr>
      </w:pPr>
      <w:r>
        <w:rPr>
          <w:rFonts w:ascii="Arial" w:cs="Arial" w:eastAsia="Arial" w:hAnsi="Arial"/>
          <w:sz w:val="17"/>
          <w:szCs w:val="17"/>
          <w:color w:val="auto"/>
        </w:rPr>
        <w:t>The biotechnology and pharmaceutical industries are characterized by rapidly advancing technologies, intense competition and a strong emphasis on intellectual property and proprietary products. While we believe that our technology, expertise, scientific knowledge and intellectual property estate provide us with competitive advantages, we face potential competition from many different sources, including major pharmaceutical, specialty pharmaceutical and biotechnology companies, academic institutions, governmental agencies and public and private research institutions that conduct research, seek patent protection, and establish collaborative arrangements for research, development, manufacturing, and commercialization. Not only must we compete with other companies that are focused on protein degradation, but any product candidates that we successfully develop and commercialize will compete with existing therapies and new therapies that may become available in the future. Moreover, our industry is characterized by the existence of large numbers of patents and frequent allegations of patent infringement.</w:t>
      </w:r>
    </w:p>
    <w:p>
      <w:pPr>
        <w:spacing w:after="0" w:line="198" w:lineRule="exact"/>
        <w:rPr>
          <w:sz w:val="20"/>
          <w:szCs w:val="20"/>
          <w:color w:val="auto"/>
        </w:rPr>
      </w:pPr>
    </w:p>
    <w:p>
      <w:pPr>
        <w:ind w:left="360" w:right="40" w:firstLine="535"/>
        <w:spacing w:after="0" w:line="245" w:lineRule="auto"/>
        <w:rPr>
          <w:sz w:val="20"/>
          <w:szCs w:val="20"/>
          <w:color w:val="auto"/>
        </w:rPr>
      </w:pPr>
      <w:r>
        <w:rPr>
          <w:rFonts w:ascii="Arial" w:cs="Arial" w:eastAsia="Arial" w:hAnsi="Arial"/>
          <w:sz w:val="17"/>
          <w:szCs w:val="17"/>
          <w:color w:val="auto"/>
        </w:rPr>
        <w:t>Our platform and product focus is the discovery and development of protein degradation therapies using our small molecule PROTACs. Other companies researching chimeric small molecules for protein degradation include C4 Therapeutics, Inc., Cullgen Inc. and Kymera Therapeutics, Inc., all of which are currently in preclinical development. Further, several large pharmaceutical companies have disclosed preclinical investments in this field, including Amgen, AstraZeneca plc, GlaxoSmithKline plc, Genentech and Novartis International AG. In addition to competition from other protein degradation therapies, any products that we develop may also face competition from other types of therapies, such as small molecule, antibody, or gene therapies.</w:t>
      </w:r>
    </w:p>
    <w:p>
      <w:pPr>
        <w:spacing w:after="0" w:line="192" w:lineRule="exact"/>
        <w:rPr>
          <w:sz w:val="20"/>
          <w:szCs w:val="20"/>
          <w:color w:val="auto"/>
        </w:rPr>
      </w:pPr>
    </w:p>
    <w:p>
      <w:pPr>
        <w:ind w:left="360" w:firstLine="535"/>
        <w:spacing w:after="0" w:line="243" w:lineRule="auto"/>
        <w:rPr>
          <w:sz w:val="20"/>
          <w:szCs w:val="20"/>
          <w:color w:val="auto"/>
        </w:rPr>
      </w:pPr>
      <w:r>
        <w:rPr>
          <w:rFonts w:ascii="Arial" w:cs="Arial" w:eastAsia="Arial" w:hAnsi="Arial"/>
          <w:sz w:val="17"/>
          <w:szCs w:val="17"/>
          <w:color w:val="auto"/>
        </w:rPr>
        <w:t>Our lead product candidates target oncologic indications. The most common methods of treating patients in oncologic indications are surgery, radiation and drug therapy, including chemotherapy, hormone therapy and targeted drug therapy. There are a variety of available drug therapies marketed for cancer, including prostate cancer and breast cancer. In many cases, these drugs are administered in combination to enhance efficacy. Some of the currently approved drug therapies are branded and subject to patent protection, and others are available on a generic basis. Many of these approved drugs are well established therapies and are widely accepted by physicians, patients and third-party payors. In general, although there has been considerable progress over the past few decades in the treatment of cancer and the currently marketed therapies provide benefits to many patients, these therapies all are limited to some extent in their efficacy and frequency of adverse events, and none of them are successful in treating all patients. As a result, the level of morbidity and mortality from cancer remains high.</w:t>
      </w:r>
    </w:p>
    <w:p>
      <w:pPr>
        <w:spacing w:after="0" w:line="396" w:lineRule="exact"/>
        <w:rPr>
          <w:sz w:val="20"/>
          <w:szCs w:val="20"/>
          <w:color w:val="auto"/>
        </w:rPr>
      </w:pPr>
    </w:p>
    <w:p>
      <w:pPr>
        <w:ind w:left="360" w:right="160" w:firstLine="535"/>
        <w:spacing w:after="0" w:line="247" w:lineRule="auto"/>
        <w:rPr>
          <w:sz w:val="20"/>
          <w:szCs w:val="20"/>
          <w:color w:val="auto"/>
        </w:rPr>
      </w:pPr>
      <w:r>
        <w:rPr>
          <w:rFonts w:ascii="Arial" w:cs="Arial" w:eastAsia="Arial" w:hAnsi="Arial"/>
          <w:sz w:val="17"/>
          <w:szCs w:val="17"/>
          <w:color w:val="auto"/>
        </w:rPr>
        <w:t>In addition to currently marketed drugs, there are also several product candidates in late stage clinical development for the treatment of oncologic indications, including for mCRPC and metastatic ER+ breast cancer. These products in development may provide efficacy, safety, convenience and other benefits that are not provided by currently marketed therapies. As a result, they may provide significant competition for any of our product candidates for which we obtain market approval.</w:t>
      </w:r>
    </w:p>
    <w:p>
      <w:pPr>
        <w:spacing w:after="0" w:line="12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118</w:t>
      </w:r>
    </w:p>
    <w:p>
      <w:pPr>
        <w:sectPr>
          <w:pgSz w:w="11900" w:h="16838" w:orient="portrait"/>
          <w:cols w:equalWidth="0" w:num="1">
            <w:col w:w="11060"/>
          </w:cols>
          <w:pgMar w:left="240" w:top="449" w:right="599" w:bottom="1440" w:gutter="0" w:footer="0" w:header="0"/>
        </w:sectPr>
      </w:pPr>
    </w:p>
    <w:bookmarkStart w:id="120" w:name="page121"/>
    <w:bookmarkEnd w:id="1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firstLine="535"/>
        <w:spacing w:after="0" w:line="250" w:lineRule="auto"/>
        <w:rPr>
          <w:sz w:val="20"/>
          <w:szCs w:val="20"/>
          <w:color w:val="auto"/>
        </w:rPr>
      </w:pPr>
      <w:r>
        <w:rPr>
          <w:rFonts w:ascii="Arial" w:cs="Arial" w:eastAsia="Arial" w:hAnsi="Arial"/>
          <w:sz w:val="17"/>
          <w:szCs w:val="17"/>
          <w:color w:val="auto"/>
        </w:rPr>
        <w:t>If any of our product candidates are approved for the indications for which we expect to conduct clinical trials, they will compete with the foregoing therapies and the currently marketed drugs and potentially any drugs in development. It is also possible that we will face competition from other biologic or pharmaceutical approaches as well as from other types of therapies.</w:t>
      </w:r>
    </w:p>
    <w:p>
      <w:pPr>
        <w:spacing w:after="0" w:line="189" w:lineRule="exact"/>
        <w:rPr>
          <w:sz w:val="20"/>
          <w:szCs w:val="20"/>
          <w:color w:val="auto"/>
        </w:rPr>
      </w:pPr>
    </w:p>
    <w:p>
      <w:pPr>
        <w:ind w:left="360" w:right="20" w:firstLine="535"/>
        <w:spacing w:after="0" w:line="242" w:lineRule="auto"/>
        <w:rPr>
          <w:sz w:val="20"/>
          <w:szCs w:val="20"/>
          <w:color w:val="auto"/>
        </w:rPr>
      </w:pPr>
      <w:r>
        <w:rPr>
          <w:rFonts w:ascii="Arial" w:cs="Arial" w:eastAsia="Arial" w:hAnsi="Arial"/>
          <w:sz w:val="17"/>
          <w:szCs w:val="17"/>
          <w:color w:val="auto"/>
        </w:rPr>
        <w:t>Many of our current or potential competitors, either alone or with their collaboration partners,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There are generic products currently on the market for certain of the indications that we are pursuing, and additional products are expected to become available on a generic basis over the coming years. If our product candidates are approved, we expect that they will be priced at a significant premium over competitive generic products.</w:t>
      </w:r>
    </w:p>
    <w:p>
      <w:pPr>
        <w:spacing w:after="0" w:line="202" w:lineRule="exact"/>
        <w:rPr>
          <w:sz w:val="20"/>
          <w:szCs w:val="20"/>
          <w:color w:val="auto"/>
        </w:rPr>
      </w:pPr>
    </w:p>
    <w:p>
      <w:pPr>
        <w:ind w:left="360" w:right="1060" w:firstLine="535"/>
        <w:spacing w:after="0" w:line="259" w:lineRule="auto"/>
        <w:rPr>
          <w:sz w:val="20"/>
          <w:szCs w:val="20"/>
          <w:color w:val="auto"/>
        </w:rPr>
      </w:pPr>
      <w:r>
        <w:rPr>
          <w:rFonts w:ascii="Arial" w:cs="Arial" w:eastAsia="Arial" w:hAnsi="Arial"/>
          <w:sz w:val="17"/>
          <w:szCs w:val="17"/>
          <w:color w:val="auto"/>
        </w:rPr>
        <w:t>The key competitive factors affecting the success of all our programs, if approved, are likely to be their efficacy, safety, convenience, price, level of generic competition and availability of reimbursement.</w:t>
      </w:r>
    </w:p>
    <w:p>
      <w:pPr>
        <w:spacing w:after="0" w:line="264"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Commercialization Plans</w:t>
      </w:r>
    </w:p>
    <w:p>
      <w:pPr>
        <w:spacing w:after="0" w:line="233" w:lineRule="exact"/>
        <w:rPr>
          <w:sz w:val="20"/>
          <w:szCs w:val="20"/>
          <w:color w:val="auto"/>
        </w:rPr>
      </w:pPr>
    </w:p>
    <w:p>
      <w:pPr>
        <w:ind w:left="360" w:right="20" w:firstLine="535"/>
        <w:spacing w:after="0" w:line="244" w:lineRule="auto"/>
        <w:rPr>
          <w:sz w:val="20"/>
          <w:szCs w:val="20"/>
          <w:color w:val="auto"/>
        </w:rPr>
      </w:pPr>
      <w:r>
        <w:rPr>
          <w:rFonts w:ascii="Arial" w:cs="Arial" w:eastAsia="Arial" w:hAnsi="Arial"/>
          <w:sz w:val="17"/>
          <w:szCs w:val="17"/>
          <w:color w:val="auto"/>
        </w:rPr>
        <w:t>We have not yet established our own commercial organization or distribution capabilities because our product candidates are still in preclinical development. Other than our discovery collaboration agreements, we have retained commercialization rights for all of our development programs. If any of our product candidates receive marketing approval, we will need to develop a plan to commercialize them in the United States and other key markets. We currently expect that we would build our own focused, specialized sales and marketing organization to support the commercialization in the United States of product candidates for which we receive marketing approval and that can be commercialized with such capabilities. We expect to utilize a variety of types of collaboration, co-promotion, distribution and other marketing arrangements with one or more third parties to commercialize our product candidates in markets outside the United States or for situations in which a larger sales and marketing organization is required.</w:t>
      </w:r>
    </w:p>
    <w:p>
      <w:pPr>
        <w:spacing w:after="0" w:line="193" w:lineRule="exact"/>
        <w:rPr>
          <w:sz w:val="20"/>
          <w:szCs w:val="20"/>
          <w:color w:val="auto"/>
        </w:rPr>
      </w:pPr>
    </w:p>
    <w:p>
      <w:pPr>
        <w:ind w:left="360" w:right="60" w:firstLine="535"/>
        <w:spacing w:after="0" w:line="250" w:lineRule="auto"/>
        <w:rPr>
          <w:sz w:val="20"/>
          <w:szCs w:val="20"/>
          <w:color w:val="auto"/>
        </w:rPr>
      </w:pPr>
      <w:r>
        <w:rPr>
          <w:rFonts w:ascii="Arial" w:cs="Arial" w:eastAsia="Arial" w:hAnsi="Arial"/>
          <w:sz w:val="17"/>
          <w:szCs w:val="17"/>
          <w:color w:val="auto"/>
        </w:rPr>
        <w:t>As product candidates advance through our pipeline, our commercial plans may change. In particular, some of our research programs target potentially larger indications. Data, the size of the development programs, the size of the target market, the size of a commercial infrastructure and manufacturing needs may all influence our strategies in the United States, Europe and the rest of the world.</w:t>
      </w:r>
    </w:p>
    <w:p>
      <w:pPr>
        <w:spacing w:after="0" w:line="12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119</w:t>
      </w:r>
    </w:p>
    <w:p>
      <w:pPr>
        <w:sectPr>
          <w:pgSz w:w="11900" w:h="16838" w:orient="portrait"/>
          <w:cols w:equalWidth="0" w:num="1">
            <w:col w:w="11060"/>
          </w:cols>
          <w:pgMar w:left="240" w:top="449" w:right="599" w:bottom="1440" w:gutter="0" w:footer="0" w:header="0"/>
        </w:sectPr>
      </w:pPr>
    </w:p>
    <w:bookmarkStart w:id="121" w:name="page122"/>
    <w:bookmarkEnd w:id="1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Manufacturing and Supply</w:t>
      </w:r>
    </w:p>
    <w:p>
      <w:pPr>
        <w:spacing w:after="0" w:line="233" w:lineRule="exact"/>
        <w:rPr>
          <w:sz w:val="20"/>
          <w:szCs w:val="20"/>
          <w:color w:val="auto"/>
        </w:rPr>
      </w:pPr>
    </w:p>
    <w:p>
      <w:pPr>
        <w:ind w:left="360" w:right="40" w:firstLine="535"/>
        <w:spacing w:after="0" w:line="244" w:lineRule="auto"/>
        <w:rPr>
          <w:sz w:val="20"/>
          <w:szCs w:val="20"/>
          <w:color w:val="auto"/>
        </w:rPr>
      </w:pPr>
      <w:r>
        <w:rPr>
          <w:rFonts w:ascii="Arial" w:cs="Arial" w:eastAsia="Arial" w:hAnsi="Arial"/>
          <w:sz w:val="17"/>
          <w:szCs w:val="17"/>
          <w:color w:val="auto"/>
        </w:rPr>
        <w:t>We do not own or operate, and currently have no plans to establish, any manufacturing facilities. We rely on and expect to continue to rely on third-party contract manufacturing organizations, or CMOs, for both drug substance and finished drug product. We have engaged third-party manufacturers to supply the drug substances for ARV-110 and ARV-471 and a third-party manufacturer to develop and manufacture finished drug product for ARV-110 that we plan to use in our Phase 1 clinical trials. We intend to secure a third-party manufacturer to develop and manufacture finished drug product for ARV-471. We currently obtain our supplies from these manufacturers on a purchase order basis and do not have long-term supply arrangements in place. Should any of these manufacturers become unavailable to us for any reason, we believe that there are a number of potential replacements, although we may incur some delay in identifying and qualifying such replacements.</w:t>
      </w:r>
    </w:p>
    <w:p>
      <w:pPr>
        <w:spacing w:after="0" w:line="193" w:lineRule="exact"/>
        <w:rPr>
          <w:sz w:val="20"/>
          <w:szCs w:val="20"/>
          <w:color w:val="auto"/>
        </w:rPr>
      </w:pPr>
    </w:p>
    <w:p>
      <w:pPr>
        <w:ind w:left="360" w:right="20" w:firstLine="535"/>
        <w:spacing w:after="0" w:line="245" w:lineRule="auto"/>
        <w:rPr>
          <w:sz w:val="20"/>
          <w:szCs w:val="20"/>
          <w:color w:val="auto"/>
        </w:rPr>
      </w:pPr>
      <w:r>
        <w:rPr>
          <w:rFonts w:ascii="Arial" w:cs="Arial" w:eastAsia="Arial" w:hAnsi="Arial"/>
          <w:sz w:val="17"/>
          <w:szCs w:val="17"/>
          <w:color w:val="auto"/>
        </w:rPr>
        <w:t>All of our drug candidates are organic compounds of low molecular weight, generally called small molecules, but which are larger than traditional small molecule therapeutics. We have selected these compounds not only on the basis of their potential efficacy and safety, but also for their ease of synthesis and reasonable cost of goods. In particular, our lead product candidates are manufactured using reliable and reproducible synthetic processes from readily available starting materials. The chemistry is amenable to scale up and does not require unusual equipment in the manufacturing process. We expect to continue to develop drug candidates that can be produced cost-effectively at contract manufacturing facilities.</w:t>
      </w:r>
    </w:p>
    <w:p>
      <w:pPr>
        <w:spacing w:after="0" w:line="275"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Government Regulation and Product Approvals</w:t>
      </w:r>
    </w:p>
    <w:p>
      <w:pPr>
        <w:spacing w:after="0" w:line="233" w:lineRule="exact"/>
        <w:rPr>
          <w:sz w:val="20"/>
          <w:szCs w:val="20"/>
          <w:color w:val="auto"/>
        </w:rPr>
      </w:pPr>
    </w:p>
    <w:p>
      <w:pPr>
        <w:ind w:left="360" w:right="40" w:firstLine="535"/>
        <w:spacing w:after="0" w:line="245" w:lineRule="auto"/>
        <w:rPr>
          <w:sz w:val="20"/>
          <w:szCs w:val="20"/>
          <w:color w:val="auto"/>
        </w:rPr>
      </w:pPr>
      <w:r>
        <w:rPr>
          <w:rFonts w:ascii="Arial" w:cs="Arial" w:eastAsia="Arial" w:hAnsi="Arial"/>
          <w:sz w:val="17"/>
          <w:szCs w:val="17"/>
          <w:color w:val="auto"/>
        </w:rPr>
        <w:t>Government authorities in the United States, at the federal, state and local level, and in other countries and jurisdictions, including the European Union, extensively regulate, among other things, the research, development, testing, manufacture, pricing, quality control, approval, packaging, storage, recordkeeping, labeling, advertising, promotion, distribution, marketing, post-approval monitoring and reporting, and import and export of biopharmaceutical products. The processes for obtaining marketing approvals in the United States and in foreign countries and jurisdictions, along with compliance with applicable statutes and regulations and other regulatory authorities, require the expenditure of substantial time and financial resources.</w:t>
      </w:r>
    </w:p>
    <w:p>
      <w:pPr>
        <w:spacing w:after="0" w:line="277"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Approval and Regulation of Drugs in the United States</w:t>
      </w:r>
    </w:p>
    <w:p>
      <w:pPr>
        <w:spacing w:after="0" w:line="126" w:lineRule="exact"/>
        <w:rPr>
          <w:sz w:val="20"/>
          <w:szCs w:val="20"/>
          <w:color w:val="auto"/>
        </w:rPr>
      </w:pPr>
    </w:p>
    <w:p>
      <w:pPr>
        <w:ind w:left="360" w:firstLine="535"/>
        <w:spacing w:after="0" w:line="243" w:lineRule="auto"/>
        <w:rPr>
          <w:sz w:val="20"/>
          <w:szCs w:val="20"/>
          <w:color w:val="auto"/>
        </w:rPr>
      </w:pPr>
      <w:r>
        <w:rPr>
          <w:rFonts w:ascii="Arial" w:cs="Arial" w:eastAsia="Arial" w:hAnsi="Arial"/>
          <w:sz w:val="17"/>
          <w:szCs w:val="17"/>
          <w:color w:val="auto"/>
        </w:rPr>
        <w:t>In the United States, drug products are regulated under the Federal Food, Drug, and Cosmetic Act, or FDCA, and applicable implementing regulations and guidance. The failure of an applicant to comply with the applicable regulatory requirements at any time during the product development process, including nonclinical testing, clinical testing, the approval process or post-approval process, may result in delays to the conduct of a study, regulatory review and approval and/or administrative or judicial sanctions. These sanctions may include, but are not limited to, the FDA’s refusal to allow an applicant to proceed with clinical trials, refusal to approve pending applications, withdrawal of an approval, imposition of a clinical hold, issuance of warning letters and other types of letters, adverse publicity, voluntary product recalls, product seizures, total or partial suspension of production or distribution, injunctions, fines, refusals of government contracts, restitution, disgorgement of profits or civil or criminal investigations and penalties brought by the FDA or Department of Justice, or DOJ, or other government entities, including state agencies.</w:t>
      </w:r>
    </w:p>
    <w:p>
      <w:pPr>
        <w:spacing w:after="0" w:line="13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120</w:t>
      </w:r>
    </w:p>
    <w:p>
      <w:pPr>
        <w:sectPr>
          <w:pgSz w:w="11900" w:h="16838" w:orient="portrait"/>
          <w:cols w:equalWidth="0" w:num="1">
            <w:col w:w="11060"/>
          </w:cols>
          <w:pgMar w:left="240" w:top="449" w:right="599" w:bottom="1440" w:gutter="0" w:footer="0" w:header="0"/>
        </w:sectPr>
      </w:pPr>
    </w:p>
    <w:bookmarkStart w:id="122" w:name="page123"/>
    <w:bookmarkEnd w:id="1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80" w:firstLine="535"/>
        <w:spacing w:after="0" w:line="259" w:lineRule="auto"/>
        <w:rPr>
          <w:sz w:val="20"/>
          <w:szCs w:val="20"/>
          <w:color w:val="auto"/>
        </w:rPr>
      </w:pPr>
      <w:r>
        <w:rPr>
          <w:rFonts w:ascii="Arial" w:cs="Arial" w:eastAsia="Arial" w:hAnsi="Arial"/>
          <w:sz w:val="17"/>
          <w:szCs w:val="17"/>
          <w:color w:val="auto"/>
        </w:rPr>
        <w:t>An applicant seeking approval to market and distribute a new drug in the United States generally must satisfactorily complete each of the following steps before the product candidate will be approved by the FDA:</w:t>
      </w:r>
    </w:p>
    <w:p>
      <w:pPr>
        <w:spacing w:after="0" w:line="89" w:lineRule="exact"/>
        <w:rPr>
          <w:sz w:val="20"/>
          <w:szCs w:val="20"/>
          <w:color w:val="auto"/>
        </w:rPr>
      </w:pPr>
    </w:p>
    <w:p>
      <w:pPr>
        <w:ind w:left="1100" w:right="20" w:hanging="210"/>
        <w:spacing w:after="0" w:line="259" w:lineRule="auto"/>
        <w:tabs>
          <w:tab w:leader="none" w:pos="11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preclinical testing including laboratory tests, animal studies and formulation studies, which must be performed in accordance with the FDA’s good laboratory practice, or GLP, regulations and standards;</w:t>
      </w:r>
    </w:p>
    <w:p>
      <w:pPr>
        <w:spacing w:after="0" w:line="89" w:lineRule="exact"/>
        <w:rPr>
          <w:rFonts w:ascii="Arial" w:cs="Arial" w:eastAsia="Arial" w:hAnsi="Arial"/>
          <w:sz w:val="17"/>
          <w:szCs w:val="17"/>
          <w:color w:val="auto"/>
        </w:rPr>
      </w:pPr>
    </w:p>
    <w:p>
      <w:pPr>
        <w:ind w:left="1100" w:hanging="210"/>
        <w:spacing w:after="0"/>
        <w:tabs>
          <w:tab w:leader="none" w:pos="11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submission to the FDA of an IND for human clinical testing, which must become effective before human clinical trials may begin;</w:t>
      </w:r>
    </w:p>
    <w:p>
      <w:pPr>
        <w:spacing w:after="0" w:line="119" w:lineRule="exact"/>
        <w:rPr>
          <w:rFonts w:ascii="Arial" w:cs="Arial" w:eastAsia="Arial" w:hAnsi="Arial"/>
          <w:sz w:val="17"/>
          <w:szCs w:val="17"/>
          <w:color w:val="auto"/>
        </w:rPr>
      </w:pPr>
    </w:p>
    <w:p>
      <w:pPr>
        <w:ind w:left="1100" w:right="360" w:hanging="210"/>
        <w:spacing w:after="0" w:line="259" w:lineRule="auto"/>
        <w:tabs>
          <w:tab w:leader="none" w:pos="11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approval by an independent institutional review board, or IRB, representing each clinical site before each clinical trial may be initiated;</w:t>
      </w:r>
    </w:p>
    <w:p>
      <w:pPr>
        <w:spacing w:after="0" w:line="89" w:lineRule="exact"/>
        <w:rPr>
          <w:rFonts w:ascii="Arial" w:cs="Arial" w:eastAsia="Arial" w:hAnsi="Arial"/>
          <w:sz w:val="17"/>
          <w:szCs w:val="17"/>
          <w:color w:val="auto"/>
        </w:rPr>
      </w:pPr>
    </w:p>
    <w:p>
      <w:pPr>
        <w:ind w:left="1100" w:right="40" w:hanging="210"/>
        <w:spacing w:after="0" w:line="259" w:lineRule="auto"/>
        <w:tabs>
          <w:tab w:leader="none" w:pos="11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performance of adequate and well-controlled human clinical trials to establish the safety and efficacy of the product candidate for each proposed indication, in accordance with good clinical practices, or GCP;</w:t>
      </w:r>
    </w:p>
    <w:p>
      <w:pPr>
        <w:spacing w:after="0" w:line="89" w:lineRule="exact"/>
        <w:rPr>
          <w:rFonts w:ascii="Arial" w:cs="Arial" w:eastAsia="Arial" w:hAnsi="Arial"/>
          <w:sz w:val="17"/>
          <w:szCs w:val="17"/>
          <w:color w:val="auto"/>
        </w:rPr>
      </w:pPr>
    </w:p>
    <w:p>
      <w:pPr>
        <w:ind w:left="1100" w:right="100" w:hanging="210"/>
        <w:spacing w:after="0" w:line="250" w:lineRule="auto"/>
        <w:tabs>
          <w:tab w:leader="none" w:pos="11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preparation and submission to the FDA of a new drug application, or NDA, for a drug product which includes not only the results of the clinical trials, but also, detailed information on the chemistry, manufacture and quality controls for the product candidate and proposed labeling for one or more proposed indication(s);</w:t>
      </w:r>
    </w:p>
    <w:p>
      <w:pPr>
        <w:spacing w:after="0" w:line="97" w:lineRule="exact"/>
        <w:rPr>
          <w:rFonts w:ascii="Arial" w:cs="Arial" w:eastAsia="Arial" w:hAnsi="Arial"/>
          <w:sz w:val="17"/>
          <w:szCs w:val="17"/>
          <w:color w:val="auto"/>
        </w:rPr>
      </w:pPr>
    </w:p>
    <w:p>
      <w:pPr>
        <w:ind w:left="1100" w:hanging="210"/>
        <w:spacing w:after="0"/>
        <w:tabs>
          <w:tab w:leader="none" w:pos="11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review of the product candidate by an FDA advisory committee, where appropriate or if applicable;</w:t>
      </w:r>
    </w:p>
    <w:p>
      <w:pPr>
        <w:spacing w:after="0" w:line="119" w:lineRule="exact"/>
        <w:rPr>
          <w:rFonts w:ascii="Arial" w:cs="Arial" w:eastAsia="Arial" w:hAnsi="Arial"/>
          <w:sz w:val="17"/>
          <w:szCs w:val="17"/>
          <w:color w:val="auto"/>
        </w:rPr>
      </w:pPr>
    </w:p>
    <w:p>
      <w:pPr>
        <w:ind w:left="1100" w:right="20" w:hanging="210"/>
        <w:spacing w:after="0" w:line="247" w:lineRule="auto"/>
        <w:tabs>
          <w:tab w:leader="none" w:pos="11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satisfactory completion of an FDA inspection of the manufacturing facility or facilities, including those of third parties, at which the product candidate or components thereof are manufactured to assess compliance with current good manufacturing practices, or cGMP, requirements and to assure that the facilities, methods and controls are adequate to preserve the product’s identity, strength, quality and purity;</w:t>
      </w:r>
    </w:p>
    <w:p>
      <w:pPr>
        <w:spacing w:after="0" w:line="99" w:lineRule="exact"/>
        <w:rPr>
          <w:rFonts w:ascii="Arial" w:cs="Arial" w:eastAsia="Arial" w:hAnsi="Arial"/>
          <w:sz w:val="17"/>
          <w:szCs w:val="17"/>
          <w:color w:val="auto"/>
        </w:rPr>
      </w:pPr>
    </w:p>
    <w:p>
      <w:pPr>
        <w:ind w:left="1100" w:right="20" w:hanging="210"/>
        <w:spacing w:after="0" w:line="259" w:lineRule="auto"/>
        <w:tabs>
          <w:tab w:leader="none" w:pos="11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satisfactory completion of any FDA audits of the clinical trial sites to assure compliance with GCP and the integrity of clinical data in support of the NDA;</w:t>
      </w:r>
    </w:p>
    <w:p>
      <w:pPr>
        <w:spacing w:after="0" w:line="89" w:lineRule="exact"/>
        <w:rPr>
          <w:rFonts w:ascii="Arial" w:cs="Arial" w:eastAsia="Arial" w:hAnsi="Arial"/>
          <w:sz w:val="17"/>
          <w:szCs w:val="17"/>
          <w:color w:val="auto"/>
        </w:rPr>
      </w:pPr>
    </w:p>
    <w:p>
      <w:pPr>
        <w:ind w:left="1100" w:hanging="210"/>
        <w:spacing w:after="0"/>
        <w:tabs>
          <w:tab w:leader="none" w:pos="11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payment of user fees and securing FDA approval of the NDA to allow marketing of the new drug product; and</w:t>
      </w:r>
    </w:p>
    <w:p>
      <w:pPr>
        <w:spacing w:after="0" w:line="119" w:lineRule="exact"/>
        <w:rPr>
          <w:rFonts w:ascii="Arial" w:cs="Arial" w:eastAsia="Arial" w:hAnsi="Arial"/>
          <w:sz w:val="17"/>
          <w:szCs w:val="17"/>
          <w:color w:val="auto"/>
        </w:rPr>
      </w:pPr>
    </w:p>
    <w:p>
      <w:pPr>
        <w:jc w:val="both"/>
        <w:ind w:left="1100" w:right="640" w:hanging="210"/>
        <w:spacing w:after="0" w:line="259" w:lineRule="auto"/>
        <w:tabs>
          <w:tab w:leader="none" w:pos="11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compliance with any post-approval requirements, including the potential requirement to implement a Risk Evaluation and Mitigation Strategies, or REMS, and the potential requirement to conduct any post-approval studies required by the FDA.</w:t>
      </w:r>
    </w:p>
    <w:p>
      <w:pPr>
        <w:spacing w:after="0" w:line="266"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Preclinical Studies</w:t>
      </w:r>
    </w:p>
    <w:p>
      <w:pPr>
        <w:spacing w:after="0" w:line="126" w:lineRule="exact"/>
        <w:rPr>
          <w:sz w:val="20"/>
          <w:szCs w:val="20"/>
          <w:color w:val="auto"/>
        </w:rPr>
      </w:pPr>
    </w:p>
    <w:p>
      <w:pPr>
        <w:ind w:left="360" w:firstLine="535"/>
        <w:spacing w:after="0" w:line="244" w:lineRule="auto"/>
        <w:rPr>
          <w:sz w:val="20"/>
          <w:szCs w:val="20"/>
          <w:color w:val="auto"/>
        </w:rPr>
      </w:pPr>
      <w:r>
        <w:rPr>
          <w:rFonts w:ascii="Arial" w:cs="Arial" w:eastAsia="Arial" w:hAnsi="Arial"/>
          <w:sz w:val="17"/>
          <w:szCs w:val="17"/>
          <w:color w:val="auto"/>
        </w:rPr>
        <w:t xml:space="preserve">Before an applicant begins testing a product candidate with potential therapeutic value in humans, the product candidate enters the preclinical testing stage, including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animal studies to assess the safety and activity of the drug for initial testing in humans and to establish rationale for therapeutic use. Preclinical tests include laboratory evaluations of product chemistry, formulation and stability, as well as other studies to evaluate, among other things, the toxicity of the product candidate. The conduct of the preclinical tests and formulation of the compounds for testing must comply with federal regulations and requirements, including GLP regulations and standards. The results of the preclinical tests, together with manufacturing information, analytical data, any available clinical data or literature and plans for clinical trials, among other things, are submitted to the FDA as part of an IND. Some long-term preclinical testing, such as animal tests of reproductive adverse events and carcinogenicity, and long-term toxicity studies, may continue after the IND is submitted.</w:t>
      </w:r>
    </w:p>
    <w:p>
      <w:pPr>
        <w:spacing w:after="0" w:line="12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121</w:t>
      </w:r>
    </w:p>
    <w:p>
      <w:pPr>
        <w:sectPr>
          <w:pgSz w:w="11900" w:h="16838" w:orient="portrait"/>
          <w:cols w:equalWidth="0" w:num="1">
            <w:col w:w="11060"/>
          </w:cols>
          <w:pgMar w:left="240" w:top="449" w:right="599" w:bottom="1440" w:gutter="0" w:footer="0" w:header="0"/>
        </w:sectPr>
      </w:pPr>
    </w:p>
    <w:bookmarkStart w:id="123" w:name="page124"/>
    <w:bookmarkEnd w:id="1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The IND and IRB Processes</w:t>
      </w:r>
    </w:p>
    <w:p>
      <w:pPr>
        <w:spacing w:after="0" w:line="126" w:lineRule="exact"/>
        <w:rPr>
          <w:sz w:val="20"/>
          <w:szCs w:val="20"/>
          <w:color w:val="auto"/>
        </w:rPr>
      </w:pPr>
    </w:p>
    <w:p>
      <w:pPr>
        <w:ind w:left="360" w:right="80" w:firstLine="535"/>
        <w:spacing w:after="0" w:line="243" w:lineRule="auto"/>
        <w:rPr>
          <w:sz w:val="20"/>
          <w:szCs w:val="20"/>
          <w:color w:val="auto"/>
        </w:rPr>
      </w:pPr>
      <w:r>
        <w:rPr>
          <w:rFonts w:ascii="Arial" w:cs="Arial" w:eastAsia="Arial" w:hAnsi="Arial"/>
          <w:sz w:val="17"/>
          <w:szCs w:val="17"/>
          <w:color w:val="auto"/>
        </w:rPr>
        <w:t>An IND is an exemption from the FDCA that allows an unapproved product candidate to be shipped in interstate commerce for use in an investigational clinical trial and a request for FDA authorization to administer such investigational product to humans. Such authorization must be secured prior to interstate shipment and administration of any product candidate that is not the subject of an approved NDA. In support of a request for an IND, applicants must submit a protocol for each clinical trial and any subsequent protocol amendments must be submitted to the FDA as part of the IND. In addition, the results of the preclinical tests, together with manufacturing information, analytical data, any available clinical data or literature and plans for clinical trials, among other things, must be submitted to the FDA as part of an IND. The FDA requires a 30-day waiting period after the filing of each IND before clinical trials may begin. This waiting period is designed to allow the FDA to review the IND to determine whether human research subjects will be exposed to unreasonable health risks. At any time during this 30-day period, or thereafter, the FDA may raise concerns or questions about the conduct of the trials as outlined in the IND and impose a clinical hold or partial clinical hold. In this case, the IND sponsor and the FDA must resolve any outstanding concerns before clinical trials can begin.</w:t>
      </w:r>
    </w:p>
    <w:p>
      <w:pPr>
        <w:spacing w:after="0" w:line="196" w:lineRule="exact"/>
        <w:rPr>
          <w:sz w:val="20"/>
          <w:szCs w:val="20"/>
          <w:color w:val="auto"/>
        </w:rPr>
      </w:pPr>
    </w:p>
    <w:p>
      <w:pPr>
        <w:ind w:left="360" w:right="60" w:firstLine="535"/>
        <w:spacing w:after="0" w:line="244" w:lineRule="auto"/>
        <w:rPr>
          <w:sz w:val="20"/>
          <w:szCs w:val="20"/>
          <w:color w:val="auto"/>
        </w:rPr>
      </w:pPr>
      <w:r>
        <w:rPr>
          <w:rFonts w:ascii="Arial" w:cs="Arial" w:eastAsia="Arial" w:hAnsi="Arial"/>
          <w:sz w:val="17"/>
          <w:szCs w:val="17"/>
          <w:color w:val="auto"/>
        </w:rPr>
        <w:t>Following commencement of a clinical trial under an IND, the FDA may also place a clinical hold or partial clinical hold on that trial. A clinical hold is an order issued by the FDA to the sponsor to delay a proposed clinical investigation or to suspend an ongoing investigation. A partial clinical hold is a delay or suspension of only part of the clinical work requested under the IND. For example, a specific protocol or part of a protocol is not allowed to proceed, while other protocols may do so. No more than 30 days after imposition of a clinical hold or partial clinical hold, the FDA will provide the sponsor a written explanation of the basis for the hold. Following issuance of a clinical hold or partial clinical hold, an investigation may only resume after the FDA has notified the sponsor that the investigation may proceed. The FDA will base that determination on information provided by the sponsor correcting the deficiencies previously cited or otherwise satisfying the FDA that the investigation can proceed.</w:t>
      </w:r>
    </w:p>
    <w:p>
      <w:pPr>
        <w:spacing w:after="0" w:line="193" w:lineRule="exact"/>
        <w:rPr>
          <w:sz w:val="20"/>
          <w:szCs w:val="20"/>
          <w:color w:val="auto"/>
        </w:rPr>
      </w:pPr>
    </w:p>
    <w:p>
      <w:pPr>
        <w:ind w:left="360" w:firstLine="535"/>
        <w:spacing w:after="0" w:line="244" w:lineRule="auto"/>
        <w:rPr>
          <w:sz w:val="20"/>
          <w:szCs w:val="20"/>
          <w:color w:val="auto"/>
        </w:rPr>
      </w:pPr>
      <w:r>
        <w:rPr>
          <w:rFonts w:ascii="Arial" w:cs="Arial" w:eastAsia="Arial" w:hAnsi="Arial"/>
          <w:sz w:val="17"/>
          <w:szCs w:val="17"/>
          <w:color w:val="auto"/>
        </w:rPr>
        <w:t>A sponsor may choose, but is not required, to conduct a foreign clinical study under an IND. When a foreign clinical study is conducted under an IND, all FDA IND requirements must be met unless waived. When a foreign clinical study is not conducted under an IND, the sponsor must ensure that the study complies with certain regulatory requirements of the FDA in order to use the study as support for an IND or application for marketing approval. Specifically, such studies must be conducted in accordance with GCP including review and approval by an independent ethics committee, or IEC, and informed consent from subjects. The GCP requirements encompass both ethical and data integrity standards for clinical studies. The FDA’s regulations are intended to help ensure the protection of human subjects enrolled in non-IND foreign clinical studies, as well as the quality and integrity of the resulting data. They further help ensure that non-IND foreign studies are conducted in a manner comparable to that required for IND studies.</w:t>
      </w:r>
    </w:p>
    <w:p>
      <w:pPr>
        <w:spacing w:after="0" w:line="193" w:lineRule="exact"/>
        <w:rPr>
          <w:sz w:val="20"/>
          <w:szCs w:val="20"/>
          <w:color w:val="auto"/>
        </w:rPr>
      </w:pPr>
    </w:p>
    <w:p>
      <w:pPr>
        <w:ind w:left="360" w:right="40" w:firstLine="535"/>
        <w:spacing w:after="0" w:line="245" w:lineRule="auto"/>
        <w:rPr>
          <w:sz w:val="20"/>
          <w:szCs w:val="20"/>
          <w:color w:val="auto"/>
        </w:rPr>
      </w:pPr>
      <w:r>
        <w:rPr>
          <w:rFonts w:ascii="Arial" w:cs="Arial" w:eastAsia="Arial" w:hAnsi="Arial"/>
          <w:sz w:val="17"/>
          <w:szCs w:val="17"/>
          <w:color w:val="auto"/>
        </w:rPr>
        <w:t>In addition to the foregoing IND requirements, an IRB representing each institution participating in the clinical trial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192" w:lineRule="exact"/>
        <w:rPr>
          <w:sz w:val="20"/>
          <w:szCs w:val="20"/>
          <w:color w:val="auto"/>
        </w:rPr>
      </w:pPr>
    </w:p>
    <w:p>
      <w:pPr>
        <w:ind w:left="360" w:right="80" w:firstLine="535"/>
        <w:spacing w:after="0" w:line="259" w:lineRule="auto"/>
        <w:rPr>
          <w:sz w:val="20"/>
          <w:szCs w:val="20"/>
          <w:color w:val="auto"/>
        </w:rPr>
      </w:pPr>
      <w:r>
        <w:rPr>
          <w:rFonts w:ascii="Arial" w:cs="Arial" w:eastAsia="Arial" w:hAnsi="Arial"/>
          <w:sz w:val="17"/>
          <w:szCs w:val="17"/>
          <w:color w:val="auto"/>
        </w:rPr>
        <w:t>Additionally, some trials are overseen by an independent group of qualified experts organized by the trial sponsor, known as a data safety monitoring board or committee, or DSMB. This group</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122</w:t>
      </w:r>
    </w:p>
    <w:p>
      <w:pPr>
        <w:sectPr>
          <w:pgSz w:w="11900" w:h="16838" w:orient="portrait"/>
          <w:cols w:equalWidth="0" w:num="1">
            <w:col w:w="11060"/>
          </w:cols>
          <w:pgMar w:left="240" w:top="449" w:right="599" w:bottom="1440" w:gutter="0" w:footer="0" w:header="0"/>
        </w:sectPr>
      </w:pPr>
    </w:p>
    <w:bookmarkStart w:id="124" w:name="page125"/>
    <w:bookmarkEnd w:id="1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spacing w:after="0" w:line="247" w:lineRule="auto"/>
        <w:rPr>
          <w:sz w:val="20"/>
          <w:szCs w:val="20"/>
          <w:color w:val="auto"/>
        </w:rPr>
      </w:pPr>
      <w:r>
        <w:rPr>
          <w:rFonts w:ascii="Arial" w:cs="Arial" w:eastAsia="Arial" w:hAnsi="Arial"/>
          <w:sz w:val="17"/>
          <w:szCs w:val="17"/>
          <w:color w:val="auto"/>
        </w:rPr>
        <w:t>provides authorization as to whether or not a trial may move forward at designated check points based on access that only the group maintains to available data from the study. Suspension or termination of development during any phase of clinical trials can occur if it is determined that the participants or patients are being exposed to an unacceptable health risk. Other reasons for suspension or termination may be made by us based on evolving business objectives and/or competitive climate.</w:t>
      </w:r>
    </w:p>
    <w:p>
      <w:pPr>
        <w:spacing w:after="0" w:line="192" w:lineRule="exact"/>
        <w:rPr>
          <w:sz w:val="20"/>
          <w:szCs w:val="20"/>
          <w:color w:val="auto"/>
        </w:rPr>
      </w:pPr>
    </w:p>
    <w:p>
      <w:pPr>
        <w:ind w:left="360" w:right="200" w:firstLine="535"/>
        <w:spacing w:after="0" w:line="259" w:lineRule="auto"/>
        <w:rPr>
          <w:sz w:val="20"/>
          <w:szCs w:val="20"/>
          <w:color w:val="auto"/>
        </w:rPr>
      </w:pPr>
      <w:r>
        <w:rPr>
          <w:rFonts w:ascii="Arial" w:cs="Arial" w:eastAsia="Arial" w:hAnsi="Arial"/>
          <w:sz w:val="17"/>
          <w:szCs w:val="17"/>
          <w:color w:val="auto"/>
        </w:rPr>
        <w:t>Information about clinical trials must be submitted within specific timeframes to the National Institutes of Health, or NIH, for public dissemination on its ClinicalTrials.gov website.</w:t>
      </w:r>
    </w:p>
    <w:p>
      <w:pPr>
        <w:spacing w:after="0" w:line="266"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Human Clinical Trials in Support of an NDA</w:t>
      </w:r>
    </w:p>
    <w:p>
      <w:pPr>
        <w:spacing w:after="0" w:line="126" w:lineRule="exact"/>
        <w:rPr>
          <w:sz w:val="20"/>
          <w:szCs w:val="20"/>
          <w:color w:val="auto"/>
        </w:rPr>
      </w:pPr>
    </w:p>
    <w:p>
      <w:pPr>
        <w:ind w:left="360" w:right="60" w:firstLine="535"/>
        <w:spacing w:after="0" w:line="245" w:lineRule="auto"/>
        <w:rPr>
          <w:sz w:val="20"/>
          <w:szCs w:val="20"/>
          <w:color w:val="auto"/>
        </w:rPr>
      </w:pPr>
      <w:r>
        <w:rPr>
          <w:rFonts w:ascii="Arial" w:cs="Arial" w:eastAsia="Arial" w:hAnsi="Arial"/>
          <w:sz w:val="17"/>
          <w:szCs w:val="17"/>
          <w:color w:val="auto"/>
        </w:rPr>
        <w:t>Clinical trials involve the administration of the investigational product candidate to human subjects under the supervision of a qualified investigator in accordance with GCP requirements which include, among other things, the requirement that all research subjects provide their informed consent in writing before their participation in any clinical trial. Clinical trials are conducted under written clinical trial protocols detailing, among other things, the objectives of the study, inclusion and exclusion criteria, the parameters to be used in monitoring safety and the effectiveness criteria to be evaluated.</w:t>
      </w:r>
    </w:p>
    <w:p>
      <w:pPr>
        <w:spacing w:after="0" w:line="195" w:lineRule="exact"/>
        <w:rPr>
          <w:sz w:val="20"/>
          <w:szCs w:val="20"/>
          <w:color w:val="auto"/>
        </w:rPr>
      </w:pPr>
    </w:p>
    <w:p>
      <w:pPr>
        <w:ind w:left="360" w:right="320" w:firstLine="535"/>
        <w:spacing w:after="0" w:line="259" w:lineRule="auto"/>
        <w:rPr>
          <w:sz w:val="20"/>
          <w:szCs w:val="20"/>
          <w:color w:val="auto"/>
        </w:rPr>
      </w:pPr>
      <w:r>
        <w:rPr>
          <w:rFonts w:ascii="Arial" w:cs="Arial" w:eastAsia="Arial" w:hAnsi="Arial"/>
          <w:sz w:val="17"/>
          <w:szCs w:val="17"/>
          <w:color w:val="auto"/>
        </w:rPr>
        <w:t>Human clinical trials are typically conducted in three sequential phases, but the phases may overlap or be combined. Additional studies may also be required after approval.</w:t>
      </w:r>
    </w:p>
    <w:p>
      <w:pPr>
        <w:spacing w:after="0" w:line="163" w:lineRule="exact"/>
        <w:rPr>
          <w:sz w:val="20"/>
          <w:szCs w:val="20"/>
          <w:color w:val="auto"/>
        </w:rPr>
      </w:pPr>
    </w:p>
    <w:p>
      <w:pPr>
        <w:ind w:left="360" w:right="20" w:firstLine="535"/>
        <w:spacing w:after="0" w:line="254" w:lineRule="auto"/>
        <w:rPr>
          <w:sz w:val="20"/>
          <w:szCs w:val="20"/>
          <w:color w:val="auto"/>
        </w:rPr>
      </w:pPr>
      <w:r>
        <w:rPr>
          <w:rFonts w:ascii="Arial" w:cs="Arial" w:eastAsia="Arial" w:hAnsi="Arial"/>
          <w:sz w:val="17"/>
          <w:szCs w:val="17"/>
          <w:i w:val="1"/>
          <w:iCs w:val="1"/>
          <w:color w:val="auto"/>
        </w:rPr>
        <w:t xml:space="preserve">Phase 1 </w:t>
      </w:r>
      <w:r>
        <w:rPr>
          <w:rFonts w:ascii="Arial" w:cs="Arial" w:eastAsia="Arial" w:hAnsi="Arial"/>
          <w:sz w:val="17"/>
          <w:szCs w:val="17"/>
          <w:color w:val="auto"/>
        </w:rPr>
        <w:t>clinical trials are initially conducted in a limited population to test the product candidate for safety, including adverse</w:t>
      </w:r>
      <w:r>
        <w:rPr>
          <w:rFonts w:ascii="Arial" w:cs="Arial" w:eastAsia="Arial" w:hAnsi="Arial"/>
          <w:sz w:val="17"/>
          <w:szCs w:val="17"/>
          <w:i w:val="1"/>
          <w:iCs w:val="1"/>
          <w:color w:val="auto"/>
        </w:rPr>
        <w:t xml:space="preserve"> </w:t>
      </w:r>
      <w:r>
        <w:rPr>
          <w:rFonts w:ascii="Arial" w:cs="Arial" w:eastAsia="Arial" w:hAnsi="Arial"/>
          <w:sz w:val="17"/>
          <w:szCs w:val="17"/>
          <w:color w:val="auto"/>
        </w:rPr>
        <w:t>effects, dose tolerance, absorption, metabolism, distribution, excretion and pharmacodynamics in healthy humans or in patients. During Phase 1 clinical trials, information about the investigational drug product’s pharmacokinetics and pharmacological effects may be obtained to permit the design of well-controlled and scientifically valid Phase 2 clinical trials.</w:t>
      </w:r>
    </w:p>
    <w:p>
      <w:pPr>
        <w:spacing w:after="0" w:line="169" w:lineRule="exact"/>
        <w:rPr>
          <w:sz w:val="20"/>
          <w:szCs w:val="20"/>
          <w:color w:val="auto"/>
        </w:rPr>
      </w:pPr>
    </w:p>
    <w:p>
      <w:pPr>
        <w:ind w:left="360" w:right="80" w:firstLine="535"/>
        <w:spacing w:after="0" w:line="254" w:lineRule="auto"/>
        <w:rPr>
          <w:sz w:val="20"/>
          <w:szCs w:val="20"/>
          <w:color w:val="auto"/>
        </w:rPr>
      </w:pPr>
      <w:r>
        <w:rPr>
          <w:rFonts w:ascii="Arial" w:cs="Arial" w:eastAsia="Arial" w:hAnsi="Arial"/>
          <w:sz w:val="17"/>
          <w:szCs w:val="17"/>
          <w:i w:val="1"/>
          <w:iCs w:val="1"/>
          <w:color w:val="auto"/>
        </w:rPr>
        <w:t xml:space="preserve">Phase 2 </w:t>
      </w:r>
      <w:r>
        <w:rPr>
          <w:rFonts w:ascii="Arial" w:cs="Arial" w:eastAsia="Arial" w:hAnsi="Arial"/>
          <w:sz w:val="17"/>
          <w:szCs w:val="17"/>
          <w:color w:val="auto"/>
        </w:rPr>
        <w:t>clinical trials are generally conducted in a limited patient population to identify possible adverse effects and safety risks,</w:t>
      </w:r>
      <w:r>
        <w:rPr>
          <w:rFonts w:ascii="Arial" w:cs="Arial" w:eastAsia="Arial" w:hAnsi="Arial"/>
          <w:sz w:val="17"/>
          <w:szCs w:val="17"/>
          <w:i w:val="1"/>
          <w:iCs w:val="1"/>
          <w:color w:val="auto"/>
        </w:rPr>
        <w:t xml:space="preserve"> </w:t>
      </w:r>
      <w:r>
        <w:rPr>
          <w:rFonts w:ascii="Arial" w:cs="Arial" w:eastAsia="Arial" w:hAnsi="Arial"/>
          <w:sz w:val="17"/>
          <w:szCs w:val="17"/>
          <w:color w:val="auto"/>
        </w:rPr>
        <w:t>evaluate the efficacy of the product candidate for specific targeted indications and determine dose tolerance and optimal dosage. Multiple Phase 2 clinical trials may be conducted by the sponsor to obtain information prior to beginning larger and more costly Phase 3 clinical trials. Phase 2 clinical trials are well controlled, closely monitored and conducted in a limited patient population.</w:t>
      </w:r>
    </w:p>
    <w:p>
      <w:pPr>
        <w:spacing w:after="0" w:line="169" w:lineRule="exact"/>
        <w:rPr>
          <w:sz w:val="20"/>
          <w:szCs w:val="20"/>
          <w:color w:val="auto"/>
        </w:rPr>
      </w:pPr>
    </w:p>
    <w:p>
      <w:pPr>
        <w:ind w:left="360" w:firstLine="535"/>
        <w:spacing w:after="0" w:line="249" w:lineRule="auto"/>
        <w:rPr>
          <w:sz w:val="20"/>
          <w:szCs w:val="20"/>
          <w:color w:val="auto"/>
        </w:rPr>
      </w:pPr>
      <w:r>
        <w:rPr>
          <w:rFonts w:ascii="Arial" w:cs="Arial" w:eastAsia="Arial" w:hAnsi="Arial"/>
          <w:sz w:val="17"/>
          <w:szCs w:val="17"/>
          <w:i w:val="1"/>
          <w:iCs w:val="1"/>
          <w:color w:val="auto"/>
        </w:rPr>
        <w:t xml:space="preserve">Phase 3 </w:t>
      </w:r>
      <w:r>
        <w:rPr>
          <w:rFonts w:ascii="Arial" w:cs="Arial" w:eastAsia="Arial" w:hAnsi="Arial"/>
          <w:sz w:val="17"/>
          <w:szCs w:val="17"/>
          <w:color w:val="auto"/>
        </w:rPr>
        <w:t>clinical trials proceed if the Phase 2 clinical trials demonstrate that a dose range of the product candidate is potentially</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and has an acceptable safety profile. Phase 3 clinical trials are undertaken within an expanded patient population to further evaluate dosage, provide substantial evidence of clinical efficacy and further test for safety in an expanded and diverse patient population at multiple, geographically dispersed clinical trial sites. A well-controlled, statistically robust Phase 3 clinical trial may be designed to deliver the data that regulatory authorities will use to decide whether or not to approve, and, if approved, how to appropriately label a drug: such Phase 3 studies are referred to as “pivotal.”</w:t>
      </w:r>
    </w:p>
    <w:p>
      <w:pPr>
        <w:spacing w:after="0" w:line="191" w:lineRule="exact"/>
        <w:rPr>
          <w:sz w:val="20"/>
          <w:szCs w:val="20"/>
          <w:color w:val="auto"/>
        </w:rPr>
      </w:pPr>
    </w:p>
    <w:p>
      <w:pPr>
        <w:ind w:left="360" w:firstLine="535"/>
        <w:spacing w:after="0" w:line="245" w:lineRule="auto"/>
        <w:rPr>
          <w:sz w:val="20"/>
          <w:szCs w:val="20"/>
          <w:color w:val="auto"/>
        </w:rPr>
      </w:pPr>
      <w:r>
        <w:rPr>
          <w:rFonts w:ascii="Arial" w:cs="Arial" w:eastAsia="Arial" w:hAnsi="Arial"/>
          <w:sz w:val="17"/>
          <w:szCs w:val="17"/>
          <w:color w:val="auto"/>
        </w:rPr>
        <w:t>In some cases, the FDA may approve an NDA for a product candidate but require the sponsor to conduct additional clinical trials to further assess the product candidate’s safety and effectiveness after approval. Such post-approval trials are typically referred to as Phase 4 clinical trials. These studies are used to gain additional experience from the treatment of a larger number of patients in the intended treatment group and to further document a clinical benefit in the case of drugs approved under accelerated approval regulations. Failure to exhibit due diligence with regard to conducting Phase 4 clinical trials could result in withdrawal of approval for products.</w:t>
      </w:r>
    </w:p>
    <w:p>
      <w:pPr>
        <w:spacing w:after="0" w:line="195" w:lineRule="exact"/>
        <w:rPr>
          <w:sz w:val="20"/>
          <w:szCs w:val="20"/>
          <w:color w:val="auto"/>
        </w:rPr>
      </w:pPr>
    </w:p>
    <w:p>
      <w:pPr>
        <w:ind w:left="360" w:right="400" w:firstLine="535"/>
        <w:spacing w:after="0" w:line="259" w:lineRule="auto"/>
        <w:rPr>
          <w:sz w:val="20"/>
          <w:szCs w:val="20"/>
          <w:color w:val="auto"/>
        </w:rPr>
      </w:pPr>
      <w:r>
        <w:rPr>
          <w:rFonts w:ascii="Arial" w:cs="Arial" w:eastAsia="Arial" w:hAnsi="Arial"/>
          <w:sz w:val="17"/>
          <w:szCs w:val="17"/>
          <w:color w:val="auto"/>
        </w:rPr>
        <w:t>Progress reports detailing the results of the clinical trials must be submitted at least annually to the FDA and more frequently if serious adverse events occur. In addition, IND safety reports must be</w:t>
      </w:r>
    </w:p>
    <w:p>
      <w:pPr>
        <w:spacing w:after="0" w:line="11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123</w:t>
      </w:r>
    </w:p>
    <w:p>
      <w:pPr>
        <w:sectPr>
          <w:pgSz w:w="11900" w:h="16838" w:orient="portrait"/>
          <w:cols w:equalWidth="0" w:num="1">
            <w:col w:w="11040"/>
          </w:cols>
          <w:pgMar w:left="240" w:top="450" w:right="619" w:bottom="1440" w:gutter="0" w:footer="0" w:header="0"/>
        </w:sectPr>
      </w:pPr>
    </w:p>
    <w:bookmarkStart w:id="125" w:name="page126"/>
    <w:bookmarkEnd w:id="1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20"/>
        <w:spacing w:after="0" w:line="243" w:lineRule="auto"/>
        <w:rPr>
          <w:sz w:val="20"/>
          <w:szCs w:val="20"/>
          <w:color w:val="auto"/>
        </w:rPr>
      </w:pPr>
      <w:r>
        <w:rPr>
          <w:rFonts w:ascii="Arial" w:cs="Arial" w:eastAsia="Arial" w:hAnsi="Arial"/>
          <w:sz w:val="17"/>
          <w:szCs w:val="17"/>
          <w:color w:val="auto"/>
        </w:rPr>
        <w:t xml:space="preserve">submitted to the FDA for any of the following: serious and unexpected suspected adverse reactions; findings from other studies or animal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testing that suggest a significant risk in humans exposed to the product; and any clinically important increase in the case of a serious suspected adverse reaction over that listed in the protocol or investigator brochure. 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or an institution it represents, if the clinical trial is not being conducted in accordance with the IRB’s requirements or if the product has been associated with unexpected serious harm to patients. The FDA will typically inspect one or more clinical sites to assure compliance with GCP and the integrity of the clinical data submitted.</w:t>
      </w:r>
    </w:p>
    <w:p>
      <w:pPr>
        <w:spacing w:after="0" w:line="396" w:lineRule="exact"/>
        <w:rPr>
          <w:sz w:val="20"/>
          <w:szCs w:val="20"/>
          <w:color w:val="auto"/>
        </w:rPr>
      </w:pPr>
    </w:p>
    <w:p>
      <w:pPr>
        <w:ind w:left="360" w:right="120" w:firstLine="535"/>
        <w:spacing w:after="0" w:line="245" w:lineRule="auto"/>
        <w:rPr>
          <w:sz w:val="20"/>
          <w:szCs w:val="20"/>
          <w:color w:val="auto"/>
        </w:rPr>
      </w:pPr>
      <w:r>
        <w:rPr>
          <w:rFonts w:ascii="Arial" w:cs="Arial" w:eastAsia="Arial" w:hAnsi="Arial"/>
          <w:sz w:val="17"/>
          <w:szCs w:val="17"/>
          <w:color w:val="auto"/>
        </w:rPr>
        <w:t>Concurrent with clinical trials, companies often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must develop methods for testing the identity, strength, quality, purity, and potency of the final drug. Additionally, appropriate packaging must be selected and tested and stability studies must be conducted to demonstrate that the drug candidate does not undergo unacceptable deterioration over its shelf life.</w:t>
      </w:r>
    </w:p>
    <w:p>
      <w:pPr>
        <w:spacing w:after="0" w:line="277"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Review and Approval of an NDA</w:t>
      </w:r>
    </w:p>
    <w:p>
      <w:pPr>
        <w:spacing w:after="0" w:line="126" w:lineRule="exact"/>
        <w:rPr>
          <w:sz w:val="20"/>
          <w:szCs w:val="20"/>
          <w:color w:val="auto"/>
        </w:rPr>
      </w:pPr>
    </w:p>
    <w:p>
      <w:pPr>
        <w:ind w:left="360" w:firstLine="535"/>
        <w:spacing w:after="0" w:line="244" w:lineRule="auto"/>
        <w:rPr>
          <w:sz w:val="20"/>
          <w:szCs w:val="20"/>
          <w:color w:val="auto"/>
        </w:rPr>
      </w:pPr>
      <w:r>
        <w:rPr>
          <w:rFonts w:ascii="Arial" w:cs="Arial" w:eastAsia="Arial" w:hAnsi="Arial"/>
          <w:sz w:val="17"/>
          <w:szCs w:val="17"/>
          <w:color w:val="auto"/>
        </w:rPr>
        <w:t>In order to obtain approval to market a drug product in the United States, a marketing application must be submitted to the FDA that provides sufficient data establishing the safety and efficacy of the proposed drug product for its intended indication. The application includes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a product, or from a number of alternative sources, including studies initiated by investigators. To support marketing approval, the data submitted must be sufficient in quality and quantity to establish the safety and efficacy of the drug product to the satisfaction of the FDA.</w:t>
      </w:r>
    </w:p>
    <w:p>
      <w:pPr>
        <w:spacing w:after="0" w:line="195" w:lineRule="exact"/>
        <w:rPr>
          <w:sz w:val="20"/>
          <w:szCs w:val="20"/>
          <w:color w:val="auto"/>
        </w:rPr>
      </w:pPr>
    </w:p>
    <w:p>
      <w:pPr>
        <w:ind w:left="360" w:right="40" w:firstLine="535"/>
        <w:spacing w:after="0" w:line="244" w:lineRule="auto"/>
        <w:rPr>
          <w:sz w:val="20"/>
          <w:szCs w:val="20"/>
          <w:color w:val="auto"/>
        </w:rPr>
      </w:pPr>
      <w:r>
        <w:rPr>
          <w:rFonts w:ascii="Arial" w:cs="Arial" w:eastAsia="Arial" w:hAnsi="Arial"/>
          <w:sz w:val="17"/>
          <w:szCs w:val="17"/>
          <w:color w:val="auto"/>
        </w:rPr>
        <w:t>The NDA is a vehicle through which applicants formally propose that the FDA approve a new product for marketing and sale in the United States for one or more indications. Every new drug product candidate must be the subject of an approved NDA before it may be commercialized in the United States. Under federal law, the submission of most NDAs is subject to an application user fee, which for federal fiscal year 2018 is $2,421,495 for an application requiring clinical data. The sponsor of an approved NDA is also subject to an annual prescription drug product program fee, which for fiscal year 2018 is $304,162. Certain exceptions and waivers are available for some of these fees, such as an exception from the application fee for products with orphan designation, an exception from the program fee when the program does not engage in manufacturing the drug during a particular fiscal year and a waiver for certain small businesses.</w:t>
      </w:r>
    </w:p>
    <w:p>
      <w:pPr>
        <w:spacing w:after="0" w:line="195" w:lineRule="exact"/>
        <w:rPr>
          <w:sz w:val="20"/>
          <w:szCs w:val="20"/>
          <w:color w:val="auto"/>
        </w:rPr>
      </w:pPr>
    </w:p>
    <w:p>
      <w:pPr>
        <w:ind w:left="360" w:right="80" w:firstLine="535"/>
        <w:spacing w:after="0" w:line="245" w:lineRule="auto"/>
        <w:rPr>
          <w:sz w:val="20"/>
          <w:szCs w:val="20"/>
          <w:color w:val="auto"/>
        </w:rPr>
      </w:pPr>
      <w:r>
        <w:rPr>
          <w:rFonts w:ascii="Arial" w:cs="Arial" w:eastAsia="Arial" w:hAnsi="Arial"/>
          <w:sz w:val="17"/>
          <w:szCs w:val="17"/>
          <w:color w:val="auto"/>
        </w:rPr>
        <w:t>Following submission of an NDA, the FDA conducts a preliminary review of the application generally within 60 calendar days of its receipt and strives to inform the sponsor by the 74</w:t>
      </w:r>
      <w:r>
        <w:rPr>
          <w:rFonts w:ascii="Arial" w:cs="Arial" w:eastAsia="Arial" w:hAnsi="Arial"/>
          <w:sz w:val="14"/>
          <w:szCs w:val="14"/>
          <w:color w:val="auto"/>
        </w:rPr>
        <w:t>th</w:t>
      </w:r>
      <w:r>
        <w:rPr>
          <w:rFonts w:ascii="Arial" w:cs="Arial" w:eastAsia="Arial" w:hAnsi="Arial"/>
          <w:sz w:val="17"/>
          <w:szCs w:val="17"/>
          <w:color w:val="auto"/>
        </w:rPr>
        <w:t xml:space="preserve"> day after the FDA’s receipt of the submission whether the application is sufficiently complete to permit substantive review. The FDA may request additional information rather than accept the application for filing. In this event, the application must be resubmitted with the additional information. The resubmitted application is also subject to review before the FDA accepts it for filing. Once the</w:t>
      </w:r>
    </w:p>
    <w:p>
      <w:pPr>
        <w:spacing w:after="0" w:line="130"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124</w:t>
      </w:r>
    </w:p>
    <w:p>
      <w:pPr>
        <w:sectPr>
          <w:pgSz w:w="11900" w:h="16838" w:orient="portrait"/>
          <w:cols w:equalWidth="0" w:num="1">
            <w:col w:w="11060"/>
          </w:cols>
          <w:pgMar w:left="240" w:top="449" w:right="599" w:bottom="1440" w:gutter="0" w:footer="0" w:header="0"/>
        </w:sectPr>
      </w:pPr>
    </w:p>
    <w:bookmarkStart w:id="126" w:name="page127"/>
    <w:bookmarkEnd w:id="1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60"/>
        <w:spacing w:after="0" w:line="244" w:lineRule="auto"/>
        <w:rPr>
          <w:sz w:val="20"/>
          <w:szCs w:val="20"/>
          <w:color w:val="auto"/>
        </w:rPr>
      </w:pPr>
      <w:r>
        <w:rPr>
          <w:rFonts w:ascii="Arial" w:cs="Arial" w:eastAsia="Arial" w:hAnsi="Arial"/>
          <w:sz w:val="17"/>
          <w:szCs w:val="17"/>
          <w:color w:val="auto"/>
        </w:rPr>
        <w:t>submission is accepted for filing, the FDA begins an in-depth substantive review. The FDA has agreed to specified performance goals in the review process of NDAs. Under that agreement, 90% of applications seeking approval of New Molecular Entities, or NMEs, are meant to be reviewed within ten months from the date on which the FDA accepts the application for filing, and 90% of applications for NMEs that have been designated for “priority review” are meant to be reviewed within six months of the filing date. For applications seeking approval of products that are not NMEs, the ten-month and six-month review periods run from the date that the FDA receives the application. The review process and the Prescription Drug User Fee Act, or PDUFA, goal date may be extended by the FDA for three additional months to consider new information or clarification provided by the applicant to address an outstanding deficiency identified by the FDA following the original submission.</w:t>
      </w:r>
    </w:p>
    <w:p>
      <w:pPr>
        <w:spacing w:after="0" w:line="193" w:lineRule="exact"/>
        <w:rPr>
          <w:sz w:val="20"/>
          <w:szCs w:val="20"/>
          <w:color w:val="auto"/>
        </w:rPr>
      </w:pPr>
    </w:p>
    <w:p>
      <w:pPr>
        <w:ind w:left="360" w:right="120" w:firstLine="535"/>
        <w:spacing w:after="0" w:line="244" w:lineRule="auto"/>
        <w:rPr>
          <w:sz w:val="20"/>
          <w:szCs w:val="20"/>
          <w:color w:val="auto"/>
        </w:rPr>
      </w:pPr>
      <w:r>
        <w:rPr>
          <w:rFonts w:ascii="Arial" w:cs="Arial" w:eastAsia="Arial" w:hAnsi="Arial"/>
          <w:sz w:val="17"/>
          <w:szCs w:val="17"/>
          <w:color w:val="auto"/>
        </w:rPr>
        <w:t>Before approving an application, the FDA typically will inspect the facility or facilities where the product is or will be manufactured. These pre-approval inspections may cover all facilities associated with an NDA submission, including component manufacturing, finished product manufacturing and control testing laboratories.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to assure compliance with GCP. Under the FDA Reauthorization Act of 2017, the FDA must implement a protocol to expedite review of responses to inspection reports pertaining to certain applications, including applications for products in shortage or those for which approval is dependent on remediation of conditions identified in the inspection report.</w:t>
      </w:r>
    </w:p>
    <w:p>
      <w:pPr>
        <w:spacing w:after="0" w:line="193" w:lineRule="exact"/>
        <w:rPr>
          <w:sz w:val="20"/>
          <w:szCs w:val="20"/>
          <w:color w:val="auto"/>
        </w:rPr>
      </w:pPr>
    </w:p>
    <w:p>
      <w:pPr>
        <w:ind w:left="360" w:firstLine="535"/>
        <w:spacing w:after="0" w:line="246" w:lineRule="auto"/>
        <w:rPr>
          <w:sz w:val="20"/>
          <w:szCs w:val="20"/>
          <w:color w:val="auto"/>
        </w:rPr>
      </w:pPr>
      <w:r>
        <w:rPr>
          <w:rFonts w:ascii="Arial" w:cs="Arial" w:eastAsia="Arial" w:hAnsi="Arial"/>
          <w:sz w:val="17"/>
          <w:szCs w:val="17"/>
          <w:color w:val="auto"/>
        </w:rPr>
        <w:t>In addition, as a condition of approval, the FDA may require an applicant to develop a REMS. REMS use risk minimization strategies beyond the professional labeling to 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adverse events and whether the product is a new molecular entity.</w:t>
      </w:r>
    </w:p>
    <w:p>
      <w:pPr>
        <w:spacing w:after="0" w:line="392" w:lineRule="exact"/>
        <w:rPr>
          <w:sz w:val="20"/>
          <w:szCs w:val="20"/>
          <w:color w:val="auto"/>
        </w:rPr>
      </w:pPr>
    </w:p>
    <w:p>
      <w:pPr>
        <w:ind w:left="360" w:right="20" w:firstLine="535"/>
        <w:spacing w:after="0" w:line="247" w:lineRule="auto"/>
        <w:rPr>
          <w:sz w:val="20"/>
          <w:szCs w:val="20"/>
          <w:color w:val="auto"/>
        </w:rPr>
      </w:pPr>
      <w:r>
        <w:rPr>
          <w:rFonts w:ascii="Arial" w:cs="Arial" w:eastAsia="Arial" w:hAnsi="Arial"/>
          <w:sz w:val="17"/>
          <w:szCs w:val="17"/>
          <w:color w:val="auto"/>
        </w:rPr>
        <w:t>The FDA may refer an application for a novel product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276"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Fast Track, Breakthrough Therapy and Priority Review Designations</w:t>
      </w:r>
    </w:p>
    <w:p>
      <w:pPr>
        <w:spacing w:after="0" w:line="126" w:lineRule="exact"/>
        <w:rPr>
          <w:sz w:val="20"/>
          <w:szCs w:val="20"/>
          <w:color w:val="auto"/>
        </w:rPr>
      </w:pPr>
    </w:p>
    <w:p>
      <w:pPr>
        <w:jc w:val="both"/>
        <w:ind w:left="360" w:right="60" w:firstLine="535"/>
        <w:spacing w:after="0" w:line="250" w:lineRule="auto"/>
        <w:rPr>
          <w:sz w:val="20"/>
          <w:szCs w:val="20"/>
          <w:color w:val="auto"/>
        </w:rPr>
      </w:pPr>
      <w:r>
        <w:rPr>
          <w:rFonts w:ascii="Arial" w:cs="Arial" w:eastAsia="Arial" w:hAnsi="Arial"/>
          <w:sz w:val="17"/>
          <w:szCs w:val="17"/>
          <w:color w:val="auto"/>
        </w:rPr>
        <w:t>The FDA is authorized to designate certain products for expedited review if they are intended to address an unmet medical need in the treatment of a serious or life-threatening disease or condition. These programs are referred to as fast track designation, breakthrough therapy designation, priority review designation and regenerative advanced therapy designation.</w:t>
      </w:r>
    </w:p>
    <w:p>
      <w:pPr>
        <w:spacing w:after="0" w:line="189" w:lineRule="exact"/>
        <w:rPr>
          <w:sz w:val="20"/>
          <w:szCs w:val="20"/>
          <w:color w:val="auto"/>
        </w:rPr>
      </w:pPr>
    </w:p>
    <w:p>
      <w:pPr>
        <w:ind w:left="360" w:right="80" w:firstLine="535"/>
        <w:spacing w:after="0" w:line="245" w:lineRule="auto"/>
        <w:rPr>
          <w:sz w:val="20"/>
          <w:szCs w:val="20"/>
          <w:color w:val="auto"/>
        </w:rPr>
      </w:pPr>
      <w:r>
        <w:rPr>
          <w:rFonts w:ascii="Arial" w:cs="Arial" w:eastAsia="Arial" w:hAnsi="Arial"/>
          <w:sz w:val="17"/>
          <w:szCs w:val="17"/>
          <w:color w:val="auto"/>
        </w:rPr>
        <w:t>Specifically, 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w:t>
      </w:r>
    </w:p>
    <w:p>
      <w:pPr>
        <w:spacing w:after="0" w:line="12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125</w:t>
      </w:r>
    </w:p>
    <w:p>
      <w:pPr>
        <w:sectPr>
          <w:pgSz w:w="11900" w:h="16838" w:orient="portrait"/>
          <w:cols w:equalWidth="0" w:num="1">
            <w:col w:w="11060"/>
          </w:cols>
          <w:pgMar w:left="240" w:top="450" w:right="599" w:bottom="1440" w:gutter="0" w:footer="0" w:header="0"/>
        </w:sectPr>
      </w:pPr>
    </w:p>
    <w:bookmarkStart w:id="127" w:name="page128"/>
    <w:bookmarkEnd w:id="1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20"/>
        <w:spacing w:after="0" w:line="250" w:lineRule="auto"/>
        <w:rPr>
          <w:sz w:val="20"/>
          <w:szCs w:val="20"/>
          <w:color w:val="auto"/>
        </w:rPr>
      </w:pPr>
      <w:r>
        <w:rPr>
          <w:rFonts w:ascii="Arial" w:cs="Arial" w:eastAsia="Arial" w:hAnsi="Arial"/>
          <w:sz w:val="17"/>
          <w:szCs w:val="17"/>
          <w:color w:val="auto"/>
        </w:rPr>
        <w:t>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189" w:lineRule="exact"/>
        <w:rPr>
          <w:sz w:val="20"/>
          <w:szCs w:val="20"/>
          <w:color w:val="auto"/>
        </w:rPr>
      </w:pPr>
    </w:p>
    <w:p>
      <w:pPr>
        <w:ind w:left="360" w:right="40" w:firstLine="535"/>
        <w:spacing w:after="0" w:line="244" w:lineRule="auto"/>
        <w:rPr>
          <w:sz w:val="20"/>
          <w:szCs w:val="20"/>
          <w:color w:val="auto"/>
        </w:rPr>
      </w:pPr>
      <w:r>
        <w:rPr>
          <w:rFonts w:ascii="Arial" w:cs="Arial" w:eastAsia="Arial" w:hAnsi="Arial"/>
          <w:sz w:val="17"/>
          <w:szCs w:val="17"/>
          <w:color w:val="auto"/>
        </w:rPr>
        <w:t>Second,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195" w:lineRule="exact"/>
        <w:rPr>
          <w:sz w:val="20"/>
          <w:szCs w:val="20"/>
          <w:color w:val="auto"/>
        </w:rPr>
      </w:pPr>
    </w:p>
    <w:p>
      <w:pPr>
        <w:ind w:left="360" w:firstLine="535"/>
        <w:spacing w:after="0" w:line="244" w:lineRule="auto"/>
        <w:rPr>
          <w:sz w:val="20"/>
          <w:szCs w:val="20"/>
          <w:color w:val="auto"/>
        </w:rPr>
      </w:pPr>
      <w:r>
        <w:rPr>
          <w:rFonts w:ascii="Arial" w:cs="Arial" w:eastAsia="Arial" w:hAnsi="Arial"/>
          <w:sz w:val="17"/>
          <w:szCs w:val="17"/>
          <w:color w:val="auto"/>
        </w:rPr>
        <w:t>Third, the FDA may designate a product for priority review if it is a product that treats a serious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ten months to six months.</w:t>
      </w:r>
    </w:p>
    <w:p>
      <w:pPr>
        <w:spacing w:after="0" w:line="280"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Accelerated Approval Pathway</w:t>
      </w:r>
    </w:p>
    <w:p>
      <w:pPr>
        <w:spacing w:after="0" w:line="126" w:lineRule="exact"/>
        <w:rPr>
          <w:sz w:val="20"/>
          <w:szCs w:val="20"/>
          <w:color w:val="auto"/>
        </w:rPr>
      </w:pPr>
    </w:p>
    <w:p>
      <w:pPr>
        <w:ind w:left="360" w:right="20" w:firstLine="535"/>
        <w:spacing w:after="0" w:line="244" w:lineRule="auto"/>
        <w:rPr>
          <w:sz w:val="20"/>
          <w:szCs w:val="20"/>
          <w:color w:val="auto"/>
        </w:rPr>
      </w:pPr>
      <w:r>
        <w:rPr>
          <w:rFonts w:ascii="Arial" w:cs="Arial" w:eastAsia="Arial" w:hAnsi="Arial"/>
          <w:sz w:val="17"/>
          <w:szCs w:val="17"/>
          <w:color w:val="auto"/>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irreversible morbidity or mortality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p>
    <w:p>
      <w:pPr>
        <w:spacing w:after="0" w:line="195" w:lineRule="exact"/>
        <w:rPr>
          <w:sz w:val="20"/>
          <w:szCs w:val="20"/>
          <w:color w:val="auto"/>
        </w:rPr>
      </w:pPr>
    </w:p>
    <w:p>
      <w:pPr>
        <w:ind w:left="360" w:right="60" w:firstLine="535"/>
        <w:spacing w:after="0" w:line="244" w:lineRule="auto"/>
        <w:rPr>
          <w:sz w:val="20"/>
          <w:szCs w:val="20"/>
          <w:color w:val="auto"/>
        </w:rPr>
      </w:pPr>
      <w:r>
        <w:rPr>
          <w:rFonts w:ascii="Arial" w:cs="Arial" w:eastAsia="Arial" w:hAnsi="Arial"/>
          <w:sz w:val="17"/>
          <w:szCs w:val="17"/>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drug, such as an effect on IMM. The FDA has limited experience with accelerated approvals based on intermediate clinical endpoints, but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product.</w:t>
      </w:r>
    </w:p>
    <w:p>
      <w:pPr>
        <w:spacing w:after="0" w:line="392" w:lineRule="exact"/>
        <w:rPr>
          <w:sz w:val="20"/>
          <w:szCs w:val="20"/>
          <w:color w:val="auto"/>
        </w:rPr>
      </w:pPr>
    </w:p>
    <w:p>
      <w:pPr>
        <w:ind w:left="360" w:firstLine="535"/>
        <w:spacing w:after="0" w:line="259" w:lineRule="auto"/>
        <w:rPr>
          <w:sz w:val="20"/>
          <w:szCs w:val="20"/>
          <w:color w:val="auto"/>
        </w:rPr>
      </w:pPr>
      <w:r>
        <w:rPr>
          <w:rFonts w:ascii="Arial" w:cs="Arial" w:eastAsia="Arial" w:hAnsi="Arial"/>
          <w:sz w:val="17"/>
          <w:szCs w:val="17"/>
          <w:color w:val="auto"/>
        </w:rPr>
        <w:t>The accelerated approval pathway is most often used in settings in which the course of a disease is long and an extended period of time is required to measure the intended clinical benefit of a product,</w:t>
      </w:r>
    </w:p>
    <w:p>
      <w:pPr>
        <w:spacing w:after="0" w:line="11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126</w:t>
      </w:r>
    </w:p>
    <w:p>
      <w:pPr>
        <w:sectPr>
          <w:pgSz w:w="11900" w:h="16838" w:orient="portrait"/>
          <w:cols w:equalWidth="0" w:num="1">
            <w:col w:w="11040"/>
          </w:cols>
          <w:pgMar w:left="240" w:top="449" w:right="619" w:bottom="1440" w:gutter="0" w:footer="0" w:header="0"/>
        </w:sectPr>
      </w:pPr>
    </w:p>
    <w:bookmarkStart w:id="128" w:name="page129"/>
    <w:bookmarkEnd w:id="1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40"/>
        <w:spacing w:after="0" w:line="245" w:lineRule="auto"/>
        <w:rPr>
          <w:sz w:val="20"/>
          <w:szCs w:val="20"/>
          <w:color w:val="auto"/>
        </w:rPr>
      </w:pPr>
      <w:r>
        <w:rPr>
          <w:rFonts w:ascii="Arial" w:cs="Arial" w:eastAsia="Arial" w:hAnsi="Arial"/>
          <w:sz w:val="17"/>
          <w:szCs w:val="17"/>
          <w:color w:val="auto"/>
        </w:rPr>
        <w:t>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trials to demonstrate a clinical or survival benefit. Thus, the benefit of accelerated approval derives from the potential to receive approval based on surrogate endpoints sooner than possible for trials with clinical or survival endpoints, rather than deriving from any explicit shortening of the FDA approval timeline, as is the case with priority review.</w:t>
      </w:r>
    </w:p>
    <w:p>
      <w:pPr>
        <w:spacing w:after="0" w:line="192" w:lineRule="exact"/>
        <w:rPr>
          <w:sz w:val="20"/>
          <w:szCs w:val="20"/>
          <w:color w:val="auto"/>
        </w:rPr>
      </w:pPr>
    </w:p>
    <w:p>
      <w:pPr>
        <w:ind w:left="360" w:right="60" w:firstLine="535"/>
        <w:spacing w:after="0" w:line="245" w:lineRule="auto"/>
        <w:rPr>
          <w:sz w:val="20"/>
          <w:szCs w:val="20"/>
          <w:color w:val="auto"/>
        </w:rPr>
      </w:pPr>
      <w:r>
        <w:rPr>
          <w:rFonts w:ascii="Arial" w:cs="Arial" w:eastAsia="Arial" w:hAnsi="Arial"/>
          <w:sz w:val="17"/>
          <w:szCs w:val="17"/>
          <w:color w:val="auto"/>
        </w:rPr>
        <w:t>The accelerated approval pathway is usually contingent on a sponsor’s agreement to conduct, in a diligent manner, additional post-approval confirmatory studies to verify and describe the product’s clinical benefit. As a result, a product candidate approved on this basis is subject to rigorous post-marketing compliance requirements, including the completion of Phase 4 or post-approval clinical trials to confirm the effect on the clinical endpoint. Failure to conduct required post-approval studies, or confirm a clinical benefit during post-marketing studies, would allow the FDA to initiate expedited proceedings to withdraw approval of the product. All promotional materials for product candidates approved under accelerated regulations are subject to prior review by the FDA.</w:t>
      </w:r>
    </w:p>
    <w:p>
      <w:pPr>
        <w:spacing w:after="0" w:line="277"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The FDA’s Decision on an NDA</w:t>
      </w:r>
    </w:p>
    <w:p>
      <w:pPr>
        <w:spacing w:after="0" w:line="126" w:lineRule="exact"/>
        <w:rPr>
          <w:sz w:val="20"/>
          <w:szCs w:val="20"/>
          <w:color w:val="auto"/>
        </w:rPr>
      </w:pPr>
    </w:p>
    <w:p>
      <w:pPr>
        <w:ind w:left="360" w:right="80" w:firstLine="535"/>
        <w:spacing w:after="0" w:line="244" w:lineRule="auto"/>
        <w:rPr>
          <w:sz w:val="20"/>
          <w:szCs w:val="20"/>
          <w:color w:val="auto"/>
        </w:rPr>
      </w:pPr>
      <w:r>
        <w:rPr>
          <w:rFonts w:ascii="Arial" w:cs="Arial" w:eastAsia="Arial" w:hAnsi="Arial"/>
          <w:sz w:val="17"/>
          <w:szCs w:val="17"/>
          <w:color w:val="auto"/>
        </w:rPr>
        <w:t>On the basis of the FDA’s evaluation of the application and accompanying information, including the results of the inspection of the manufacturing facilities,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193" w:lineRule="exact"/>
        <w:rPr>
          <w:sz w:val="20"/>
          <w:szCs w:val="20"/>
          <w:color w:val="auto"/>
        </w:rPr>
      </w:pPr>
    </w:p>
    <w:p>
      <w:pPr>
        <w:ind w:left="360" w:firstLine="535"/>
        <w:spacing w:after="0" w:line="243" w:lineRule="auto"/>
        <w:rPr>
          <w:sz w:val="20"/>
          <w:szCs w:val="20"/>
          <w:color w:val="auto"/>
        </w:rPr>
      </w:pPr>
      <w:r>
        <w:rPr>
          <w:rFonts w:ascii="Arial" w:cs="Arial" w:eastAsia="Arial" w:hAnsi="Arial"/>
          <w:sz w:val="17"/>
          <w:szCs w:val="17"/>
          <w:color w:val="auto"/>
        </w:rPr>
        <w:t>If the FDA approves a new product, it may limit the approved indications for use of the product, require that contraindications, warnings or precautions be included in the product labeling, or require that post-approval studies, including Phase 4 clinical trials, be conducted to further assess the drug’s safety after approval. The agency may also require testing and surveillance programs to monitor the product after commercialization, or impose other conditions, including distribution restrictions or other risk management mechanisms, including REMS, to help ensure that the benefits of the product outweigh the potential risks. REMS can include medication guides, communication plans for health care professionals, and elements to assure safe use, or ETASU. ETASU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 The FDA may require a REMS before approval or post-approval if it becomes aware of a serious risk associated with use of the product. The requirement for a REMS can materially affect the potential market and profitability of a product. After approval, many types of changes to the approved product, such as adding new indications, manufacturing changes and additional labeling claims, are subject to further testing requirements and FDA review and approval.</w:t>
      </w:r>
    </w:p>
    <w:p>
      <w:pPr>
        <w:spacing w:after="0" w:line="279"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Post-Approval Regulation</w:t>
      </w:r>
    </w:p>
    <w:p>
      <w:pPr>
        <w:spacing w:after="0" w:line="126" w:lineRule="exact"/>
        <w:rPr>
          <w:sz w:val="20"/>
          <w:szCs w:val="20"/>
          <w:color w:val="auto"/>
        </w:rPr>
      </w:pPr>
    </w:p>
    <w:p>
      <w:pPr>
        <w:ind w:left="360" w:firstLine="535"/>
        <w:spacing w:after="0" w:line="259" w:lineRule="auto"/>
        <w:rPr>
          <w:sz w:val="20"/>
          <w:szCs w:val="20"/>
          <w:color w:val="auto"/>
        </w:rPr>
      </w:pPr>
      <w:r>
        <w:rPr>
          <w:rFonts w:ascii="Arial" w:cs="Arial" w:eastAsia="Arial" w:hAnsi="Arial"/>
          <w:sz w:val="17"/>
          <w:szCs w:val="17"/>
          <w:color w:val="auto"/>
        </w:rPr>
        <w:t>If regulatory approval for marketing of a product or new indication for an existing product is obtained, the sponsor will be required to comply with all regular post-approval regulatory requirements</w:t>
      </w:r>
    </w:p>
    <w:p>
      <w:pPr>
        <w:spacing w:after="0" w:line="11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127</w:t>
      </w:r>
    </w:p>
    <w:p>
      <w:pPr>
        <w:sectPr>
          <w:pgSz w:w="11900" w:h="16838" w:orient="portrait"/>
          <w:cols w:equalWidth="0" w:num="1">
            <w:col w:w="11040"/>
          </w:cols>
          <w:pgMar w:left="240" w:top="449" w:right="619" w:bottom="1440" w:gutter="0" w:footer="0" w:header="0"/>
        </w:sectPr>
      </w:pPr>
    </w:p>
    <w:bookmarkStart w:id="129" w:name="page130"/>
    <w:bookmarkEnd w:id="1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120"/>
        <w:spacing w:after="0" w:line="243" w:lineRule="auto"/>
        <w:rPr>
          <w:sz w:val="20"/>
          <w:szCs w:val="20"/>
          <w:color w:val="auto"/>
        </w:rPr>
      </w:pPr>
      <w:r>
        <w:rPr>
          <w:rFonts w:ascii="Arial" w:cs="Arial" w:eastAsia="Arial" w:hAnsi="Arial"/>
          <w:sz w:val="17"/>
          <w:szCs w:val="17"/>
          <w:color w:val="auto"/>
        </w:rPr>
        <w:t>as well as any post-approval requirements that the FDA may have imposed as part of the approval process. The sponsor will be required to report, among other things, certain adverse reactions and manufacturing problems to the FDA, provide updated safety and efficacy information and comply with requirements concerning advertising and promotional labeling requirements.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Changes to the manufacturing process are strictly regulated and often require prior FDA approval before being implemented. Accordingly, the sponsor and its third-party manufacturers must continue to expend time, money and effort in the areas of production and quality control to maintain compliance with cGMP regulations and other regulatory requirements.</w:t>
      </w:r>
    </w:p>
    <w:p>
      <w:pPr>
        <w:spacing w:after="0" w:line="198" w:lineRule="exact"/>
        <w:rPr>
          <w:sz w:val="20"/>
          <w:szCs w:val="20"/>
          <w:color w:val="auto"/>
        </w:rPr>
      </w:pPr>
    </w:p>
    <w:p>
      <w:pPr>
        <w:ind w:left="360" w:right="60" w:firstLine="535"/>
        <w:spacing w:after="0" w:line="245" w:lineRule="auto"/>
        <w:rPr>
          <w:sz w:val="20"/>
          <w:szCs w:val="20"/>
          <w:color w:val="auto"/>
        </w:rPr>
      </w:pPr>
      <w:r>
        <w:rPr>
          <w:rFonts w:ascii="Arial" w:cs="Arial" w:eastAsia="Arial" w:hAnsi="Arial"/>
          <w:sz w:val="17"/>
          <w:szCs w:val="17"/>
          <w:color w:val="auto"/>
        </w:rPr>
        <w:t>Once an approval is granted, the FDA may withdraw the approval if compliance with regulatory requirements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safety risks; or imposition of distribution or other restrictions under a REMS program. Other potential consequences include, among other things:</w:t>
      </w:r>
    </w:p>
    <w:p>
      <w:pPr>
        <w:spacing w:after="0" w:line="300" w:lineRule="exact"/>
        <w:rPr>
          <w:sz w:val="20"/>
          <w:szCs w:val="20"/>
          <w:color w:val="auto"/>
        </w:rPr>
      </w:pPr>
    </w:p>
    <w:p>
      <w:pPr>
        <w:ind w:left="1100" w:right="380" w:hanging="210"/>
        <w:spacing w:after="0" w:line="259" w:lineRule="auto"/>
        <w:tabs>
          <w:tab w:leader="none" w:pos="11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89" w:lineRule="exact"/>
        <w:rPr>
          <w:rFonts w:ascii="Arial" w:cs="Arial" w:eastAsia="Arial" w:hAnsi="Arial"/>
          <w:sz w:val="17"/>
          <w:szCs w:val="17"/>
          <w:color w:val="auto"/>
        </w:rPr>
      </w:pPr>
    </w:p>
    <w:p>
      <w:pPr>
        <w:ind w:left="1100" w:hanging="210"/>
        <w:spacing w:after="0"/>
        <w:tabs>
          <w:tab w:leader="none" w:pos="11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fines, warning letters or holds on post-approval clinical trials;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refusal of the FDA to approve pending applications or supplements to approved applications, or withdrawal of product approvals;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product seizure or detention, or refusal to permit the import or export of products; or</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w:t>
      </w:r>
    </w:p>
    <w:p>
      <w:pPr>
        <w:spacing w:after="0" w:line="211" w:lineRule="exact"/>
        <w:rPr>
          <w:sz w:val="20"/>
          <w:szCs w:val="20"/>
          <w:color w:val="auto"/>
        </w:rPr>
      </w:pPr>
    </w:p>
    <w:p>
      <w:pPr>
        <w:ind w:left="360" w:firstLine="535"/>
        <w:spacing w:after="0" w:line="243" w:lineRule="auto"/>
        <w:rPr>
          <w:sz w:val="20"/>
          <w:szCs w:val="20"/>
          <w:color w:val="auto"/>
        </w:rPr>
      </w:pPr>
      <w:r>
        <w:rPr>
          <w:rFonts w:ascii="Arial" w:cs="Arial" w:eastAsia="Arial" w:hAnsi="Arial"/>
          <w:sz w:val="17"/>
          <w:szCs w:val="17"/>
          <w:color w:val="auto"/>
        </w:rPr>
        <w:t>The FDA strictly regulates the marketing, labeling, advertising and promotion of prescription drug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After approval, a drug product generally may not be promoted for uses that are not approved by the FDA, as reflected in the product’s prescribing information. In the United States, health care professionals are generally permitted to prescribe drugs for such uses not described in the drug’s labeling, known as off-label uses, because the FDA does not regulate the practice of medicine. However, FDA regulations impose rigorous restrictions on manufacturers’ communications, prohibiting the promotion of off-label uses. It may be permissible, under very specific, narrow conditions, for a manufacturer to engage in nonpromotional, non-misleading communication regarding off-label information, such as distributing scientific or medical journal information.</w:t>
      </w:r>
    </w:p>
    <w:p>
      <w:pPr>
        <w:spacing w:after="0" w:line="197" w:lineRule="exact"/>
        <w:rPr>
          <w:sz w:val="20"/>
          <w:szCs w:val="20"/>
          <w:color w:val="auto"/>
        </w:rPr>
      </w:pPr>
    </w:p>
    <w:p>
      <w:pPr>
        <w:ind w:left="360" w:firstLine="535"/>
        <w:spacing w:after="0" w:line="245" w:lineRule="auto"/>
        <w:rPr>
          <w:sz w:val="20"/>
          <w:szCs w:val="20"/>
          <w:color w:val="auto"/>
        </w:rPr>
      </w:pPr>
      <w:r>
        <w:rPr>
          <w:rFonts w:ascii="Arial" w:cs="Arial" w:eastAsia="Arial" w:hAnsi="Arial"/>
          <w:sz w:val="17"/>
          <w:szCs w:val="17"/>
          <w:color w:val="auto"/>
        </w:rPr>
        <w:t>If a company is found to have promoted off-label uses, it may become subject to adverse public relations and administrative and judicial enforcement by the FDA, the Department of Justice,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w:t>
      </w:r>
    </w:p>
    <w:p>
      <w:pPr>
        <w:spacing w:after="0" w:line="12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128</w:t>
      </w:r>
    </w:p>
    <w:p>
      <w:pPr>
        <w:sectPr>
          <w:pgSz w:w="11900" w:h="16838" w:orient="portrait"/>
          <w:cols w:equalWidth="0" w:num="1">
            <w:col w:w="11060"/>
          </w:cols>
          <w:pgMar w:left="240" w:top="449" w:right="599" w:bottom="1440" w:gutter="0" w:footer="0" w:header="0"/>
        </w:sectPr>
      </w:pPr>
    </w:p>
    <w:bookmarkStart w:id="130" w:name="page131"/>
    <w:bookmarkEnd w:id="1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companies enter into consent decrees or permanent injunctions under which specified promotional conduct is changed or curtailed.</w:t>
      </w:r>
    </w:p>
    <w:p>
      <w:pPr>
        <w:spacing w:after="0" w:line="211" w:lineRule="exact"/>
        <w:rPr>
          <w:sz w:val="20"/>
          <w:szCs w:val="20"/>
          <w:color w:val="auto"/>
        </w:rPr>
      </w:pPr>
    </w:p>
    <w:p>
      <w:pPr>
        <w:ind w:left="360" w:right="20" w:firstLine="535"/>
        <w:spacing w:after="0" w:line="245" w:lineRule="auto"/>
        <w:rPr>
          <w:sz w:val="20"/>
          <w:szCs w:val="20"/>
          <w:color w:val="auto"/>
        </w:rPr>
      </w:pPr>
      <w:r>
        <w:rPr>
          <w:rFonts w:ascii="Arial" w:cs="Arial" w:eastAsia="Arial" w:hAnsi="Arial"/>
          <w:sz w:val="17"/>
          <w:szCs w:val="17"/>
          <w:color w:val="auto"/>
        </w:rPr>
        <w:t>In addition, the distribution of prescription pharmaceutical products is subject to the Prescription Drug Marketing Act, or PDMA, and its implementing regulations, as well as the Drug Supply Chain Security Act, or DSCA, which regulate the distribution and tracing of prescription drug samples at the federal level, and set minimum standards for the regulation of distributors by the states. The PDMA, its implementing regulations and state laws limit the distribution of prescription pharmaceutical product samples, and the DSCA imposes requirements to ensure accountability in distribution and to identify and remove counterfeit and other illegitimate products from the market.</w:t>
      </w:r>
    </w:p>
    <w:p>
      <w:pPr>
        <w:spacing w:after="0" w:line="280"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Section 505(b)(2) NDAs</w:t>
      </w:r>
    </w:p>
    <w:p>
      <w:pPr>
        <w:spacing w:after="0" w:line="126" w:lineRule="exact"/>
        <w:rPr>
          <w:sz w:val="20"/>
          <w:szCs w:val="20"/>
          <w:color w:val="auto"/>
        </w:rPr>
      </w:pPr>
    </w:p>
    <w:p>
      <w:pPr>
        <w:ind w:left="360" w:right="80" w:firstLine="535"/>
        <w:spacing w:after="0" w:line="244" w:lineRule="auto"/>
        <w:rPr>
          <w:sz w:val="20"/>
          <w:szCs w:val="20"/>
          <w:color w:val="auto"/>
        </w:rPr>
      </w:pPr>
      <w:r>
        <w:rPr>
          <w:rFonts w:ascii="Arial" w:cs="Arial" w:eastAsia="Arial" w:hAnsi="Arial"/>
          <w:sz w:val="17"/>
          <w:szCs w:val="17"/>
          <w:color w:val="auto"/>
        </w:rPr>
        <w:t>NDAs for most new drug products are based on two full clinical studies which must contain substantial evidence of the safety and efficacy of the proposed new product for the proposed use. These applications are submitted under Section 505(b)(1) of the FDCA. The FDA is, however, authorized to approve an alternative type of NDA under Section 505(b)(2) of the FDCA. This type of application allows the applicant to rely, in part, on the FDA’s previous findings of safety and efficacy for a similar product, or published literature. Specifically, Section 505(b)(2) applies to NDAs for a drug for which the investigations made to show whether or not the drug is safe for use and effective in use and relied upon by the applicant for approval of the application “were not conducted by or for the applicant and for which the applicant has not obtained a right of reference or use from the person by or for whom the investigations were conducted.”</w:t>
      </w:r>
    </w:p>
    <w:p>
      <w:pPr>
        <w:spacing w:after="0" w:line="195" w:lineRule="exact"/>
        <w:rPr>
          <w:sz w:val="20"/>
          <w:szCs w:val="20"/>
          <w:color w:val="auto"/>
        </w:rPr>
      </w:pPr>
    </w:p>
    <w:p>
      <w:pPr>
        <w:ind w:left="360" w:firstLine="535"/>
        <w:spacing w:after="0" w:line="244" w:lineRule="auto"/>
        <w:rPr>
          <w:sz w:val="20"/>
          <w:szCs w:val="20"/>
          <w:color w:val="auto"/>
        </w:rPr>
      </w:pPr>
      <w:r>
        <w:rPr>
          <w:rFonts w:ascii="Arial" w:cs="Arial" w:eastAsia="Arial" w:hAnsi="Arial"/>
          <w:sz w:val="17"/>
          <w:szCs w:val="17"/>
          <w:color w:val="auto"/>
        </w:rPr>
        <w:t>Thus, Section 505(b)(2) authorizes the FDA to approve an NDA based on safety and effectiveness data that were not developed by the applicant. NDAs filed under Section 505(b)(2) may provide an alternate and potentially more expeditious pathway to FDA approval for new or improved formulations or new uses of previously approved products. If the 505(b)(2) applicant can establish that reliance on the FDA’s previous approval is scientifically appropriate, the applicant may eliminate the need to conduct certain preclinical or clinical studies of the new product. The FDA may also require companies to perform additional studies or measurements to support the change from the approved product. The FDA may then approve the new drug candidate for all or some of the label indications for which the referenced product has been approved, as well as for any new indication sought by the Section 505(b)(2) applicant.</w:t>
      </w:r>
    </w:p>
    <w:p>
      <w:pPr>
        <w:spacing w:after="0" w:line="280"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Abbreviated New Drug Applications for Generic Drugs</w:t>
      </w:r>
    </w:p>
    <w:p>
      <w:pPr>
        <w:spacing w:after="0" w:line="126" w:lineRule="exact"/>
        <w:rPr>
          <w:sz w:val="20"/>
          <w:szCs w:val="20"/>
          <w:color w:val="auto"/>
        </w:rPr>
      </w:pPr>
    </w:p>
    <w:p>
      <w:pPr>
        <w:ind w:left="360" w:right="100" w:firstLine="535"/>
        <w:spacing w:after="0" w:line="243" w:lineRule="auto"/>
        <w:rPr>
          <w:sz w:val="20"/>
          <w:szCs w:val="20"/>
          <w:color w:val="auto"/>
        </w:rPr>
      </w:pPr>
      <w:r>
        <w:rPr>
          <w:rFonts w:ascii="Arial" w:cs="Arial" w:eastAsia="Arial" w:hAnsi="Arial"/>
          <w:sz w:val="17"/>
          <w:szCs w:val="17"/>
          <w:color w:val="auto"/>
        </w:rPr>
        <w:t>In 1984, with passage of the Hatch-Waxman Amendments to the FDCA, Congress established an abbreviated regulatory scheme authorizing the FDA to approve generic drugs that are shown to contain the same active ingredients as, and to be bioequivalent to, drugs previously approved by the FDA pursuant to NDAs. To obtain approval of a generic drug, an applicant must submit an abbreviated new drug application, or ANDA, to the agency. An ANDA is a comprehensive submission that contains, among other things, data and information pertaining to the active pharmaceutical ingredient, bioequivalence, drug product formulation, specifications and stability of the generic drug, as well as analytical methods, manufacturing process validation data and quality control procedures. ANDAs are “abbreviated” because they generally do not include preclinical and clinical data to demonstrate safety and effectiveness. Instead, in support of such applications, a generic manufacturer may rely on the preclinical and clinical testing previously conducted for a drug product previously approved under an NDA, known as the reference-listed drug, or RLD.</w:t>
      </w:r>
    </w:p>
    <w:p>
      <w:pPr>
        <w:spacing w:after="0" w:line="198" w:lineRule="exact"/>
        <w:rPr>
          <w:sz w:val="20"/>
          <w:szCs w:val="20"/>
          <w:color w:val="auto"/>
        </w:rPr>
      </w:pPr>
    </w:p>
    <w:p>
      <w:pPr>
        <w:ind w:left="360" w:right="60" w:firstLine="535"/>
        <w:spacing w:after="0" w:line="259" w:lineRule="auto"/>
        <w:rPr>
          <w:sz w:val="20"/>
          <w:szCs w:val="20"/>
          <w:color w:val="auto"/>
        </w:rPr>
      </w:pPr>
      <w:r>
        <w:rPr>
          <w:rFonts w:ascii="Arial" w:cs="Arial" w:eastAsia="Arial" w:hAnsi="Arial"/>
          <w:sz w:val="17"/>
          <w:szCs w:val="17"/>
          <w:color w:val="auto"/>
        </w:rPr>
        <w:t>Specifically, in order for an ANDA to be approved, the FDA must find that the generic version is identical to the RLD with respect to the active ingredients, the route of administration, the dosage form,</w:t>
      </w:r>
    </w:p>
    <w:p>
      <w:pPr>
        <w:spacing w:after="0" w:line="116"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129</w:t>
      </w:r>
    </w:p>
    <w:p>
      <w:pPr>
        <w:sectPr>
          <w:pgSz w:w="11900" w:h="16838" w:orient="portrait"/>
          <w:cols w:equalWidth="0" w:num="1">
            <w:col w:w="11040"/>
          </w:cols>
          <w:pgMar w:left="240" w:top="450" w:right="619" w:bottom="1440" w:gutter="0" w:footer="0" w:header="0"/>
        </w:sectPr>
      </w:pPr>
    </w:p>
    <w:bookmarkStart w:id="131" w:name="page132"/>
    <w:bookmarkEnd w:id="1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20"/>
        <w:spacing w:after="0" w:line="244" w:lineRule="auto"/>
        <w:rPr>
          <w:sz w:val="20"/>
          <w:szCs w:val="20"/>
          <w:color w:val="auto"/>
        </w:rPr>
      </w:pPr>
      <w:r>
        <w:rPr>
          <w:rFonts w:ascii="Arial" w:cs="Arial" w:eastAsia="Arial" w:hAnsi="Arial"/>
          <w:sz w:val="17"/>
          <w:szCs w:val="17"/>
          <w:color w:val="auto"/>
        </w:rPr>
        <w:t>the strength of the drug and the conditions of use of the drug. At the same time, the FDA must also determine that the generic drug is “bioequivalent” to the innovator drug. Under the statute, a generic drug is bioequivalent to a RLD if “the rate and extent of absorption of the drug do not show a significant difference from the rate and extent of absorption of the listed drug.” Upon approval of an ANDA, the FDA indicates whether the generic product is “therapeutically equivalent” to the RLD in its publication “Approved Drug Products with Therapeutic Equivalence Evaluations,” also referred to as the “Orange Book.” Physicians and pharmacists consider a therapeutic equivalent generic drug to be fully substitutable for the RLD. In addition, by operation of certain state laws and numerous health insurance programs, the FDA’s designation of therapeutic equivalence often results in substitution of the generic drug without the knowledge or consent of either the prescribing physician or patient.</w:t>
      </w:r>
    </w:p>
    <w:p>
      <w:pPr>
        <w:spacing w:after="0" w:line="193" w:lineRule="exact"/>
        <w:rPr>
          <w:sz w:val="20"/>
          <w:szCs w:val="20"/>
          <w:color w:val="auto"/>
        </w:rPr>
      </w:pPr>
    </w:p>
    <w:p>
      <w:pPr>
        <w:ind w:left="360" w:right="60" w:firstLine="535"/>
        <w:spacing w:after="0" w:line="244" w:lineRule="auto"/>
        <w:rPr>
          <w:sz w:val="20"/>
          <w:szCs w:val="20"/>
          <w:color w:val="auto"/>
        </w:rPr>
      </w:pPr>
      <w:r>
        <w:rPr>
          <w:rFonts w:ascii="Arial" w:cs="Arial" w:eastAsia="Arial" w:hAnsi="Arial"/>
          <w:sz w:val="17"/>
          <w:szCs w:val="17"/>
          <w:color w:val="auto"/>
        </w:rPr>
        <w:t>Under the Hatch-Waxman Amendments, the FDA may not approve an ANDA until any applicable period of non-patent exclusivity for the RLD has expired. The FDCA provides a period of five years of non-patent data exclusivity for a new drug containing a new chemical entity. For the purposes of this provision, a new chemical entity, or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may not be filed with the FDA until the expiration of five years unless the submission is accompanied by a Paragraph IV certification, in which case the applicant may submit its application four years following the original product approval.</w:t>
      </w:r>
    </w:p>
    <w:p>
      <w:pPr>
        <w:spacing w:after="0" w:line="195" w:lineRule="exact"/>
        <w:rPr>
          <w:sz w:val="20"/>
          <w:szCs w:val="20"/>
          <w:color w:val="auto"/>
        </w:rPr>
      </w:pPr>
    </w:p>
    <w:p>
      <w:pPr>
        <w:ind w:left="360" w:right="280" w:firstLine="535"/>
        <w:spacing w:after="0" w:line="244" w:lineRule="auto"/>
        <w:rPr>
          <w:sz w:val="20"/>
          <w:szCs w:val="20"/>
          <w:color w:val="auto"/>
        </w:rPr>
      </w:pPr>
      <w:r>
        <w:rPr>
          <w:rFonts w:ascii="Arial" w:cs="Arial" w:eastAsia="Arial" w:hAnsi="Arial"/>
          <w:sz w:val="17"/>
          <w:szCs w:val="17"/>
          <w:color w:val="auto"/>
        </w:rPr>
        <w:t>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 Three-year exclusivity would be available for a drug product that contains a previously approved active moiety, provided the statutory requirement for a new clinical investigation is satisfied. Unlike five-year NCE exclusivity, an award of three-year exclusivity does not block the FDA from accepting ANDAs seeking approval for generic versions of the drug as of the date of approval of the original drug product. The FDA typically makes decisions about awards of data exclusivity shortly before a product is approved.</w:t>
      </w:r>
    </w:p>
    <w:p>
      <w:pPr>
        <w:spacing w:after="0" w:line="193"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FDA must establish a priority review track for certain generic drugs, requiring the FDA to review a drug application within eight</w:t>
      </w:r>
    </w:p>
    <w:p>
      <w:pPr>
        <w:spacing w:after="0" w:line="1" w:lineRule="exact"/>
        <w:rPr>
          <w:sz w:val="20"/>
          <w:szCs w:val="20"/>
          <w:color w:val="auto"/>
        </w:rPr>
      </w:pPr>
    </w:p>
    <w:p>
      <w:pPr>
        <w:ind w:left="360" w:right="220" w:firstLine="5"/>
        <w:spacing w:after="0" w:line="247" w:lineRule="auto"/>
        <w:tabs>
          <w:tab w:leader="none" w:pos="622" w:val="left"/>
        </w:tabs>
        <w:numPr>
          <w:ilvl w:val="0"/>
          <w:numId w:val="70"/>
        </w:numPr>
        <w:rPr>
          <w:rFonts w:ascii="Arial" w:cs="Arial" w:eastAsia="Arial" w:hAnsi="Arial"/>
          <w:sz w:val="17"/>
          <w:szCs w:val="17"/>
          <w:color w:val="auto"/>
        </w:rPr>
      </w:pPr>
      <w:r>
        <w:rPr>
          <w:rFonts w:ascii="Arial" w:cs="Arial" w:eastAsia="Arial" w:hAnsi="Arial"/>
          <w:sz w:val="17"/>
          <w:szCs w:val="17"/>
          <w:color w:val="auto"/>
        </w:rPr>
        <w:t>months for a drug that has three (3) or fewer approved drugs listed in the Orange Book and is no longer protected by any patent or regulatory exclusivities, or is on the FDA’s drug shortage list. The FDA is also authorized to expedite review of “competitor generic therapies” or drugs with inadequate generic competition, including holding meetings with or providing advice to the drug sponsor prior to submission of the application.</w:t>
      </w:r>
    </w:p>
    <w:p>
      <w:pPr>
        <w:spacing w:after="0" w:line="276"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Hatch-Waxman Patent Certification and the 30-Month Stay</w:t>
      </w:r>
    </w:p>
    <w:p>
      <w:pPr>
        <w:spacing w:after="0" w:line="126" w:lineRule="exact"/>
        <w:rPr>
          <w:sz w:val="20"/>
          <w:szCs w:val="20"/>
          <w:color w:val="auto"/>
        </w:rPr>
      </w:pPr>
    </w:p>
    <w:p>
      <w:pPr>
        <w:ind w:left="360" w:firstLine="535"/>
        <w:spacing w:after="0" w:line="244" w:lineRule="auto"/>
        <w:rPr>
          <w:sz w:val="20"/>
          <w:szCs w:val="20"/>
          <w:color w:val="auto"/>
        </w:rPr>
      </w:pPr>
      <w:r>
        <w:rPr>
          <w:rFonts w:ascii="Arial" w:cs="Arial" w:eastAsia="Arial" w:hAnsi="Arial"/>
          <w:sz w:val="17"/>
          <w:szCs w:val="17"/>
          <w:color w:val="auto"/>
        </w:rPr>
        <w:t>Upon approval of an NDA or a supplement thereto, NDA sponsors are required to list with the FDA each patent with claims that cover the applicant’s product or an approved method of using the product. Each of the patents listed by the NDA sponsor is published in the Orange Book. When an ANDA applicant files its application with the FDA, the applicant is required to certify to the FDA concerning any patents listed for the reference product in the Orange Book, except for patents covering methods of use for which the ANDA applicant is not seeking approval. To the extent that the Section 505(b)(2) applicant is relying on studies conducted for an already approved product, the applicant is required to certify to the FDA concerning any patents listed for the approved product in the Orange Book to the same extent that an ANDA applicant would.</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7"/>
          <w:szCs w:val="17"/>
          <w:color w:val="auto"/>
        </w:rPr>
        <w:t>Specifically, the applicant must certify with respect to each patent that:</w:t>
      </w:r>
    </w:p>
    <w:p>
      <w:pPr>
        <w:spacing w:after="0" w:line="119" w:lineRule="exact"/>
        <w:rPr>
          <w:sz w:val="20"/>
          <w:szCs w:val="20"/>
          <w:color w:val="auto"/>
        </w:rPr>
      </w:pPr>
    </w:p>
    <w:p>
      <w:pPr>
        <w:ind w:left="880"/>
        <w:spacing w:after="0"/>
        <w:tabs>
          <w:tab w:leader="none" w:pos="1080" w:val="left"/>
        </w:tabs>
        <w:rPr>
          <w:sz w:val="20"/>
          <w:szCs w:val="20"/>
          <w:color w:val="auto"/>
        </w:rPr>
      </w:pPr>
      <w:r>
        <w:rPr>
          <w:rFonts w:ascii="Arial" w:cs="Arial" w:eastAsia="Arial" w:hAnsi="Arial"/>
          <w:sz w:val="17"/>
          <w:szCs w:val="17"/>
          <w:color w:val="auto"/>
        </w:rPr>
        <w:t>•</w:t>
        <w:tab/>
        <w:t>the required patent information has not been filed;</w:t>
      </w:r>
    </w:p>
    <w:p>
      <w:pPr>
        <w:spacing w:after="0" w:line="145"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130</w:t>
      </w:r>
    </w:p>
    <w:p>
      <w:pPr>
        <w:sectPr>
          <w:pgSz w:w="11900" w:h="16838" w:orient="portrait"/>
          <w:cols w:equalWidth="0" w:num="1">
            <w:col w:w="11060"/>
          </w:cols>
          <w:pgMar w:left="240" w:top="449" w:right="599" w:bottom="1440" w:gutter="0" w:footer="0" w:header="0"/>
        </w:sectPr>
      </w:pPr>
    </w:p>
    <w:bookmarkStart w:id="132" w:name="page133"/>
    <w:bookmarkEnd w:id="1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1100" w:hanging="210"/>
        <w:spacing w:after="0"/>
        <w:tabs>
          <w:tab w:leader="none" w:pos="11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listed patent has expired;</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listed patent has not expired, but will expire on a particular date and approval is sought after patent expiration; or</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listed patent is invalid, unenforceable or will not be infringed by the new product.</w:t>
      </w:r>
    </w:p>
    <w:p>
      <w:pPr>
        <w:spacing w:after="0" w:line="211" w:lineRule="exact"/>
        <w:rPr>
          <w:sz w:val="20"/>
          <w:szCs w:val="20"/>
          <w:color w:val="auto"/>
        </w:rPr>
      </w:pPr>
    </w:p>
    <w:p>
      <w:pPr>
        <w:jc w:val="both"/>
        <w:ind w:left="360" w:right="80" w:firstLine="535"/>
        <w:spacing w:after="0" w:line="247" w:lineRule="auto"/>
        <w:rPr>
          <w:sz w:val="20"/>
          <w:szCs w:val="20"/>
          <w:color w:val="auto"/>
        </w:rPr>
      </w:pPr>
      <w:r>
        <w:rPr>
          <w:rFonts w:ascii="Arial" w:cs="Arial" w:eastAsia="Arial" w:hAnsi="Arial"/>
          <w:sz w:val="17"/>
          <w:szCs w:val="17"/>
          <w:color w:val="auto"/>
        </w:rPr>
        <w:t>A certification that the new product will not infringe the already approved product’s listed patents or that such patents are invalid or unenforceable is called a Paragraph IV certification. If the applicant does not challenge the listed patents or indicates that it is not seeking approval of a patented method of use, the application will not be approved until all the listed patents claiming the referenced product have expired (other than method of use patents involving indications for which the applicant is not seeking approval).</w:t>
      </w:r>
    </w:p>
    <w:p>
      <w:pPr>
        <w:spacing w:after="0" w:line="192" w:lineRule="exact"/>
        <w:rPr>
          <w:sz w:val="20"/>
          <w:szCs w:val="20"/>
          <w:color w:val="auto"/>
        </w:rPr>
      </w:pPr>
    </w:p>
    <w:p>
      <w:pPr>
        <w:ind w:left="360" w:right="20" w:firstLine="535"/>
        <w:spacing w:after="0" w:line="245" w:lineRule="auto"/>
        <w:rPr>
          <w:sz w:val="20"/>
          <w:szCs w:val="20"/>
          <w:color w:val="auto"/>
        </w:rPr>
      </w:pPr>
      <w:r>
        <w:rPr>
          <w:rFonts w:ascii="Arial" w:cs="Arial" w:eastAsia="Arial" w:hAnsi="Arial"/>
          <w:sz w:val="17"/>
          <w:szCs w:val="17"/>
          <w:color w:val="auto"/>
        </w:rPr>
        <w:t>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until the earlier of 30 months after the receipt of the Paragraph IV notice, expiration of the patent, or a decision in the infringement case that is favorable to the ANDA applicant.</w:t>
      </w:r>
    </w:p>
    <w:p>
      <w:pPr>
        <w:spacing w:after="0" w:line="192" w:lineRule="exact"/>
        <w:rPr>
          <w:sz w:val="20"/>
          <w:szCs w:val="20"/>
          <w:color w:val="auto"/>
        </w:rPr>
      </w:pPr>
    </w:p>
    <w:p>
      <w:pPr>
        <w:ind w:left="360" w:firstLine="535"/>
        <w:spacing w:after="0" w:line="245" w:lineRule="auto"/>
        <w:rPr>
          <w:sz w:val="20"/>
          <w:szCs w:val="20"/>
          <w:color w:val="auto"/>
        </w:rPr>
      </w:pPr>
      <w:r>
        <w:rPr>
          <w:rFonts w:ascii="Arial" w:cs="Arial" w:eastAsia="Arial" w:hAnsi="Arial"/>
          <w:sz w:val="17"/>
          <w:szCs w:val="17"/>
          <w:color w:val="auto"/>
        </w:rPr>
        <w:t>To the extent that the Section 505(b)(2) applicant is relying on studies conducted for an already approved product, the applicant is required to certify to the FDA concerning any patents listed for the approved product in the Orange Book to the same extent that an ANDA applicant would. As a result, approval of a Section 505(b)(2) NDA can be stalled until all the listed patents claiming the referenced product have expired, until any non-patent exclusivity, such as exclusivity for obtaining approval of a new chemical entity, listed in the Orange Book for the referenced product has expired, and, in the case of a Paragraph IV certification and subsequent patent infringement suit, until the earlier of 30 months, settlement of the lawsuit or a decision in the infringement case that is favorable to the Section 505(b)(2) applicant.</w:t>
      </w:r>
    </w:p>
    <w:p>
      <w:pPr>
        <w:spacing w:after="0" w:line="277"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Pediatric Studies and Exclusivity</w:t>
      </w:r>
    </w:p>
    <w:p>
      <w:pPr>
        <w:spacing w:after="0" w:line="126" w:lineRule="exact"/>
        <w:rPr>
          <w:sz w:val="20"/>
          <w:szCs w:val="20"/>
          <w:color w:val="auto"/>
        </w:rPr>
      </w:pPr>
    </w:p>
    <w:p>
      <w:pPr>
        <w:ind w:left="360" w:right="20" w:firstLine="535"/>
        <w:spacing w:after="0" w:line="244" w:lineRule="auto"/>
        <w:rPr>
          <w:sz w:val="20"/>
          <w:szCs w:val="20"/>
          <w:color w:val="auto"/>
        </w:rPr>
      </w:pPr>
      <w:r>
        <w:rPr>
          <w:rFonts w:ascii="Arial" w:cs="Arial" w:eastAsia="Arial" w:hAnsi="Arial"/>
          <w:sz w:val="17"/>
          <w:szCs w:val="17"/>
          <w:color w:val="auto"/>
        </w:rPr>
        <w:t>Under the Pediatric Research Equity Act of 2003, an NDA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w:t>
      </w:r>
    </w:p>
    <w:p>
      <w:pPr>
        <w:spacing w:after="0" w:line="195" w:lineRule="exact"/>
        <w:rPr>
          <w:sz w:val="20"/>
          <w:szCs w:val="20"/>
          <w:color w:val="auto"/>
        </w:rPr>
      </w:pPr>
    </w:p>
    <w:p>
      <w:pPr>
        <w:ind w:left="360" w:right="20" w:firstLine="535"/>
        <w:spacing w:after="0" w:line="246" w:lineRule="auto"/>
        <w:rPr>
          <w:sz w:val="20"/>
          <w:szCs w:val="20"/>
          <w:color w:val="auto"/>
        </w:rPr>
      </w:pPr>
      <w:r>
        <w:rPr>
          <w:rFonts w:ascii="Arial" w:cs="Arial" w:eastAsia="Arial" w:hAnsi="Arial"/>
          <w:sz w:val="17"/>
          <w:szCs w:val="17"/>
          <w:color w:val="auto"/>
        </w:rPr>
        <w:t>For drugs intended to treat a serious or life-threatening disease or condition, the FDA must, upon the request of an applicant, meet to discuss preparation of the initial pediatric study plan or to discuss deferral or waiver of pediatric assessments. In addition, the FDA will meet early in the development process to discuss pediatric study plans with sponsors and the FDA must meet with sponsors by no later than the end-of-phase 1 meeting for serious or life-threatening diseases and by no later than ninety (90) days after the FDA’s receipt of the study plan.</w:t>
      </w:r>
    </w:p>
    <w:p>
      <w:pPr>
        <w:spacing w:after="0" w:line="392" w:lineRule="exact"/>
        <w:rPr>
          <w:sz w:val="20"/>
          <w:szCs w:val="20"/>
          <w:color w:val="auto"/>
        </w:rPr>
      </w:pPr>
    </w:p>
    <w:p>
      <w:pPr>
        <w:ind w:left="360" w:right="20" w:firstLine="535"/>
        <w:spacing w:after="0" w:line="259" w:lineRule="auto"/>
        <w:rPr>
          <w:sz w:val="20"/>
          <w:szCs w:val="20"/>
          <w:color w:val="auto"/>
        </w:rPr>
      </w:pPr>
      <w:r>
        <w:rPr>
          <w:rFonts w:ascii="Arial" w:cs="Arial" w:eastAsia="Arial" w:hAnsi="Arial"/>
          <w:sz w:val="17"/>
          <w:szCs w:val="17"/>
          <w:color w:val="auto"/>
        </w:rPr>
        <w:t>The FDA may, on its own initiative or at the request of the applicant, grant deferrals for submission of some or all pediatric data until after approval of the product for use in adults, or full or</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131</w:t>
      </w:r>
    </w:p>
    <w:p>
      <w:pPr>
        <w:sectPr>
          <w:pgSz w:w="11900" w:h="16838" w:orient="portrait"/>
          <w:cols w:equalWidth="0" w:num="1">
            <w:col w:w="11060"/>
          </w:cols>
          <w:pgMar w:left="240" w:top="449" w:right="599" w:bottom="1440" w:gutter="0" w:footer="0" w:header="0"/>
        </w:sectPr>
      </w:pPr>
    </w:p>
    <w:bookmarkStart w:id="133" w:name="page134"/>
    <w:bookmarkEnd w:id="1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40"/>
        <w:spacing w:after="0" w:line="250" w:lineRule="auto"/>
        <w:rPr>
          <w:sz w:val="20"/>
          <w:szCs w:val="20"/>
          <w:color w:val="auto"/>
        </w:rPr>
      </w:pPr>
      <w:r>
        <w:rPr>
          <w:rFonts w:ascii="Arial" w:cs="Arial" w:eastAsia="Arial" w:hAnsi="Arial"/>
          <w:sz w:val="17"/>
          <w:szCs w:val="17"/>
          <w:color w:val="auto"/>
        </w:rPr>
        <w:t>partial waivers from the pediatric data requirements. Additional requirements and procedures relating to deferral requests and requests for extension of deferrals are contained in the Food and Drug Administration Safety and Innovation Act, or FDASIA. Unless otherwise required by regulation, the pediatric data requirements do not apply to products with orphan designation.</w:t>
      </w:r>
    </w:p>
    <w:p>
      <w:pPr>
        <w:spacing w:after="0" w:line="189" w:lineRule="exact"/>
        <w:rPr>
          <w:sz w:val="20"/>
          <w:szCs w:val="20"/>
          <w:color w:val="auto"/>
        </w:rPr>
      </w:pPr>
    </w:p>
    <w:p>
      <w:pPr>
        <w:ind w:left="360" w:right="20" w:firstLine="535"/>
        <w:spacing w:after="0" w:line="245" w:lineRule="auto"/>
        <w:rPr>
          <w:sz w:val="20"/>
          <w:szCs w:val="20"/>
          <w:color w:val="auto"/>
        </w:rPr>
      </w:pPr>
      <w:r>
        <w:rPr>
          <w:rFonts w:ascii="Arial" w:cs="Arial" w:eastAsia="Arial" w:hAnsi="Arial"/>
          <w:sz w:val="17"/>
          <w:szCs w:val="17"/>
          <w:color w:val="auto"/>
        </w:rPr>
        <w:t>The FDA Reauthorization Act of 2017 established new requirements to govern certain molecularly targeted cancer indications. Any company that submits an NDA three years after the date of enactment of that statute must submit pediatric assessments with the NDA if the drug is intended for the treatment of an adult cancer and is directed at a molecular target that FDA determines to be substantially relevant to the growth or progression of a pediatric cancer. The investigation must be designed to yield clinically meaningful pediatric study data regarding the dosing, safety and preliminary efficacy to inform pediatric labeling for the product.</w:t>
      </w:r>
    </w:p>
    <w:p>
      <w:pPr>
        <w:spacing w:after="0" w:line="195" w:lineRule="exact"/>
        <w:rPr>
          <w:sz w:val="20"/>
          <w:szCs w:val="20"/>
          <w:color w:val="auto"/>
        </w:rPr>
      </w:pPr>
    </w:p>
    <w:p>
      <w:pPr>
        <w:ind w:left="360" w:right="80" w:firstLine="535"/>
        <w:spacing w:after="0" w:line="244" w:lineRule="auto"/>
        <w:rPr>
          <w:sz w:val="20"/>
          <w:szCs w:val="20"/>
          <w:color w:val="auto"/>
        </w:rPr>
      </w:pPr>
      <w:r>
        <w:rPr>
          <w:rFonts w:ascii="Arial" w:cs="Arial" w:eastAsia="Arial" w:hAnsi="Arial"/>
          <w:sz w:val="17"/>
          <w:szCs w:val="17"/>
          <w:color w:val="auto"/>
        </w:rPr>
        <w:t>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w:t>
      </w:r>
    </w:p>
    <w:p>
      <w:pPr>
        <w:spacing w:after="0" w:line="278"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Orphan Drug Designation and Exclusivity</w:t>
      </w:r>
    </w:p>
    <w:p>
      <w:pPr>
        <w:spacing w:after="0" w:line="126" w:lineRule="exact"/>
        <w:rPr>
          <w:sz w:val="20"/>
          <w:szCs w:val="20"/>
          <w:color w:val="auto"/>
        </w:rPr>
      </w:pPr>
    </w:p>
    <w:p>
      <w:pPr>
        <w:ind w:left="360" w:right="200" w:firstLine="535"/>
        <w:spacing w:after="0" w:line="244" w:lineRule="auto"/>
        <w:rPr>
          <w:sz w:val="20"/>
          <w:szCs w:val="20"/>
          <w:color w:val="auto"/>
        </w:rPr>
      </w:pPr>
      <w:r>
        <w:rPr>
          <w:rFonts w:ascii="Arial" w:cs="Arial" w:eastAsia="Arial" w:hAnsi="Arial"/>
          <w:sz w:val="17"/>
          <w:szCs w:val="17"/>
          <w:color w:val="auto"/>
        </w:rPr>
        <w:t>Under the Orphan Drug Act, the FDA may designate a drug product as an “orphan drug” if it is intended to treat a rare disease or condition, generally meaning that it affects fewer than 200,000 individuals in the United States, or more in cases in which there is no reasonable expectation that the cost of developing and making a product available in the United States for treatment of the disease or condition will be recovered from sales of the product. A company must seek orphan drug designation before submitting an NDA for the candidate product. If the request is granted, the FDA will disclose the identity of the therapeutic agent and its potential use. Orphan drug designation does not shorten the PDUFA goal dates for the regulatory review and approval process, although it does convey certain advantages such as tax benefits and exemption from the PDUFA application fee.</w:t>
      </w:r>
    </w:p>
    <w:p>
      <w:pPr>
        <w:spacing w:after="0" w:line="195" w:lineRule="exact"/>
        <w:rPr>
          <w:sz w:val="20"/>
          <w:szCs w:val="20"/>
          <w:color w:val="auto"/>
        </w:rPr>
      </w:pPr>
    </w:p>
    <w:p>
      <w:pPr>
        <w:ind w:left="360" w:firstLine="535"/>
        <w:spacing w:after="0" w:line="244" w:lineRule="auto"/>
        <w:rPr>
          <w:sz w:val="20"/>
          <w:szCs w:val="20"/>
          <w:color w:val="auto"/>
        </w:rPr>
      </w:pPr>
      <w:r>
        <w:rPr>
          <w:rFonts w:ascii="Arial" w:cs="Arial" w:eastAsia="Arial" w:hAnsi="Arial"/>
          <w:sz w:val="17"/>
          <w:szCs w:val="17"/>
          <w:color w:val="auto"/>
        </w:rPr>
        <w:t>If a product with orphan designation receives the first FDA approval for the disease or condition for which it has such designation or for a select indication or use within the rare disease or condition for which it was designated, the product generally will receive orphan drug exclusivity. Orphan drug exclusivity means that the FDA may not approve another sponsor’s marketing application for the same drug for the same condition for seven years, except in certain limited circumstances. Orphan exclusivity does not block the approval of a different product for the same rare disease or condition, nor does it block the approval of the same product for different conditions. If a drug designated as an orphan drug ultimately receives marketing approval for an indication broader than what was designated in its orphan drug application, it may not be entitled to exclusivity.</w:t>
      </w:r>
    </w:p>
    <w:p>
      <w:pPr>
        <w:spacing w:after="0" w:line="195" w:lineRule="exact"/>
        <w:rPr>
          <w:sz w:val="20"/>
          <w:szCs w:val="20"/>
          <w:color w:val="auto"/>
        </w:rPr>
      </w:pPr>
    </w:p>
    <w:p>
      <w:pPr>
        <w:ind w:left="360" w:right="20" w:firstLine="535"/>
        <w:spacing w:after="0" w:line="247" w:lineRule="auto"/>
        <w:rPr>
          <w:sz w:val="20"/>
          <w:szCs w:val="20"/>
          <w:color w:val="auto"/>
        </w:rPr>
      </w:pPr>
      <w:r>
        <w:rPr>
          <w:rFonts w:ascii="Arial" w:cs="Arial" w:eastAsia="Arial" w:hAnsi="Arial"/>
          <w:sz w:val="17"/>
          <w:szCs w:val="17"/>
          <w:color w:val="auto"/>
        </w:rPr>
        <w:t>Orphan drug exclusivity will not bar approval of another product under certain circumstances, including if a subsequent product with the same drug for the same condition is shown to be clinically superior to the approved product on the basis of greater efficacy or safety, or providing a major contribution to patient care, or if the company with orphan drug exclusivity is not able to meet market demand. This is the case despite an earlier court opinion holding that the Orphan Drug Act</w:t>
      </w:r>
    </w:p>
    <w:p>
      <w:pPr>
        <w:spacing w:after="0" w:line="12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132</w:t>
      </w:r>
    </w:p>
    <w:p>
      <w:pPr>
        <w:sectPr>
          <w:pgSz w:w="11900" w:h="16838" w:orient="portrait"/>
          <w:cols w:equalWidth="0" w:num="1">
            <w:col w:w="11060"/>
          </w:cols>
          <w:pgMar w:left="240" w:top="449" w:right="599" w:bottom="1440" w:gutter="0" w:footer="0" w:header="0"/>
        </w:sectPr>
      </w:pPr>
    </w:p>
    <w:bookmarkStart w:id="134" w:name="page135"/>
    <w:bookmarkEnd w:id="1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unambiguously required the FDA to recognize orphan exclusivity regardless of a showing of clinical superiority.</w:t>
      </w:r>
    </w:p>
    <w:p>
      <w:pPr>
        <w:spacing w:after="0" w:line="296"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Patent Term Restoration and Extension</w:t>
      </w:r>
    </w:p>
    <w:p>
      <w:pPr>
        <w:spacing w:after="0" w:line="126" w:lineRule="exact"/>
        <w:rPr>
          <w:sz w:val="20"/>
          <w:szCs w:val="20"/>
          <w:color w:val="auto"/>
        </w:rPr>
      </w:pPr>
    </w:p>
    <w:p>
      <w:pPr>
        <w:ind w:left="360" w:right="40" w:firstLine="535"/>
        <w:spacing w:after="0" w:line="243" w:lineRule="auto"/>
        <w:rPr>
          <w:sz w:val="20"/>
          <w:szCs w:val="20"/>
          <w:color w:val="auto"/>
        </w:rPr>
      </w:pPr>
      <w:r>
        <w:rPr>
          <w:rFonts w:ascii="Arial" w:cs="Arial" w:eastAsia="Arial" w:hAnsi="Arial"/>
          <w:sz w:val="17"/>
          <w:szCs w:val="17"/>
          <w:color w:val="auto"/>
        </w:rPr>
        <w:t>A patent claiming a new drug product may be eligible for a limited patent term extension under the Hatch-Waxman Act, which permits a patent restoration of up to five years for patent term lost during product development and the FDA regulatory review. The restoration period granted on a patent covering a product is typically one-half the time between the effective date of a clinical investigation involving human beings is begun and the submission date of an application, plus the time between the submission date of an application and the ultimate approval date. Patent term restoration cannot be used to extend the remaining term of a patent past a total of 14 years from the product’s approval date. Only one patent applicable to an approved product is eligible for the extension, and the application for the extension must be submitted prior to the expiration of the patent in question. A patent that covers multiple products for which approval is sought can only be extended in connection with one of the approvals. The United States Patent and Trademark Office reviews and approves the application for any patent term extension or restoration in consultation with the FDA.</w:t>
      </w:r>
    </w:p>
    <w:p>
      <w:pPr>
        <w:spacing w:after="0" w:line="283"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The 21st Century Cures Act</w:t>
      </w:r>
    </w:p>
    <w:p>
      <w:pPr>
        <w:spacing w:after="0" w:line="126" w:lineRule="exact"/>
        <w:rPr>
          <w:sz w:val="20"/>
          <w:szCs w:val="20"/>
          <w:color w:val="auto"/>
        </w:rPr>
      </w:pPr>
    </w:p>
    <w:p>
      <w:pPr>
        <w:ind w:left="360" w:firstLine="535"/>
        <w:spacing w:after="0" w:line="244" w:lineRule="auto"/>
        <w:rPr>
          <w:sz w:val="20"/>
          <w:szCs w:val="20"/>
          <w:color w:val="auto"/>
        </w:rPr>
      </w:pPr>
      <w:r>
        <w:rPr>
          <w:rFonts w:ascii="Arial" w:cs="Arial" w:eastAsia="Arial" w:hAnsi="Arial"/>
          <w:sz w:val="17"/>
          <w:szCs w:val="17"/>
          <w:color w:val="auto"/>
        </w:rPr>
        <w:t>On December 13, 2016, President Obama signed the Cures Act into law. The Cures Act is designed to modernize and personalize healthcare, spur innovation and research, and streamline the discovery and development of new therapies through increased federal funding of particular programs. It authorizes increased funding for the FDA to spend on innovation projects. The new law also amends the Public Health Service Act, or PHSA, to reauthorize and expand funding for the NIH. The Cures Act establishes the NIH Innovation Fund to pay for the cost of development and implementation of a strategic plan, early-stage investigators and research. It also charges NIH with leading and coordinating expanded pediatric research. Further, the Cures Act directs the Centers for Disease Control and Prevention to expand surveillance of neurological diseases.</w:t>
      </w:r>
    </w:p>
    <w:p>
      <w:pPr>
        <w:spacing w:after="0" w:line="195" w:lineRule="exact"/>
        <w:rPr>
          <w:sz w:val="20"/>
          <w:szCs w:val="20"/>
          <w:color w:val="auto"/>
        </w:rPr>
      </w:pPr>
    </w:p>
    <w:p>
      <w:pPr>
        <w:ind w:left="360" w:firstLine="535"/>
        <w:spacing w:after="0" w:line="244" w:lineRule="auto"/>
        <w:rPr>
          <w:sz w:val="20"/>
          <w:szCs w:val="20"/>
          <w:color w:val="auto"/>
        </w:rPr>
      </w:pPr>
      <w:r>
        <w:rPr>
          <w:rFonts w:ascii="Arial" w:cs="Arial" w:eastAsia="Arial" w:hAnsi="Arial"/>
          <w:sz w:val="17"/>
          <w:szCs w:val="17"/>
          <w:color w:val="auto"/>
        </w:rPr>
        <w:t>With amendments to the FDCA and the PHSA, Title III of the Cures Act seeks to accelerate the discovery, development, and delivery of new medicines and medical technologies. To that end, and among other provisions, the Cures Act reauthorizes the existing priority review voucher program for certain drugs intended to treat rare pediatric diseases until 2020; creates a new priority review voucher program for drug applications determined to be material national security threat medical countermeasure applications; revises the FDCA to streamline review of combination product applications; requires FDA to evaluate the potential use of “real world evidence” to help support approval of new indications for approved drugs; provides a new “limited population” approval pathway for antibiotic and antifungal drugs intended to treat serious or life-threatening infections; and authorizes FDA to designate a drug as a “regenerative advanced therapy,” thereby making it eligible for certain expedited review and approval designations.</w:t>
      </w:r>
    </w:p>
    <w:p>
      <w:pPr>
        <w:spacing w:after="0" w:line="278"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Health Care Law and Regulation</w:t>
      </w:r>
    </w:p>
    <w:p>
      <w:pPr>
        <w:spacing w:after="0" w:line="126" w:lineRule="exact"/>
        <w:rPr>
          <w:sz w:val="20"/>
          <w:szCs w:val="20"/>
          <w:color w:val="auto"/>
        </w:rPr>
      </w:pPr>
    </w:p>
    <w:p>
      <w:pPr>
        <w:ind w:left="360" w:right="20" w:firstLine="535"/>
        <w:spacing w:after="0" w:line="245" w:lineRule="auto"/>
        <w:rPr>
          <w:sz w:val="20"/>
          <w:szCs w:val="20"/>
          <w:color w:val="auto"/>
        </w:rPr>
      </w:pPr>
      <w:r>
        <w:rPr>
          <w:rFonts w:ascii="Arial" w:cs="Arial" w:eastAsia="Arial" w:hAnsi="Arial"/>
          <w:sz w:val="17"/>
          <w:szCs w:val="17"/>
          <w:color w:val="auto"/>
        </w:rPr>
        <w:t>Health care providers and third-party payors play a primary role in the recommendation and prescription of drug products that are granted marketing approval. Arrangements with providers, consultants, third-party payors and customers are subject to broadly applicable state and federal fraud and abuse laws and regulations (including anti-kickback and false claims laws), patient privacy laws and regulations, and other health care laws and regulations that may constrain business and/or financial arrangements. Restrictions under applicable federal and state health care laws and regulations, include the following:</w:t>
      </w:r>
    </w:p>
    <w:p>
      <w:pPr>
        <w:spacing w:after="0" w:line="103" w:lineRule="exact"/>
        <w:rPr>
          <w:sz w:val="20"/>
          <w:szCs w:val="20"/>
          <w:color w:val="auto"/>
        </w:rPr>
      </w:pPr>
    </w:p>
    <w:p>
      <w:pPr>
        <w:ind w:left="1100" w:right="720" w:hanging="210"/>
        <w:spacing w:after="0" w:line="259" w:lineRule="auto"/>
        <w:tabs>
          <w:tab w:leader="none" w:pos="11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and entities from knowingly and willfully soliciting, offering, paying, or receiving remuneration, directly or</w:t>
      </w:r>
    </w:p>
    <w:p>
      <w:pPr>
        <w:spacing w:after="0" w:line="116"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133</w:t>
      </w:r>
    </w:p>
    <w:p>
      <w:pPr>
        <w:sectPr>
          <w:pgSz w:w="11900" w:h="16838" w:orient="portrait"/>
          <w:cols w:equalWidth="0" w:num="1">
            <w:col w:w="11020"/>
          </w:cols>
          <w:pgMar w:left="240" w:top="449" w:right="639" w:bottom="1440" w:gutter="0" w:footer="0" w:header="0"/>
        </w:sectPr>
      </w:pPr>
    </w:p>
    <w:bookmarkStart w:id="135" w:name="page136"/>
    <w:bookmarkEnd w:id="1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1120" w:right="80"/>
        <w:spacing w:after="0" w:line="250" w:lineRule="auto"/>
        <w:rPr>
          <w:sz w:val="20"/>
          <w:szCs w:val="20"/>
          <w:color w:val="auto"/>
        </w:rPr>
      </w:pPr>
      <w:r>
        <w:rPr>
          <w:rFonts w:ascii="Arial" w:cs="Arial" w:eastAsia="Arial" w:hAnsi="Arial"/>
          <w:sz w:val="17"/>
          <w:szCs w:val="17"/>
          <w:color w:val="auto"/>
        </w:rPr>
        <w:t>indirectly, in cash or in kind, to induce or reward either the referral of an individual for, or the purchasing, ordering, leasing, arranging for, or recommending the purchasing, ordering, or leasing of, any good or service for which payment may be made, in whole or in part, under a federal health care program such as Medicare and Medicaid;</w:t>
      </w:r>
    </w:p>
    <w:p>
      <w:pPr>
        <w:spacing w:after="0" w:line="97" w:lineRule="exact"/>
        <w:rPr>
          <w:sz w:val="20"/>
          <w:szCs w:val="20"/>
          <w:color w:val="auto"/>
        </w:rPr>
      </w:pPr>
    </w:p>
    <w:p>
      <w:pPr>
        <w:ind w:left="1100" w:right="380" w:hanging="210"/>
        <w:spacing w:after="0" w:line="245" w:lineRule="auto"/>
        <w:tabs>
          <w:tab w:leader="none" w:pos="11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federal civil and criminal false claims laws, including the civil False Claims Act, and Civil Monetary Penalties Law, which prohibit individuals or entities from, among other things, knowingly presenting, or causing to be presented, to the federal government, false or fraudulent claims for payment or knowingly making, using or causing to made or used a false record or statement material to a false or fraudulent claim or to avoid, decrease or conceal an obligation to pay money to the federal government;</w:t>
      </w:r>
    </w:p>
    <w:p>
      <w:pPr>
        <w:spacing w:after="0" w:line="103" w:lineRule="exact"/>
        <w:rPr>
          <w:rFonts w:ascii="Arial" w:cs="Arial" w:eastAsia="Arial" w:hAnsi="Arial"/>
          <w:sz w:val="17"/>
          <w:szCs w:val="17"/>
          <w:color w:val="auto"/>
        </w:rPr>
      </w:pPr>
    </w:p>
    <w:p>
      <w:pPr>
        <w:ind w:left="1100" w:right="120" w:hanging="210"/>
        <w:spacing w:after="0" w:line="250" w:lineRule="auto"/>
        <w:tabs>
          <w:tab w:leader="none" w:pos="11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created additional federal criminal laws that prohibit, among other things, knowingly and willfully executing, or attempting to execute, a scheme to defraud any health care benefit program or making false statements relating to health care matters;</w:t>
      </w:r>
    </w:p>
    <w:p>
      <w:pPr>
        <w:spacing w:after="0" w:line="97" w:lineRule="exact"/>
        <w:rPr>
          <w:rFonts w:ascii="Arial" w:cs="Arial" w:eastAsia="Arial" w:hAnsi="Arial"/>
          <w:sz w:val="17"/>
          <w:szCs w:val="17"/>
          <w:color w:val="auto"/>
        </w:rPr>
      </w:pPr>
    </w:p>
    <w:p>
      <w:pPr>
        <w:ind w:left="1100" w:hanging="210"/>
        <w:spacing w:after="0" w:line="250" w:lineRule="auto"/>
        <w:tabs>
          <w:tab w:leader="none" w:pos="11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as amended by the Health Information Technology for Economic and Clinical Health Act, and the regulations promulgated thereunder, including 45 C.F.R. Parts 160 and 164, imposing rules regarding privacy, security, and data breach notifications;</w:t>
      </w:r>
    </w:p>
    <w:p>
      <w:pPr>
        <w:spacing w:after="0" w:line="97" w:lineRule="exact"/>
        <w:rPr>
          <w:rFonts w:ascii="Arial" w:cs="Arial" w:eastAsia="Arial" w:hAnsi="Arial"/>
          <w:sz w:val="17"/>
          <w:szCs w:val="17"/>
          <w:color w:val="auto"/>
        </w:rPr>
      </w:pPr>
    </w:p>
    <w:p>
      <w:pPr>
        <w:ind w:left="1100" w:right="480" w:hanging="210"/>
        <w:spacing w:after="0" w:line="250" w:lineRule="auto"/>
        <w:tabs>
          <w:tab w:leader="none" w:pos="11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Foreign Corrupt Practices Act, or FCPA, which prohibits companies and their intermediaries from making, or offering or promising to make improper payments to non-U.S. officials for the purpose of obtaining or retaining business or otherwise seeking favorable treatment;</w:t>
      </w:r>
    </w:p>
    <w:p>
      <w:pPr>
        <w:spacing w:after="0" w:line="97" w:lineRule="exact"/>
        <w:rPr>
          <w:rFonts w:ascii="Arial" w:cs="Arial" w:eastAsia="Arial" w:hAnsi="Arial"/>
          <w:sz w:val="17"/>
          <w:szCs w:val="17"/>
          <w:color w:val="auto"/>
        </w:rPr>
      </w:pPr>
    </w:p>
    <w:p>
      <w:pPr>
        <w:ind w:left="1100" w:right="20" w:hanging="210"/>
        <w:spacing w:after="0" w:line="244" w:lineRule="auto"/>
        <w:tabs>
          <w:tab w:leader="none" w:pos="11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federal physician transparency requirements known as the Physician Payments Sunshine Act, under the Patient Protection and Affordable Care Act, as amended by the Health Care Education Reconciliation Act, or the Affordable Care Act (ACA), which requires manufacturers of drugs, medical devices, biological and medical supplies covered by Medicare, Medicaid, or State Children’s Health Insurance Program (CHIP) to report annually to the Centers for Medicare &amp; Medicaid Services, or CMS, within the United States Department of Health and Human Services, information related to payments and other transfers of value made by that entity to physicians and teaching hospitals, as well as ownership and investment interests held by physicians and their immediate family members; and</w:t>
      </w:r>
    </w:p>
    <w:p>
      <w:pPr>
        <w:spacing w:after="0" w:line="103" w:lineRule="exact"/>
        <w:rPr>
          <w:rFonts w:ascii="Arial" w:cs="Arial" w:eastAsia="Arial" w:hAnsi="Arial"/>
          <w:sz w:val="17"/>
          <w:szCs w:val="17"/>
          <w:color w:val="auto"/>
        </w:rPr>
      </w:pPr>
    </w:p>
    <w:p>
      <w:pPr>
        <w:ind w:left="1100" w:right="160" w:hanging="210"/>
        <w:spacing w:after="0" w:line="259" w:lineRule="auto"/>
        <w:tabs>
          <w:tab w:leader="none" w:pos="11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which may apply to health care items or services that are reimbursed by non-government third-party payors, including private insurers.</w:t>
      </w:r>
    </w:p>
    <w:p>
      <w:pPr>
        <w:spacing w:after="0" w:line="181" w:lineRule="exact"/>
        <w:rPr>
          <w:sz w:val="20"/>
          <w:szCs w:val="20"/>
          <w:color w:val="auto"/>
        </w:rPr>
      </w:pPr>
    </w:p>
    <w:p>
      <w:pPr>
        <w:ind w:left="360" w:right="160" w:firstLine="535"/>
        <w:spacing w:after="0" w:line="245" w:lineRule="auto"/>
        <w:rPr>
          <w:sz w:val="20"/>
          <w:szCs w:val="20"/>
          <w:color w:val="auto"/>
        </w:rPr>
      </w:pPr>
      <w:r>
        <w:rPr>
          <w:rFonts w:ascii="Arial" w:cs="Arial" w:eastAsia="Arial" w:hAnsi="Arial"/>
          <w:sz w:val="17"/>
          <w:szCs w:val="17"/>
          <w:color w:val="auto"/>
        </w:rPr>
        <w:t>Further,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 Additionally, some state and local laws require the registration of pharmaceutical sales representatives in the jurisdiction. State and foreign laws also govern the privacy and security of health information in some circumstances, many of which differ from each other in significant ways and often are not preempted by HIPAA, thus complicating compliance efforts.</w:t>
      </w:r>
    </w:p>
    <w:p>
      <w:pPr>
        <w:spacing w:after="0" w:line="277"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Pharmaceutical Insurance Coverage and Health Care Reform</w:t>
      </w:r>
    </w:p>
    <w:p>
      <w:pPr>
        <w:spacing w:after="0" w:line="126" w:lineRule="exact"/>
        <w:rPr>
          <w:sz w:val="20"/>
          <w:szCs w:val="20"/>
          <w:color w:val="auto"/>
        </w:rPr>
      </w:pPr>
    </w:p>
    <w:p>
      <w:pPr>
        <w:ind w:left="360" w:right="500" w:firstLine="535"/>
        <w:spacing w:after="0" w:line="250" w:lineRule="auto"/>
        <w:rPr>
          <w:sz w:val="20"/>
          <w:szCs w:val="20"/>
          <w:color w:val="auto"/>
        </w:rPr>
      </w:pPr>
      <w:r>
        <w:rPr>
          <w:rFonts w:ascii="Arial" w:cs="Arial" w:eastAsia="Arial" w:hAnsi="Arial"/>
          <w:sz w:val="17"/>
          <w:szCs w:val="17"/>
          <w:color w:val="auto"/>
        </w:rPr>
        <w:t>In the United States and markets in other countries, patients who are prescribed treatments for their conditions and providers performing the prescribed services generally rely on third-party payors to reimburse all or part of the associated health care costs. Significant uncertainty exists as to the coverage and reimbursement status of products approved by the FDA and other government</w:t>
      </w:r>
    </w:p>
    <w:p>
      <w:pPr>
        <w:spacing w:after="0" w:line="123"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134</w:t>
      </w:r>
    </w:p>
    <w:p>
      <w:pPr>
        <w:sectPr>
          <w:pgSz w:w="11900" w:h="16838" w:orient="portrait"/>
          <w:cols w:equalWidth="0" w:num="1">
            <w:col w:w="11040"/>
          </w:cols>
          <w:pgMar w:left="240" w:top="450" w:right="619" w:bottom="1440" w:gutter="0" w:footer="0" w:header="0"/>
        </w:sectPr>
      </w:pPr>
    </w:p>
    <w:bookmarkStart w:id="136" w:name="page137"/>
    <w:bookmarkEnd w:id="1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40"/>
        <w:spacing w:after="0" w:line="244" w:lineRule="auto"/>
        <w:rPr>
          <w:sz w:val="20"/>
          <w:szCs w:val="20"/>
          <w:color w:val="auto"/>
        </w:rPr>
      </w:pPr>
      <w:r>
        <w:rPr>
          <w:rFonts w:ascii="Arial" w:cs="Arial" w:eastAsia="Arial" w:hAnsi="Arial"/>
          <w:sz w:val="17"/>
          <w:szCs w:val="17"/>
          <w:color w:val="auto"/>
        </w:rPr>
        <w:t>authorities.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193" w:lineRule="exact"/>
        <w:rPr>
          <w:sz w:val="20"/>
          <w:szCs w:val="20"/>
          <w:color w:val="auto"/>
        </w:rPr>
      </w:pPr>
    </w:p>
    <w:p>
      <w:pPr>
        <w:ind w:left="360" w:right="160" w:firstLine="535"/>
        <w:spacing w:after="0" w:line="244" w:lineRule="auto"/>
        <w:rPr>
          <w:sz w:val="20"/>
          <w:szCs w:val="20"/>
          <w:color w:val="auto"/>
        </w:rPr>
      </w:pPr>
      <w:r>
        <w:rPr>
          <w:rFonts w:ascii="Arial" w:cs="Arial" w:eastAsia="Arial" w:hAnsi="Arial"/>
          <w:sz w:val="17"/>
          <w:szCs w:val="17"/>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product candidates may not be considered medically necessary or cost effective. A decision by a third -party payor not to cover a product could reduce physician utilization once the product is approved and have a material adverse effect on sales, results of operations and financial condition. Additionally, a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193" w:lineRule="exact"/>
        <w:rPr>
          <w:sz w:val="20"/>
          <w:szCs w:val="20"/>
          <w:color w:val="auto"/>
        </w:rPr>
      </w:pPr>
    </w:p>
    <w:p>
      <w:pPr>
        <w:ind w:left="360" w:firstLine="535"/>
        <w:spacing w:after="0" w:line="244" w:lineRule="auto"/>
        <w:rPr>
          <w:sz w:val="20"/>
          <w:szCs w:val="20"/>
          <w:color w:val="auto"/>
        </w:rPr>
      </w:pPr>
      <w:r>
        <w:rPr>
          <w:rFonts w:ascii="Arial" w:cs="Arial" w:eastAsia="Arial" w:hAnsi="Arial"/>
          <w:sz w:val="17"/>
          <w:szCs w:val="17"/>
          <w:color w:val="auto"/>
        </w:rPr>
        <w:t>The containment of health care costs also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spacing w:after="0" w:line="195" w:lineRule="exact"/>
        <w:rPr>
          <w:sz w:val="20"/>
          <w:szCs w:val="20"/>
          <w:color w:val="auto"/>
        </w:rPr>
      </w:pPr>
    </w:p>
    <w:p>
      <w:pPr>
        <w:ind w:left="360" w:right="40" w:firstLine="535"/>
        <w:spacing w:after="0" w:line="250" w:lineRule="auto"/>
        <w:rPr>
          <w:sz w:val="20"/>
          <w:szCs w:val="20"/>
          <w:color w:val="auto"/>
        </w:rPr>
      </w:pPr>
      <w:r>
        <w:rPr>
          <w:rFonts w:ascii="Arial" w:cs="Arial" w:eastAsia="Arial" w:hAnsi="Arial"/>
          <w:sz w:val="17"/>
          <w:szCs w:val="17"/>
          <w:color w:val="auto"/>
        </w:rPr>
        <w:t>There have been a number of federal and state proposals during the last few years regarding the pricing of pharmaceutical and biopharmaceutical products, limiting coverage and reimbursement for drugs and biologics and other medical products, government control and other changes to the health care system in the United States.</w:t>
      </w:r>
    </w:p>
    <w:p>
      <w:pPr>
        <w:spacing w:after="0" w:line="189" w:lineRule="exact"/>
        <w:rPr>
          <w:sz w:val="20"/>
          <w:szCs w:val="20"/>
          <w:color w:val="auto"/>
        </w:rPr>
      </w:pPr>
    </w:p>
    <w:p>
      <w:pPr>
        <w:ind w:left="360" w:right="260" w:firstLine="535"/>
        <w:spacing w:after="0" w:line="250" w:lineRule="auto"/>
        <w:rPr>
          <w:sz w:val="20"/>
          <w:szCs w:val="20"/>
          <w:color w:val="auto"/>
        </w:rPr>
      </w:pPr>
      <w:r>
        <w:rPr>
          <w:rFonts w:ascii="Arial" w:cs="Arial" w:eastAsia="Arial" w:hAnsi="Arial"/>
          <w:sz w:val="17"/>
          <w:szCs w:val="17"/>
          <w:color w:val="auto"/>
        </w:rPr>
        <w:t>In March 2010, the United States Congress enacted the ACA, which, among other things, includes changes to the coverage and payment for drug products under government health care programs. Among the provisions of the ACA of importance to our potential product candidates are:</w:t>
      </w:r>
    </w:p>
    <w:p>
      <w:pPr>
        <w:spacing w:after="0" w:line="97" w:lineRule="exact"/>
        <w:rPr>
          <w:sz w:val="20"/>
          <w:szCs w:val="20"/>
          <w:color w:val="auto"/>
        </w:rPr>
      </w:pPr>
    </w:p>
    <w:p>
      <w:pPr>
        <w:ind w:left="1100" w:right="560" w:hanging="210"/>
        <w:spacing w:after="0" w:line="259" w:lineRule="auto"/>
        <w:tabs>
          <w:tab w:leader="none" w:pos="11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specified branded prescription drugs and biologic agents, apportioned among these entities according to their market share in certain government healthcare programs;</w:t>
      </w:r>
    </w:p>
    <w:p>
      <w:pPr>
        <w:spacing w:after="0" w:line="89" w:lineRule="exact"/>
        <w:rPr>
          <w:rFonts w:ascii="Arial" w:cs="Arial" w:eastAsia="Arial" w:hAnsi="Arial"/>
          <w:sz w:val="17"/>
          <w:szCs w:val="17"/>
          <w:color w:val="auto"/>
        </w:rPr>
      </w:pPr>
    </w:p>
    <w:p>
      <w:pPr>
        <w:ind w:left="1100" w:right="400" w:hanging="210"/>
        <w:spacing w:after="0" w:line="250" w:lineRule="auto"/>
        <w:tabs>
          <w:tab w:leader="none" w:pos="11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97" w:lineRule="exact"/>
        <w:rPr>
          <w:rFonts w:ascii="Arial" w:cs="Arial" w:eastAsia="Arial" w:hAnsi="Arial"/>
          <w:sz w:val="17"/>
          <w:szCs w:val="17"/>
          <w:color w:val="auto"/>
        </w:rPr>
      </w:pPr>
    </w:p>
    <w:p>
      <w:pPr>
        <w:ind w:left="1100" w:right="260" w:hanging="210"/>
        <w:spacing w:after="0" w:line="259" w:lineRule="auto"/>
        <w:tabs>
          <w:tab w:leader="none" w:pos="11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expanded manufacturers’ rebate liability under the Medicaid Drug Rebate Program by increasing the minimum rebate for both branded and generic drugs and revising the definition</w:t>
      </w:r>
    </w:p>
    <w:p>
      <w:pPr>
        <w:spacing w:after="0" w:line="11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135</w:t>
      </w:r>
    </w:p>
    <w:p>
      <w:pPr>
        <w:sectPr>
          <w:pgSz w:w="11900" w:h="16838" w:orient="portrait"/>
          <w:cols w:equalWidth="0" w:num="1">
            <w:col w:w="11060"/>
          </w:cols>
          <w:pgMar w:left="240" w:top="449" w:right="599" w:bottom="1440" w:gutter="0" w:footer="0" w:header="0"/>
        </w:sectPr>
      </w:pPr>
    </w:p>
    <w:bookmarkStart w:id="137" w:name="page138"/>
    <w:bookmarkEnd w:id="1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1120" w:right="400"/>
        <w:spacing w:after="0" w:line="259" w:lineRule="auto"/>
        <w:rPr>
          <w:sz w:val="20"/>
          <w:szCs w:val="20"/>
          <w:color w:val="auto"/>
        </w:rPr>
      </w:pPr>
      <w:r>
        <w:rPr>
          <w:rFonts w:ascii="Arial" w:cs="Arial" w:eastAsia="Arial" w:hAnsi="Arial"/>
          <w:sz w:val="17"/>
          <w:szCs w:val="17"/>
          <w:color w:val="auto"/>
        </w:rPr>
        <w:t>of “average manufacturer price,” or AMP, for calculating and reporting Medicaid drug rebates on outpatient prescription drug prices;</w:t>
      </w:r>
    </w:p>
    <w:p>
      <w:pPr>
        <w:spacing w:after="0" w:line="89" w:lineRule="exact"/>
        <w:rPr>
          <w:sz w:val="20"/>
          <w:szCs w:val="20"/>
          <w:color w:val="auto"/>
        </w:rPr>
      </w:pPr>
    </w:p>
    <w:p>
      <w:pPr>
        <w:ind w:left="1100" w:right="760" w:hanging="210"/>
        <w:spacing w:after="0" w:line="259" w:lineRule="auto"/>
        <w:tabs>
          <w:tab w:leader="none" w:pos="11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addressed a new methodology by which rebates owed by manufacturers under the Medicaid Drug Rebate Program are calculated for drugs that are inhaled, infused, instilled, implanted or injected;</w:t>
      </w:r>
    </w:p>
    <w:p>
      <w:pPr>
        <w:spacing w:after="0" w:line="89" w:lineRule="exact"/>
        <w:rPr>
          <w:rFonts w:ascii="Arial" w:cs="Arial" w:eastAsia="Arial" w:hAnsi="Arial"/>
          <w:sz w:val="17"/>
          <w:szCs w:val="17"/>
          <w:color w:val="auto"/>
        </w:rPr>
      </w:pPr>
    </w:p>
    <w:p>
      <w:pPr>
        <w:ind w:left="1100" w:hanging="210"/>
        <w:spacing w:after="0"/>
        <w:tabs>
          <w:tab w:leader="none" w:pos="11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expanded the types of entities eligible for the 340B drug discount program;</w:t>
      </w:r>
    </w:p>
    <w:p>
      <w:pPr>
        <w:spacing w:after="0" w:line="119" w:lineRule="exact"/>
        <w:rPr>
          <w:rFonts w:ascii="Arial" w:cs="Arial" w:eastAsia="Arial" w:hAnsi="Arial"/>
          <w:sz w:val="17"/>
          <w:szCs w:val="17"/>
          <w:color w:val="auto"/>
        </w:rPr>
      </w:pPr>
    </w:p>
    <w:p>
      <w:pPr>
        <w:ind w:left="1100" w:right="60" w:hanging="210"/>
        <w:spacing w:after="0" w:line="250" w:lineRule="auto"/>
        <w:tabs>
          <w:tab w:leader="none" w:pos="11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established the Medicare Part D coverage gap discount program by requiring manufacturers to provide a 50% (and 70% starting January 1, 2019) point-of-sale-discount off the negotiated price of applicable brand drugs to eligible beneficiaries during their coverage gap period as a condition for the manufacturers’ outpatient drugs to be covered under Medicare Part D; and</w:t>
      </w:r>
    </w:p>
    <w:p>
      <w:pPr>
        <w:spacing w:after="0" w:line="97" w:lineRule="exact"/>
        <w:rPr>
          <w:rFonts w:ascii="Arial" w:cs="Arial" w:eastAsia="Arial" w:hAnsi="Arial"/>
          <w:sz w:val="17"/>
          <w:szCs w:val="17"/>
          <w:color w:val="auto"/>
        </w:rPr>
      </w:pPr>
    </w:p>
    <w:p>
      <w:pPr>
        <w:ind w:left="1100" w:right="800" w:hanging="210"/>
        <w:spacing w:after="0" w:line="259" w:lineRule="auto"/>
        <w:tabs>
          <w:tab w:leader="none" w:pos="11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 new Patient-Centered Outcomes Research Institute to oversee, identify priorities in, and conduct comparative clinical effectiveness research, along with funding for such research.</w:t>
      </w:r>
    </w:p>
    <w:p>
      <w:pPr>
        <w:spacing w:after="0" w:line="181" w:lineRule="exact"/>
        <w:rPr>
          <w:sz w:val="20"/>
          <w:szCs w:val="20"/>
          <w:color w:val="auto"/>
        </w:rPr>
      </w:pPr>
    </w:p>
    <w:p>
      <w:pPr>
        <w:ind w:left="360" w:right="100" w:firstLine="535"/>
        <w:spacing w:after="0" w:line="243" w:lineRule="auto"/>
        <w:rPr>
          <w:sz w:val="20"/>
          <w:szCs w:val="20"/>
          <w:color w:val="auto"/>
        </w:rPr>
      </w:pPr>
      <w:r>
        <w:rPr>
          <w:rFonts w:ascii="Arial" w:cs="Arial" w:eastAsia="Arial" w:hAnsi="Arial"/>
          <w:sz w:val="17"/>
          <w:szCs w:val="17"/>
          <w:color w:val="auto"/>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$1.5 trillion over a ten-year period, was unable to reach required goals, thereby triggering the legislation’s automatic $1.2 trillion reduction to several government programs. This includes aggregate reductions of Medicare payments to providers up to 2% per fiscal year, which went into effect in April 2013 and, due to subsequent legislative amendments, will remain in effect through 2027 unless additional Congressional action is taken. In January 2013, President Obama signed into law the American Taxpayer Relief Act of 2012, which, among other things, further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198" w:lineRule="exact"/>
        <w:rPr>
          <w:sz w:val="20"/>
          <w:szCs w:val="20"/>
          <w:color w:val="auto"/>
        </w:rPr>
      </w:pPr>
    </w:p>
    <w:p>
      <w:pPr>
        <w:ind w:left="360" w:right="60" w:firstLine="535"/>
        <w:spacing w:after="0" w:line="241" w:lineRule="auto"/>
        <w:rPr>
          <w:sz w:val="20"/>
          <w:szCs w:val="20"/>
          <w:color w:val="auto"/>
        </w:rPr>
      </w:pPr>
      <w:r>
        <w:rPr>
          <w:rFonts w:ascii="Arial" w:cs="Arial" w:eastAsia="Arial" w:hAnsi="Arial"/>
          <w:sz w:val="17"/>
          <w:szCs w:val="17"/>
          <w:color w:val="auto"/>
        </w:rPr>
        <w:t>Since enactment of the ACA, there have been numerous legal challenges and Congressional actions to repeal and replace provisions of the law. For example, with enactment of the Tax Cuts and Jobs Act of 2017, which was signed by President Trump on December 22, 2017, Congress repealed the “individual mandate.” The repeal of this provision, which requires most Americans to carry a minimal level of health insurance, will become effective in 2019. According to the Congressional Budget Office, the repeal of the individual mandate will cause 13 million fewer Americans to be insured in 2027 and premiums in insurance markets may rise. Additionally, on January 22, 2018, President Trump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among other things, amends the ACA, effective January 1, 2019, to increase from</w:t>
      </w:r>
    </w:p>
    <w:p>
      <w:pPr>
        <w:spacing w:after="0" w:line="3" w:lineRule="exact"/>
        <w:rPr>
          <w:sz w:val="20"/>
          <w:szCs w:val="20"/>
          <w:color w:val="auto"/>
        </w:rPr>
      </w:pPr>
    </w:p>
    <w:p>
      <w:pPr>
        <w:jc w:val="both"/>
        <w:ind w:left="360" w:right="120"/>
        <w:spacing w:after="0" w:line="250" w:lineRule="auto"/>
        <w:rPr>
          <w:sz w:val="20"/>
          <w:szCs w:val="20"/>
          <w:color w:val="auto"/>
        </w:rPr>
      </w:pPr>
      <w:r>
        <w:rPr>
          <w:rFonts w:ascii="Arial" w:cs="Arial" w:eastAsia="Arial" w:hAnsi="Arial"/>
          <w:sz w:val="17"/>
          <w:szCs w:val="17"/>
          <w:color w:val="auto"/>
        </w:rPr>
        <w:t>50 percent to 70 percent the point-of-sale discount that is owed by pharmaceutical manufacturers who participate in Medicare Part D and to close the coverage gap in most Medicare drug plans, commonly referred to as the “donut hole.” The Congress will likely consider other legislation to replace elements of the ACA during the next Congressional session.</w:t>
      </w:r>
    </w:p>
    <w:p>
      <w:pPr>
        <w:spacing w:after="0" w:line="189" w:lineRule="exact"/>
        <w:rPr>
          <w:sz w:val="20"/>
          <w:szCs w:val="20"/>
          <w:color w:val="auto"/>
        </w:rPr>
      </w:pPr>
    </w:p>
    <w:p>
      <w:pPr>
        <w:ind w:left="360" w:firstLine="535"/>
        <w:spacing w:after="0" w:line="245" w:lineRule="auto"/>
        <w:rPr>
          <w:sz w:val="20"/>
          <w:szCs w:val="20"/>
          <w:color w:val="auto"/>
        </w:rPr>
      </w:pPr>
      <w:r>
        <w:rPr>
          <w:rFonts w:ascii="Arial" w:cs="Arial" w:eastAsia="Arial" w:hAnsi="Arial"/>
          <w:sz w:val="17"/>
          <w:szCs w:val="17"/>
          <w:color w:val="auto"/>
        </w:rPr>
        <w:t>The Trump Administration has also taken executive actions to undermine or delay implementation of the ACA. In January 2017, President Trump signed an Executive Order directing federal agencies with authorities and responsibilities under the ACA to waive, defer, grant exemptions from, or delay the implementation of any provision of the ACA that would impose a fiscal or regulatory burden on, in part, states, individuals, healthcare providers, health insurers, or manufacturers of pharmaceuticals or medical devices. In October 2017, the President signed a second Executive Order allowing for the use of association health plans, short-term health insurance and health reimbursement arrangements,</w:t>
      </w:r>
    </w:p>
    <w:p>
      <w:pPr>
        <w:spacing w:after="0" w:line="12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136</w:t>
      </w:r>
    </w:p>
    <w:p>
      <w:pPr>
        <w:sectPr>
          <w:pgSz w:w="11900" w:h="16838" w:orient="portrait"/>
          <w:cols w:equalWidth="0" w:num="1">
            <w:col w:w="11060"/>
          </w:cols>
          <w:pgMar w:left="240" w:top="450" w:right="599" w:bottom="1440" w:gutter="0" w:footer="0" w:header="0"/>
        </w:sectPr>
      </w:pPr>
    </w:p>
    <w:bookmarkStart w:id="138" w:name="page139"/>
    <w:bookmarkEnd w:id="1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spacing w:after="0" w:line="245" w:lineRule="auto"/>
        <w:rPr>
          <w:sz w:val="20"/>
          <w:szCs w:val="20"/>
          <w:color w:val="auto"/>
        </w:rPr>
      </w:pPr>
      <w:r>
        <w:rPr>
          <w:rFonts w:ascii="Arial" w:cs="Arial" w:eastAsia="Arial" w:hAnsi="Arial"/>
          <w:sz w:val="17"/>
          <w:szCs w:val="17"/>
          <w:color w:val="auto"/>
        </w:rPr>
        <w:t>which may provide fewer health benefits than the plans sold through the ACA exchanges. At the same time, the Administration announced that it will discontinue the payment of cost-sharing reduction, or CSR, payments to insurance companies until Congress approves the appropriation of funds for such CSR payments. The loss of the CSR payments is expected to increase premiums on certain policies issued by qualified health plans under the ACA. A bipartisan bill to appropriate funds for CSR payments was introduced in the Senate, but the future of that bill is uncertain.</w:t>
      </w:r>
    </w:p>
    <w:p>
      <w:pPr>
        <w:spacing w:after="0" w:line="195" w:lineRule="exact"/>
        <w:rPr>
          <w:sz w:val="20"/>
          <w:szCs w:val="20"/>
          <w:color w:val="auto"/>
        </w:rPr>
      </w:pPr>
    </w:p>
    <w:p>
      <w:pPr>
        <w:ind w:left="360" w:firstLine="535"/>
        <w:spacing w:after="0" w:line="242" w:lineRule="auto"/>
        <w:rPr>
          <w:sz w:val="20"/>
          <w:szCs w:val="20"/>
          <w:color w:val="auto"/>
        </w:rPr>
      </w:pPr>
      <w:r>
        <w:rPr>
          <w:rFonts w:ascii="Arial" w:cs="Arial" w:eastAsia="Arial" w:hAnsi="Arial"/>
          <w:sz w:val="17"/>
          <w:szCs w:val="17"/>
          <w:color w:val="auto"/>
        </w:rPr>
        <w:t>Further, there have been several recent U.S. congressional inquiries and proposed and enacted federal and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the Trump administration’s budget proposal for fiscal year 2019 contains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While any proposed measures will require authorization through additional legislation to become effective, Congress and the Trump administration have each indicated that it will continue to seek new legislative and/or administrative measures to control drug costs. 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p>
    <w:p>
      <w:pPr>
        <w:spacing w:after="0" w:line="288"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Review and Approval of Medicinal Products in the European Union</w:t>
      </w:r>
    </w:p>
    <w:p>
      <w:pPr>
        <w:spacing w:after="0" w:line="126" w:lineRule="exact"/>
        <w:rPr>
          <w:sz w:val="20"/>
          <w:szCs w:val="20"/>
          <w:color w:val="auto"/>
        </w:rPr>
      </w:pPr>
    </w:p>
    <w:p>
      <w:pPr>
        <w:ind w:left="360" w:right="20" w:firstLine="535"/>
        <w:spacing w:after="0" w:line="242" w:lineRule="auto"/>
        <w:rPr>
          <w:sz w:val="20"/>
          <w:szCs w:val="20"/>
          <w:color w:val="auto"/>
        </w:rPr>
      </w:pPr>
      <w:r>
        <w:rPr>
          <w:rFonts w:ascii="Arial" w:cs="Arial" w:eastAsia="Arial" w:hAnsi="Arial"/>
          <w:sz w:val="17"/>
          <w:szCs w:val="17"/>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non-U.S. regulatory authorities before it can commence clinical trials or marketing of the product in those countries or jurisdictions. The approval process ultimately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 Specifically, however, the process governing approval of medicinal products in the European Union, or EU, generally follows the same lines as in the United States. It entails satisfactory completion of preclinical studies and adequate and well-controlled clinical trials to establish the safety and efficacy of the product for each proposed indication. It also requires the submission to the relevant competent authorities of a marketing authorization application, or MAA, and granting of a marketing authorization by these authorities before the product can be marketed and sold in the EU.</w:t>
      </w:r>
    </w:p>
    <w:p>
      <w:pPr>
        <w:spacing w:after="0" w:line="289"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Clinical Trial Approval</w:t>
      </w:r>
    </w:p>
    <w:p>
      <w:pPr>
        <w:spacing w:after="0" w:line="126" w:lineRule="exact"/>
        <w:rPr>
          <w:sz w:val="20"/>
          <w:szCs w:val="20"/>
          <w:color w:val="auto"/>
        </w:rPr>
      </w:pPr>
    </w:p>
    <w:p>
      <w:pPr>
        <w:ind w:left="360" w:right="60" w:firstLine="535"/>
        <w:spacing w:after="0" w:line="259" w:lineRule="auto"/>
        <w:rPr>
          <w:sz w:val="20"/>
          <w:szCs w:val="20"/>
          <w:color w:val="auto"/>
        </w:rPr>
      </w:pPr>
      <w:r>
        <w:rPr>
          <w:rFonts w:ascii="Arial" w:cs="Arial" w:eastAsia="Arial" w:hAnsi="Arial"/>
          <w:sz w:val="17"/>
          <w:szCs w:val="17"/>
          <w:color w:val="auto"/>
        </w:rPr>
        <w:t>The Clinical Trials Directive 2001/20/EC, the Directive 2005/28/EC on GCP and the related national implementing provisions of the individual member states of the European Union, or EU</w:t>
      </w:r>
    </w:p>
    <w:p>
      <w:pPr>
        <w:spacing w:after="0" w:line="11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137</w:t>
      </w:r>
    </w:p>
    <w:p>
      <w:pPr>
        <w:sectPr>
          <w:pgSz w:w="11900" w:h="16838" w:orient="portrait"/>
          <w:cols w:equalWidth="0" w:num="1">
            <w:col w:w="11040"/>
          </w:cols>
          <w:pgMar w:left="240" w:top="449" w:right="619" w:bottom="1440" w:gutter="0" w:footer="0" w:header="0"/>
        </w:sectPr>
      </w:pPr>
    </w:p>
    <w:bookmarkStart w:id="139" w:name="page140"/>
    <w:bookmarkEnd w:id="1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160"/>
        <w:spacing w:after="0" w:line="245" w:lineRule="auto"/>
        <w:rPr>
          <w:sz w:val="20"/>
          <w:szCs w:val="20"/>
          <w:color w:val="auto"/>
        </w:rPr>
      </w:pPr>
      <w:r>
        <w:rPr>
          <w:rFonts w:ascii="Arial" w:cs="Arial" w:eastAsia="Arial" w:hAnsi="Arial"/>
          <w:sz w:val="17"/>
          <w:szCs w:val="17"/>
          <w:color w:val="auto"/>
        </w:rPr>
        <w:t>Member States, govern the system for the approval of clinical trials in the EU. Under this system, an applicant must obtain prior approval from the competent national authority of the EU Member States in which the clinical trial is to be conducted. Furthermore, the applicant may only start a clinical trial at a specific study site after the competent ethics committee has issued a favorable opinion. The clinical trial application must be accompanied by, among other documents, an investigational medicinal product dossier (the Common Technical Document) with supporting information prescribed by Directive 2001/20/EC, Directive 2005/28/EC, where relevant the implementing national provisions of the individual EU Member States and further detailed in applicable guidance documents.</w:t>
      </w:r>
    </w:p>
    <w:p>
      <w:pPr>
        <w:spacing w:after="0" w:line="192" w:lineRule="exact"/>
        <w:rPr>
          <w:sz w:val="20"/>
          <w:szCs w:val="20"/>
          <w:color w:val="auto"/>
        </w:rPr>
      </w:pPr>
    </w:p>
    <w:p>
      <w:pPr>
        <w:ind w:left="360" w:firstLine="535"/>
        <w:spacing w:after="0" w:line="244" w:lineRule="auto"/>
        <w:rPr>
          <w:sz w:val="20"/>
          <w:szCs w:val="20"/>
          <w:color w:val="auto"/>
        </w:rPr>
      </w:pPr>
      <w:r>
        <w:rPr>
          <w:rFonts w:ascii="Arial" w:cs="Arial" w:eastAsia="Arial" w:hAnsi="Arial"/>
          <w:sz w:val="17"/>
          <w:szCs w:val="17"/>
          <w:color w:val="auto"/>
        </w:rPr>
        <w:t>In April 2014, the new Clinical Trials Regulation, (EU) No 536/2014, was adopted. The Clinical Trials Regulation was published on June 16, 2014 but is not expected to apply until 2019. The Clinical Trials Regulation will be directly applicable in all the EU Member States, repealing the current Clinical Trials Directive 2001/20/EC and replacing any national legislation that was put in place to implement the Directive. Conduct of all clinical trials performed in the EU will continue to be bound by currently applicable provisions until the new Clinical Trials Regulation becomes applicable. The extent to which ongoing clinical trials will be governed by the Clinical Trials Regulation will depend on when the Clinical Trials Regulation becomes applicable and on the duration of the individual clinical trial. If a clinical trial continues for more than three years from the day on which the Clinical Trials Regulation becomes applicable the Clinical Trials Regulation will at that time begin to apply to the clinical trial.</w:t>
      </w:r>
    </w:p>
    <w:p>
      <w:pPr>
        <w:spacing w:after="0" w:line="193" w:lineRule="exact"/>
        <w:rPr>
          <w:sz w:val="20"/>
          <w:szCs w:val="20"/>
          <w:color w:val="auto"/>
        </w:rPr>
      </w:pPr>
    </w:p>
    <w:p>
      <w:pPr>
        <w:ind w:left="360" w:right="60" w:firstLine="535"/>
        <w:spacing w:after="0" w:line="243" w:lineRule="auto"/>
        <w:rPr>
          <w:sz w:val="20"/>
          <w:szCs w:val="20"/>
          <w:color w:val="auto"/>
        </w:rPr>
      </w:pPr>
      <w:r>
        <w:rPr>
          <w:rFonts w:ascii="Arial" w:cs="Arial" w:eastAsia="Arial" w:hAnsi="Arial"/>
          <w:sz w:val="17"/>
          <w:szCs w:val="17"/>
          <w:color w:val="auto"/>
        </w:rPr>
        <w:t>The new Clinical Trials Regulation aims to simplify and streamline the approval of clinical trials in the EU. The main characteristics of the regulation include: a streamlined application procedure via a single entry point, the “EU Portal and Database”;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appointed reporting Member State, whose assessment report is submitted for review by the sponsor and all other competent authorities of all EU Member States in which an application for authorization of a clinical trial has been submitted (Concerned Member States). Part II is assessed separately by each Concerned Member State. Strict deadlines have been established for the assessment of clinical trial applications. The role of the relevant ethics committees in the assessment procedure will continue to be governed by the national law of the Concerned Member State. However, overall related timelines will be defined by the Clinical Trials Regulation.</w:t>
      </w:r>
    </w:p>
    <w:p>
      <w:pPr>
        <w:spacing w:after="0" w:line="283"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PRIME Designation in the EU</w:t>
      </w:r>
    </w:p>
    <w:p>
      <w:pPr>
        <w:spacing w:after="0" w:line="126" w:lineRule="exact"/>
        <w:rPr>
          <w:sz w:val="20"/>
          <w:szCs w:val="20"/>
          <w:color w:val="auto"/>
        </w:rPr>
      </w:pPr>
    </w:p>
    <w:p>
      <w:pPr>
        <w:ind w:left="360" w:firstLine="535"/>
        <w:spacing w:after="0" w:line="243" w:lineRule="auto"/>
        <w:rPr>
          <w:sz w:val="20"/>
          <w:szCs w:val="20"/>
          <w:color w:val="auto"/>
        </w:rPr>
      </w:pPr>
      <w:r>
        <w:rPr>
          <w:rFonts w:ascii="Arial" w:cs="Arial" w:eastAsia="Arial" w:hAnsi="Arial"/>
          <w:sz w:val="17"/>
          <w:szCs w:val="17"/>
          <w:color w:val="auto"/>
        </w:rPr>
        <w:t>In March 2016, the European Medicines Agency, or EMA, launched an initiative to facilitate development of product candidates in indications, often rare, for which few or no therapies currently exist. The PRIority MEdicines, or PRIME, scheme is intended to encourage drug development in areas of unmet medical need and provides accelerated assessment of products representing substantial innovation reviewed under the centralized procedure. Products from small- and medium-sized enterprises, or SMEs, may qualify for earlier entry into the PRIME scheme than larger companies. Many benefits accrue to sponsors of product candidates with PRIME designation, including but not limited to, early and proactive regulatory dialogue with the EMA, frequent discussions on clinical trial designs and other development program elements, and accelerated marketing authorization application assessment once a dossier has been submitted. Importantly, a dedicated Agency contact and rapporteur from the Committee for Human Medicinal Products, or CHMP, or Committee for Advanced Therapies, or CAT, are appointed early in PRIME scheme facilitating increased understanding of the product at EMA’s Committee level. A kick-off meeting initiates these relationships and includes a team of multidisciplinary experts at the EMA to provide guidance on the overall development and regulatory strategies.</w:t>
      </w:r>
    </w:p>
    <w:p>
      <w:pPr>
        <w:spacing w:after="0" w:line="130"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138</w:t>
      </w:r>
    </w:p>
    <w:p>
      <w:pPr>
        <w:sectPr>
          <w:pgSz w:w="11900" w:h="16838" w:orient="portrait"/>
          <w:cols w:equalWidth="0" w:num="1">
            <w:col w:w="11060"/>
          </w:cols>
          <w:pgMar w:left="240" w:top="449" w:right="599" w:bottom="1440" w:gutter="0" w:footer="0" w:header="0"/>
        </w:sectPr>
      </w:pPr>
    </w:p>
    <w:bookmarkStart w:id="140" w:name="page141"/>
    <w:bookmarkEnd w:id="1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Marketing Authorization</w:t>
      </w:r>
    </w:p>
    <w:p>
      <w:pPr>
        <w:spacing w:after="0" w:line="126" w:lineRule="exact"/>
        <w:rPr>
          <w:sz w:val="20"/>
          <w:szCs w:val="20"/>
          <w:color w:val="auto"/>
        </w:rPr>
      </w:pPr>
    </w:p>
    <w:p>
      <w:pPr>
        <w:ind w:left="360" w:firstLine="535"/>
        <w:spacing w:after="0" w:line="244" w:lineRule="auto"/>
        <w:rPr>
          <w:sz w:val="20"/>
          <w:szCs w:val="20"/>
          <w:color w:val="auto"/>
        </w:rPr>
      </w:pPr>
      <w:r>
        <w:rPr>
          <w:rFonts w:ascii="Arial" w:cs="Arial" w:eastAsia="Arial" w:hAnsi="Arial"/>
          <w:sz w:val="17"/>
          <w:szCs w:val="17"/>
          <w:color w:val="auto"/>
        </w:rPr>
        <w:t>To obtain a marketing authorization for a product under EU regulatory systems, an applicant must submit an MAA either under a centralized procedure administered by the EMA, or one of the procedures administered by competent authorities in the EU Member States (decentralized procedure or mutual recognition procedure). A marketing authorization may be granted only to an applicant established in the EU. Regulation (EC) No 1901/2006 provides that prior to obtaining a marketing authorization in the EU, applicants have to demonstrate compliance with all measures included in an EMA-approved Paediatric Investigation Plan, or PIP, covering all subsets of the pediatric population, unless the EMA has granted (1) a product-specific waiver, (2) a class waiver or (3) a deferral for one or more of the measures included in the PIP.</w:t>
      </w:r>
    </w:p>
    <w:p>
      <w:pPr>
        <w:spacing w:after="0" w:line="195" w:lineRule="exact"/>
        <w:rPr>
          <w:sz w:val="20"/>
          <w:szCs w:val="20"/>
          <w:color w:val="auto"/>
        </w:rPr>
      </w:pPr>
    </w:p>
    <w:p>
      <w:pPr>
        <w:ind w:left="360" w:right="40" w:firstLine="535"/>
        <w:spacing w:after="0" w:line="244" w:lineRule="auto"/>
        <w:rPr>
          <w:sz w:val="20"/>
          <w:szCs w:val="20"/>
          <w:color w:val="auto"/>
        </w:rPr>
      </w:pPr>
      <w:r>
        <w:rPr>
          <w:rFonts w:ascii="Arial" w:cs="Arial" w:eastAsia="Arial" w:hAnsi="Arial"/>
          <w:sz w:val="17"/>
          <w:szCs w:val="17"/>
          <w:color w:val="auto"/>
        </w:rPr>
        <w:t>The centralized procedure provides for the grant of a single marketing authorization by the European Commission that is valid across the European Economic Area (i.e. the EU as well as Iceland, Liechtenstein and Norway). Pursuant to Regulation (EC) No 726/2004, the centralized procedure is compulsory for specific products, including for medicines produced by certain biotechnological processes, products designated as orphan medicinal products, advanced therapy medicinal products (ATMPs) and products with a new active substance indicated for the treatment of certain diseases, including products for the treatment of cancer. For products with a new active substance indicated for the treatment of other diseases and products that are highly innovative or for which a centralized process is in the interest of patients, the centralized procedure may be optional. The centralized procedure may at the request of the applicant also be used in certain other cases.</w:t>
      </w:r>
    </w:p>
    <w:p>
      <w:pPr>
        <w:spacing w:after="0" w:line="193" w:lineRule="exact"/>
        <w:rPr>
          <w:sz w:val="20"/>
          <w:szCs w:val="20"/>
          <w:color w:val="auto"/>
        </w:rPr>
      </w:pPr>
    </w:p>
    <w:p>
      <w:pPr>
        <w:ind w:left="360" w:firstLine="535"/>
        <w:spacing w:after="0" w:line="242" w:lineRule="auto"/>
        <w:rPr>
          <w:sz w:val="20"/>
          <w:szCs w:val="20"/>
          <w:color w:val="auto"/>
        </w:rPr>
      </w:pPr>
      <w:r>
        <w:rPr>
          <w:rFonts w:ascii="Arial" w:cs="Arial" w:eastAsia="Arial" w:hAnsi="Arial"/>
          <w:sz w:val="17"/>
          <w:szCs w:val="17"/>
          <w:color w:val="auto"/>
        </w:rPr>
        <w:t>Under the centralized procedure, the CHMP is responsible for conducting the initial assessment of a product and for several post-authorization and maintenance activities, such as the assessment of modifications or extensions to an existing marketing authorization. Under the centralized procedure in the EU, the maximum timeframe for the evaluation of an MAA is 210 days, excluding clock stops, when additional information or written or oral explanation is to be provided by the applicant in response to questions of the CHMP. Accelerated evaluation might be granted by the CHMP in exceptional cases, when a medicinal product is of major interest from the point of view of public health and in particular from the viewpoint of therapeutic innovation. If the CHMP accepts such request, the time limit of 210 days will be reduced to 150 days but it is possible that the CHMP can revert to the standard time limit for the centralized procedure if it considers that it is no longer appropriate to conduct an accelerated assessment. At the end of this period, the CHMP provides a scientific opinion on whether or not a marketing authorization should be granted in relation to a medicinal product. Within 15 calendar days of receipt of a final opinion from the CHMP, the European Commission must prepare a draft decision concerning an application for marketing authorization. This draft decision must take the opinion and any relevant provisions of EU law into account. Before arriving at a final decision on an application for centralized authorization of a medicinal product the European Commission must consult the Standing Committee on Medicinal Products for Human Use. The Standing Committee is composed of representatives of the EU Member States and chaired by a non-voting European Commission representative. The European Parliament also has a related “droit de regard.” The European Parliament’s role is to ensure that the European Commission has not exceeded its powers in deciding to grant or refuse to grant a marketing authorization.</w:t>
      </w:r>
    </w:p>
    <w:p>
      <w:pPr>
        <w:spacing w:after="0" w:line="399" w:lineRule="exact"/>
        <w:rPr>
          <w:sz w:val="20"/>
          <w:szCs w:val="20"/>
          <w:color w:val="auto"/>
        </w:rPr>
      </w:pPr>
    </w:p>
    <w:p>
      <w:pPr>
        <w:ind w:left="360" w:right="20" w:firstLine="535"/>
        <w:spacing w:after="0" w:line="245" w:lineRule="auto"/>
        <w:rPr>
          <w:sz w:val="20"/>
          <w:szCs w:val="20"/>
          <w:color w:val="auto"/>
        </w:rPr>
      </w:pPr>
      <w:r>
        <w:rPr>
          <w:rFonts w:ascii="Arial" w:cs="Arial" w:eastAsia="Arial" w:hAnsi="Arial"/>
          <w:sz w:val="17"/>
          <w:szCs w:val="17"/>
          <w:color w:val="auto"/>
        </w:rPr>
        <w:t>The European Commission may grant a so-called “marketing authorization under exceptional circumstances.” Such authorization is intended for products for which the applicant can demonstrate that it is unable to provide comprehensive data on the efficacy and safety under normal conditions of use, because the indications for which the product in question is intended are encountered so rarely that the applicant cannot reasonably be expected to provide comprehensive evidence, or in the present state of scientific knowledge, comprehensive information cannot be provided, or it would be contrary to generally accepted principles of medical ethics to collect such information. Consequently, marketing</w:t>
      </w:r>
    </w:p>
    <w:p>
      <w:pPr>
        <w:spacing w:after="0" w:line="12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139</w:t>
      </w:r>
    </w:p>
    <w:p>
      <w:pPr>
        <w:sectPr>
          <w:pgSz w:w="11900" w:h="16838" w:orient="portrait"/>
          <w:cols w:equalWidth="0" w:num="1">
            <w:col w:w="11040"/>
          </w:cols>
          <w:pgMar w:left="240" w:top="449" w:right="619" w:bottom="1440" w:gutter="0" w:footer="0" w:header="0"/>
        </w:sectPr>
      </w:pPr>
    </w:p>
    <w:bookmarkStart w:id="141" w:name="page142"/>
    <w:bookmarkEnd w:id="1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authorization under exceptional circumstances may be granted subject to certain specific obligations, which may include the following:</w:t>
      </w:r>
    </w:p>
    <w:p>
      <w:pPr>
        <w:spacing w:after="0" w:line="119" w:lineRule="exact"/>
        <w:rPr>
          <w:sz w:val="20"/>
          <w:szCs w:val="20"/>
          <w:color w:val="auto"/>
        </w:rPr>
      </w:pPr>
    </w:p>
    <w:p>
      <w:pPr>
        <w:ind w:left="1100" w:hanging="210"/>
        <w:spacing w:after="0" w:line="259" w:lineRule="auto"/>
        <w:tabs>
          <w:tab w:leader="none" w:pos="11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applicant must complete an identified program of studies within a time period specified by the competent authority, the results of which form the basis of a reassessment of the benefit/risk profile;</w:t>
      </w:r>
    </w:p>
    <w:p>
      <w:pPr>
        <w:spacing w:after="0" w:line="89" w:lineRule="exact"/>
        <w:rPr>
          <w:rFonts w:ascii="Arial" w:cs="Arial" w:eastAsia="Arial" w:hAnsi="Arial"/>
          <w:sz w:val="17"/>
          <w:szCs w:val="17"/>
          <w:color w:val="auto"/>
        </w:rPr>
      </w:pPr>
    </w:p>
    <w:p>
      <w:pPr>
        <w:jc w:val="both"/>
        <w:ind w:left="1100" w:right="220" w:hanging="210"/>
        <w:spacing w:after="0" w:line="259" w:lineRule="auto"/>
        <w:tabs>
          <w:tab w:leader="none" w:pos="11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medicinal product in question may be supplied on medical prescription only and may in certain cases be administered only under strict medical supervision, possibly in a hospital and in the case of a radiopharmaceutical, by an authorized person; and</w:t>
      </w:r>
    </w:p>
    <w:p>
      <w:pPr>
        <w:spacing w:after="0" w:line="89" w:lineRule="exact"/>
        <w:rPr>
          <w:rFonts w:ascii="Arial" w:cs="Arial" w:eastAsia="Arial" w:hAnsi="Arial"/>
          <w:sz w:val="17"/>
          <w:szCs w:val="17"/>
          <w:color w:val="auto"/>
        </w:rPr>
      </w:pPr>
    </w:p>
    <w:p>
      <w:pPr>
        <w:ind w:left="1100" w:right="40" w:hanging="210"/>
        <w:spacing w:after="0" w:line="259" w:lineRule="auto"/>
        <w:tabs>
          <w:tab w:leader="none" w:pos="11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package leaflet and any medical information must draw the attention of the medical practitioner to the fact that the particulars available concerning the medicinal product in question are as yet inadequate in certain specified respects.</w:t>
      </w:r>
    </w:p>
    <w:p>
      <w:pPr>
        <w:spacing w:after="0" w:line="181" w:lineRule="exact"/>
        <w:rPr>
          <w:sz w:val="20"/>
          <w:szCs w:val="20"/>
          <w:color w:val="auto"/>
        </w:rPr>
      </w:pPr>
    </w:p>
    <w:p>
      <w:pPr>
        <w:ind w:left="360" w:right="60" w:firstLine="535"/>
        <w:spacing w:after="0" w:line="245" w:lineRule="auto"/>
        <w:rPr>
          <w:sz w:val="20"/>
          <w:szCs w:val="20"/>
          <w:color w:val="auto"/>
        </w:rPr>
      </w:pPr>
      <w:r>
        <w:rPr>
          <w:rFonts w:ascii="Arial" w:cs="Arial" w:eastAsia="Arial" w:hAnsi="Arial"/>
          <w:sz w:val="17"/>
          <w:szCs w:val="17"/>
          <w:color w:val="auto"/>
        </w:rPr>
        <w:t>A marketing authorization under exceptional circumstances is subject to annual review to reassess the risk-benefit balance in an annual reassessment procedure. Continuation of the authorization is linked to the annual reassessment and a negative assessment could potentially result in the marketing authorization being suspended or revoked. The renewal of a marketing authorization of a medicinal product under exceptional circumstances, however, follows the same rules as a “normal” marketing authorization. Thus, a marketing authorization under exceptional circumstances is granted for an initial five years, after which the authorization will become valid indefinitely, unless the EMA decides that safety grounds merit one additional five-year renewal.</w:t>
      </w:r>
    </w:p>
    <w:p>
      <w:pPr>
        <w:spacing w:after="0" w:line="192" w:lineRule="exact"/>
        <w:rPr>
          <w:sz w:val="20"/>
          <w:szCs w:val="20"/>
          <w:color w:val="auto"/>
        </w:rPr>
      </w:pPr>
    </w:p>
    <w:p>
      <w:pPr>
        <w:ind w:left="360" w:right="20" w:firstLine="535"/>
        <w:spacing w:after="0" w:line="243" w:lineRule="auto"/>
        <w:rPr>
          <w:sz w:val="20"/>
          <w:szCs w:val="20"/>
          <w:color w:val="auto"/>
        </w:rPr>
      </w:pPr>
      <w:r>
        <w:rPr>
          <w:rFonts w:ascii="Arial" w:cs="Arial" w:eastAsia="Arial" w:hAnsi="Arial"/>
          <w:sz w:val="17"/>
          <w:szCs w:val="17"/>
          <w:color w:val="auto"/>
        </w:rPr>
        <w:t>The European Commission may also grant a so-called “conditional marketing authorization” prior to obtaining the comprehensive clinical data required for an application for a full marketing authorization. Such conditional marketing authorizations may be granted for product candidates (including medicines designated as orphan medicinal products), if (i) the risk-benefit balance of the product candidate is positive, (ii) it is likely that the applicant will be in a position to provide the required comprehensive clinical trial data, (iii) the product fulfills an unmet medical need and (iv) the benefit to public health of the immediate availability on the market of the medicinal product concerned outweighs the risk inherent in the fact that additional data are still required. A conditional marketing authorization may contain specific obligations to be fulfilled by the marketing authorization holder,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and/or specific obligations. The timelines for the centralized procedure described above also apply with respect to the review by the CHMP of applications for a conditional marketing authorization.</w:t>
      </w:r>
    </w:p>
    <w:p>
      <w:pPr>
        <w:spacing w:after="0" w:line="196" w:lineRule="exact"/>
        <w:rPr>
          <w:sz w:val="20"/>
          <w:szCs w:val="20"/>
          <w:color w:val="auto"/>
        </w:rPr>
      </w:pPr>
    </w:p>
    <w:p>
      <w:pPr>
        <w:ind w:left="360" w:right="20" w:firstLine="535"/>
        <w:spacing w:after="0" w:line="246" w:lineRule="auto"/>
        <w:rPr>
          <w:sz w:val="20"/>
          <w:szCs w:val="20"/>
          <w:color w:val="auto"/>
        </w:rPr>
      </w:pPr>
      <w:r>
        <w:rPr>
          <w:rFonts w:ascii="Arial" w:cs="Arial" w:eastAsia="Arial" w:hAnsi="Arial"/>
          <w:sz w:val="17"/>
          <w:szCs w:val="17"/>
          <w:color w:val="auto"/>
        </w:rPr>
        <w:t>The EU medicines rules expressly permit the EU Member States to adopt national legislation prohibiting or restricting the sale, supply or use of any medicinal product containing, consisting of or derived from a specific type of human or animal cell, such as embryonic stem cells. While the products we have in development do not make use of embryonic stem cells, it is possible that the national laws in certain EU Member States may prohibit or restrict us from commercializing our products, even if they have been granted an EU marketing authorization.</w:t>
      </w:r>
    </w:p>
    <w:p>
      <w:pPr>
        <w:spacing w:after="0" w:line="392" w:lineRule="exact"/>
        <w:rPr>
          <w:sz w:val="20"/>
          <w:szCs w:val="20"/>
          <w:color w:val="auto"/>
        </w:rPr>
      </w:pPr>
    </w:p>
    <w:p>
      <w:pPr>
        <w:ind w:left="360" w:right="40" w:firstLine="535"/>
        <w:spacing w:after="0" w:line="245" w:lineRule="auto"/>
        <w:rPr>
          <w:sz w:val="20"/>
          <w:szCs w:val="20"/>
          <w:color w:val="auto"/>
        </w:rPr>
      </w:pPr>
      <w:r>
        <w:rPr>
          <w:rFonts w:ascii="Arial" w:cs="Arial" w:eastAsia="Arial" w:hAnsi="Arial"/>
          <w:sz w:val="17"/>
          <w:szCs w:val="17"/>
          <w:color w:val="auto"/>
        </w:rPr>
        <w:t>Unlike the centralized authorization procedure, the decentralized marketing authorization procedure requires a separate application to, and leads to separate approval by, the competent authorities of each EU Member State in which the product is to be marketed.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w:t>
      </w:r>
    </w:p>
    <w:p>
      <w:pPr>
        <w:spacing w:after="0" w:line="13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140</w:t>
      </w:r>
    </w:p>
    <w:p>
      <w:pPr>
        <w:sectPr>
          <w:pgSz w:w="11900" w:h="16838" w:orient="portrait"/>
          <w:cols w:equalWidth="0" w:num="1">
            <w:col w:w="11060"/>
          </w:cols>
          <w:pgMar w:left="240" w:top="450" w:right="599" w:bottom="1440" w:gutter="0" w:footer="0" w:header="0"/>
        </w:sectPr>
      </w:pPr>
    </w:p>
    <w:bookmarkStart w:id="142" w:name="page143"/>
    <w:bookmarkEnd w:id="1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spacing w:after="0" w:line="247" w:lineRule="auto"/>
        <w:rPr>
          <w:sz w:val="20"/>
          <w:szCs w:val="20"/>
          <w:color w:val="auto"/>
        </w:rPr>
      </w:pPr>
      <w:r>
        <w:rPr>
          <w:rFonts w:ascii="Arial" w:cs="Arial" w:eastAsia="Arial" w:hAnsi="Arial"/>
          <w:sz w:val="17"/>
          <w:szCs w:val="17"/>
          <w:color w:val="auto"/>
        </w:rPr>
        <w:t>submitted to the concerned EU Member States who, within 90 days of receipt, must decide whether to approve the assessment report and related materials. If a concerned EU Member State cannot approve the assessment report and related materials due to concerns relating to a potential serious risk to public health, disputed elements may be referred to the European Commission, whose decision is binding on all EU Member States.</w:t>
      </w:r>
    </w:p>
    <w:p>
      <w:pPr>
        <w:spacing w:after="0" w:line="192" w:lineRule="exact"/>
        <w:rPr>
          <w:sz w:val="20"/>
          <w:szCs w:val="20"/>
          <w:color w:val="auto"/>
        </w:rPr>
      </w:pPr>
    </w:p>
    <w:p>
      <w:pPr>
        <w:ind w:left="360" w:right="220" w:firstLine="535"/>
        <w:spacing w:after="0" w:line="247" w:lineRule="auto"/>
        <w:rPr>
          <w:sz w:val="20"/>
          <w:szCs w:val="20"/>
          <w:color w:val="auto"/>
        </w:rPr>
      </w:pPr>
      <w:r>
        <w:rPr>
          <w:rFonts w:ascii="Arial" w:cs="Arial" w:eastAsia="Arial" w:hAnsi="Arial"/>
          <w:sz w:val="17"/>
          <w:szCs w:val="17"/>
          <w:color w:val="auto"/>
        </w:rPr>
        <w:t>The mutual recognition procedure similarly is based on the acceptance by the competent authorities of the EU Member States of the marketing authorization of a medicinal product by the competent authorities of other EU Member States. The holder of a national marketing authorization may submit an application to the competent authority of an EU Member State requesting that this authority recognize the marketing authorization delivered by the competent authority of another EU Member State.</w:t>
      </w:r>
    </w:p>
    <w:p>
      <w:pPr>
        <w:spacing w:after="0" w:line="276"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Regulatory Data Protection in the EU</w:t>
      </w:r>
    </w:p>
    <w:p>
      <w:pPr>
        <w:spacing w:after="0" w:line="126" w:lineRule="exact"/>
        <w:rPr>
          <w:sz w:val="20"/>
          <w:szCs w:val="20"/>
          <w:color w:val="auto"/>
        </w:rPr>
      </w:pPr>
    </w:p>
    <w:p>
      <w:pPr>
        <w:ind w:left="360" w:right="80" w:firstLine="535"/>
        <w:spacing w:after="0" w:line="242" w:lineRule="auto"/>
        <w:rPr>
          <w:sz w:val="20"/>
          <w:szCs w:val="20"/>
          <w:color w:val="auto"/>
        </w:rPr>
      </w:pPr>
      <w:r>
        <w:rPr>
          <w:rFonts w:ascii="Arial" w:cs="Arial" w:eastAsia="Arial" w:hAnsi="Arial"/>
          <w:sz w:val="17"/>
          <w:szCs w:val="17"/>
          <w:color w:val="auto"/>
        </w:rPr>
        <w:t>In the EU, innovative medicinal products approved on the basis of a complete independent data package qualify for eight years of data exclusivity upon marketing authorization and an additional two years of market exclusivity pursuant to Directive 2001/83/EC. Regulation (EC) No 726/2004 repeats this entitlement for medicinal products authorized in accordance the centralized authorization procedure. Data exclusivity prevents applicants for authorization of generics of these innovative products from referencing the innovator’s data to assess a generic (abridged) application for a period of eight years. During an additional two-year period of market exclusivity, a generic marketing authorization application can be submitted and authorized, and the innovator’s data may be referenced, but no generic medicinal product can be placed on the EU market until the expiration of the market exclusivity. The overall ten-year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so that the innovator gains the prescribed period of data exclusivity, another company nevertheless could also market another version of the product if such company obtained marketing authorization based on an MAA with a complete independent data package of pharmaceutical tests, preclinical tests and clinical trials.</w:t>
      </w:r>
    </w:p>
    <w:p>
      <w:pPr>
        <w:spacing w:after="0" w:line="289"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Periods of Authorization and Renewals</w:t>
      </w:r>
    </w:p>
    <w:p>
      <w:pPr>
        <w:spacing w:after="0" w:line="126" w:lineRule="exact"/>
        <w:rPr>
          <w:sz w:val="20"/>
          <w:szCs w:val="20"/>
          <w:color w:val="auto"/>
        </w:rPr>
      </w:pPr>
    </w:p>
    <w:p>
      <w:pPr>
        <w:ind w:left="360" w:right="20" w:firstLine="535"/>
        <w:spacing w:after="0" w:line="243" w:lineRule="auto"/>
        <w:rPr>
          <w:sz w:val="20"/>
          <w:szCs w:val="20"/>
          <w:color w:val="auto"/>
        </w:rPr>
      </w:pPr>
      <w:r>
        <w:rPr>
          <w:rFonts w:ascii="Arial" w:cs="Arial" w:eastAsia="Arial" w:hAnsi="Arial"/>
          <w:sz w:val="17"/>
          <w:szCs w:val="17"/>
          <w:color w:val="auto"/>
        </w:rPr>
        <w:t>A marketing authorization has an initial validity for five years in principle. The marketing authorization may be renewed after five years on the basis of a re-evaluation of the risk-benefit balance by the EMA or by the competent authority of the EU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The European Commission or the competent authorities of the EU Member States may decide, on justified grounds relating to pharmacovigilance, to proceed with one further five-year period of marketing authorization. Once subsequently definitively renewed, the marketing authorization shall be valid for an unlimited period. Any authorization which is not followed by the actual placing of the medicinal product on the EU market (in case of centralized procedure) or on the market of the authorizing EU Member State within three years after authorization ceases to be valid (the so-called sunset clause).</w:t>
      </w:r>
    </w:p>
    <w:p>
      <w:pPr>
        <w:spacing w:after="0" w:line="283"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Pediatric Studies and Exclusivity</w:t>
      </w:r>
    </w:p>
    <w:p>
      <w:pPr>
        <w:spacing w:after="0" w:line="126" w:lineRule="exact"/>
        <w:rPr>
          <w:sz w:val="20"/>
          <w:szCs w:val="20"/>
          <w:color w:val="auto"/>
        </w:rPr>
      </w:pPr>
    </w:p>
    <w:p>
      <w:pPr>
        <w:ind w:left="360" w:right="360" w:firstLine="535"/>
        <w:spacing w:after="0" w:line="259" w:lineRule="auto"/>
        <w:rPr>
          <w:sz w:val="20"/>
          <w:szCs w:val="20"/>
          <w:color w:val="auto"/>
        </w:rPr>
      </w:pPr>
      <w:r>
        <w:rPr>
          <w:rFonts w:ascii="Arial" w:cs="Arial" w:eastAsia="Arial" w:hAnsi="Arial"/>
          <w:sz w:val="17"/>
          <w:szCs w:val="17"/>
          <w:color w:val="auto"/>
        </w:rPr>
        <w:t>Prior to obtaining a marketing authorization in the European Union, applicants must demonstrate compliance with all measures included in an EMA-approved PIP covering all subsets of the pediatric</w:t>
      </w:r>
    </w:p>
    <w:p>
      <w:pPr>
        <w:spacing w:after="0" w:line="11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141</w:t>
      </w:r>
    </w:p>
    <w:p>
      <w:pPr>
        <w:sectPr>
          <w:pgSz w:w="11900" w:h="16838" w:orient="portrait"/>
          <w:cols w:equalWidth="0" w:num="1">
            <w:col w:w="11040"/>
          </w:cols>
          <w:pgMar w:left="240" w:top="449" w:right="619" w:bottom="1440" w:gutter="0" w:footer="0" w:header="0"/>
        </w:sectPr>
      </w:pPr>
    </w:p>
    <w:bookmarkStart w:id="143" w:name="page144"/>
    <w:bookmarkEnd w:id="1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100"/>
        <w:spacing w:after="0" w:line="243" w:lineRule="auto"/>
        <w:rPr>
          <w:sz w:val="20"/>
          <w:szCs w:val="20"/>
          <w:color w:val="auto"/>
        </w:rPr>
      </w:pPr>
      <w:r>
        <w:rPr>
          <w:rFonts w:ascii="Arial" w:cs="Arial" w:eastAsia="Arial" w:hAnsi="Arial"/>
          <w:sz w:val="17"/>
          <w:szCs w:val="17"/>
          <w:color w:val="auto"/>
        </w:rPr>
        <w:t>population, unless the EMA has granted a product-specific waiver, a class waiver, or a deferral for one or more of the measures included in the PIP. The respective requirements for all marketing authorization procedures are laid down in Regulation (EC) No 1901/2006, the so-called Paediatric Regulation. This requirement also applies when a company wants to add a new indication, pharmaceutical form or route of administration for a medicine that is already authorized. The Paediatric Committee of the EMA, or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the elderly population. Before an MAA can be filed, or an existing marketing authorization can be amended, the EMA determines that companies actually comply with the agreed studies and measures listed in each relevant PIP. If an applicant obtains a marketing authorization in all EU Member States, or a marketing authorization granted in the centralized procedure by the European Commission, and the study results for the pediatric population are included in the product information, even when negative, the medicine is then eligible for an additional six-month period of qualifying patent protection through extension of the term of the Supplementary Protection Certificate, or SPC.</w:t>
      </w:r>
    </w:p>
    <w:p>
      <w:pPr>
        <w:spacing w:after="0" w:line="279"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Orphan Drug Designation and Exclusivity</w:t>
      </w:r>
    </w:p>
    <w:p>
      <w:pPr>
        <w:spacing w:after="0" w:line="126" w:lineRule="exact"/>
        <w:rPr>
          <w:sz w:val="20"/>
          <w:szCs w:val="20"/>
          <w:color w:val="auto"/>
        </w:rPr>
      </w:pPr>
    </w:p>
    <w:p>
      <w:pPr>
        <w:ind w:left="360" w:right="20" w:firstLine="535"/>
        <w:spacing w:after="0" w:line="244" w:lineRule="auto"/>
        <w:rPr>
          <w:sz w:val="20"/>
          <w:szCs w:val="20"/>
          <w:color w:val="auto"/>
        </w:rPr>
      </w:pPr>
      <w:r>
        <w:rPr>
          <w:rFonts w:ascii="Arial" w:cs="Arial" w:eastAsia="Arial" w:hAnsi="Arial"/>
          <w:sz w:val="17"/>
          <w:szCs w:val="17"/>
          <w:color w:val="auto"/>
        </w:rPr>
        <w:t>Regulation (EC) No. 141/2000, as implemented by Regulation (EC) No. 847/2000 provides that a drug can be designated as an orphan drug by the European Commission if its sponsor can establish: that the product is intended for the diagnosis, prevention or treatment of (1) a life-threatening or chronically debilitating condition affecting not more than five in ten thousand persons in the EU when the application is made, or (2) a life-threatening, seriously debilitating or serious and chronic condition in the EU and that without incentives it is unlikely that the marketing of the drug in the EU would generate sufficient return to justify the necessary investment. For either of these conditions, the applicant must demonstrate that there exists no satisfactory method of diagnosis, prevention or treatment of the condition in question that has been authorized in the EU or, if such method exists, the drug will be of significant benefit to those affected by that condition.</w:t>
      </w:r>
    </w:p>
    <w:p>
      <w:pPr>
        <w:spacing w:after="0" w:line="392" w:lineRule="exact"/>
        <w:rPr>
          <w:sz w:val="20"/>
          <w:szCs w:val="20"/>
          <w:color w:val="auto"/>
        </w:rPr>
      </w:pPr>
    </w:p>
    <w:p>
      <w:pPr>
        <w:ind w:left="360" w:firstLine="535"/>
        <w:spacing w:after="0" w:line="243" w:lineRule="auto"/>
        <w:rPr>
          <w:sz w:val="20"/>
          <w:szCs w:val="20"/>
          <w:color w:val="auto"/>
        </w:rPr>
      </w:pPr>
      <w:r>
        <w:rPr>
          <w:rFonts w:ascii="Arial" w:cs="Arial" w:eastAsia="Arial" w:hAnsi="Arial"/>
          <w:sz w:val="17"/>
          <w:szCs w:val="17"/>
          <w:color w:val="auto"/>
        </w:rPr>
        <w:t>Once authorized, orphan medicinal products are entitled to 10 years of market exclusivity in all EU Member States and in addition a range of other benefits during the development and regulatory review process including scientific assistance for study protocols, authorization through the centralized marketing authorization procedure covering all member countries and a reduction or elimination of registration and marketing authorization fees. However, marketing authorization may be granted to a similar medicinal product with the same orphan indication during the 10-year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this product is safer, more effective or otherwise clinically superior to the original orphan medicinal product. The period of market exclusivity may, in addition, be reduced to six years if it can be demonstrated on the basis of available evidence that the original orphan medicinal product is sufficiently profitable not to justify maintenance of market exclusivity.</w:t>
      </w:r>
    </w:p>
    <w:p>
      <w:pPr>
        <w:spacing w:after="0" w:line="200" w:lineRule="exact"/>
        <w:rPr>
          <w:sz w:val="20"/>
          <w:szCs w:val="20"/>
          <w:color w:val="auto"/>
        </w:rPr>
      </w:pPr>
    </w:p>
    <w:p>
      <w:pPr>
        <w:spacing w:after="0" w:line="280"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Regulatory Requirements after a Marketing Authorization has been Obtained</w:t>
      </w:r>
    </w:p>
    <w:p>
      <w:pPr>
        <w:spacing w:after="0" w:line="126" w:lineRule="exact"/>
        <w:rPr>
          <w:sz w:val="20"/>
          <w:szCs w:val="20"/>
          <w:color w:val="auto"/>
        </w:rPr>
      </w:pPr>
    </w:p>
    <w:p>
      <w:pPr>
        <w:ind w:left="900"/>
        <w:spacing w:after="0"/>
        <w:rPr>
          <w:sz w:val="20"/>
          <w:szCs w:val="20"/>
          <w:color w:val="auto"/>
        </w:rPr>
      </w:pPr>
      <w:r>
        <w:rPr>
          <w:rFonts w:ascii="Arial" w:cs="Arial" w:eastAsia="Arial" w:hAnsi="Arial"/>
          <w:sz w:val="17"/>
          <w:szCs w:val="17"/>
          <w:color w:val="auto"/>
        </w:rPr>
        <w:t>In case an authorization for a medicinal product in the EU is obtained, the holder of the marketing authorization is required to</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comply with a range of requirements applicable to the manufacturing, marketing, promotion and sale of medicinal products. These include:</w:t>
      </w:r>
    </w:p>
    <w:p>
      <w:pPr>
        <w:spacing w:after="0" w:line="119" w:lineRule="exact"/>
        <w:rPr>
          <w:sz w:val="20"/>
          <w:szCs w:val="20"/>
          <w:color w:val="auto"/>
        </w:rPr>
      </w:pPr>
    </w:p>
    <w:p>
      <w:pPr>
        <w:ind w:left="1100" w:right="100" w:hanging="210"/>
        <w:spacing w:after="0" w:line="259" w:lineRule="auto"/>
        <w:tabs>
          <w:tab w:leader="none" w:pos="11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Compliance with the EU’s stringent pharmacovigilance or safety reporting rules must be ensured. These rules can impose post-authorization studies and additional monitoring obligations.</w:t>
      </w:r>
    </w:p>
    <w:p>
      <w:pPr>
        <w:spacing w:after="0" w:line="11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142</w:t>
      </w:r>
    </w:p>
    <w:p>
      <w:pPr>
        <w:sectPr>
          <w:pgSz w:w="11900" w:h="16838" w:orient="portrait"/>
          <w:cols w:equalWidth="0" w:num="1">
            <w:col w:w="11040"/>
          </w:cols>
          <w:pgMar w:left="240" w:top="450" w:right="619" w:bottom="1440" w:gutter="0" w:footer="0" w:header="0"/>
        </w:sectPr>
      </w:pPr>
    </w:p>
    <w:bookmarkStart w:id="144" w:name="page145"/>
    <w:bookmarkEnd w:id="1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1100" w:right="120" w:hanging="210"/>
        <w:spacing w:after="0" w:line="245" w:lineRule="auto"/>
        <w:tabs>
          <w:tab w:leader="none" w:pos="11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manufacturing of authorized medicinal products, for which a separate manufacturer’s license is mandatory, must also be conducted in strict compliance with the applicable EU laws, regulations and guidance, including Directive 2001/83/EC, Directive 2003/94/EC, Regulation (EC) No 726/2004 and the European Commission Guidelines for Good Manufacturing Practice. These requirements include compliance with EU cGMP standards when manufacturing medicinal products and active pharmaceutical ingredients, including the manufacture of active pharmaceutical ingredients outside of the EU with the intention to import the active pharmaceutical ingredients into the EU.</w:t>
      </w:r>
    </w:p>
    <w:p>
      <w:pPr>
        <w:spacing w:after="0" w:line="100" w:lineRule="exact"/>
        <w:rPr>
          <w:rFonts w:ascii="Arial" w:cs="Arial" w:eastAsia="Arial" w:hAnsi="Arial"/>
          <w:sz w:val="17"/>
          <w:szCs w:val="17"/>
          <w:color w:val="auto"/>
        </w:rPr>
      </w:pPr>
    </w:p>
    <w:p>
      <w:pPr>
        <w:ind w:left="1100" w:right="260" w:hanging="210"/>
        <w:spacing w:after="0" w:line="247" w:lineRule="auto"/>
        <w:tabs>
          <w:tab w:leader="none" w:pos="11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marketing and promotion of authorized drugs, including industry-sponsored continuing medical education and advertising directed toward the prescribers of drugs and/or the general public, are strictly regulated in the EU notably under Directive 2001/83EC, as amended, and are also subject to EU Member State laws. Direct-to-consumer advertising of prescription medicines is prohibited across the EU.</w:t>
      </w:r>
    </w:p>
    <w:p>
      <w:pPr>
        <w:spacing w:after="0" w:line="276"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Brexit and the Regulatory Framework in the United Kingdom</w:t>
      </w:r>
    </w:p>
    <w:p>
      <w:pPr>
        <w:spacing w:after="0" w:line="126" w:lineRule="exact"/>
        <w:rPr>
          <w:sz w:val="20"/>
          <w:szCs w:val="20"/>
          <w:color w:val="auto"/>
        </w:rPr>
      </w:pPr>
    </w:p>
    <w:p>
      <w:pPr>
        <w:ind w:left="360" w:firstLine="535"/>
        <w:spacing w:after="0" w:line="243" w:lineRule="auto"/>
        <w:rPr>
          <w:sz w:val="20"/>
          <w:szCs w:val="20"/>
          <w:color w:val="auto"/>
        </w:rPr>
      </w:pPr>
      <w:r>
        <w:rPr>
          <w:rFonts w:ascii="Arial" w:cs="Arial" w:eastAsia="Arial" w:hAnsi="Arial"/>
          <w:sz w:val="17"/>
          <w:szCs w:val="17"/>
          <w:color w:val="auto"/>
        </w:rPr>
        <w:t>On June 23, 2016, the electorate in the United Kingdom voted in favor of leaving the EU (commonly referred to as “Brexit”). Thereafter, on March 29, 2017, the country formally notified the EU of its intention to withdraw pursuant to Article 50 of the Lisbon Treaty. The withdrawal of the United Kingdom from the EU will take effect either on the effective date of the withdrawal agreement or, in the absence of agreement, two years after the United Kingdom provides a notice of withdrawal pursuant to the EU Treaty. Since the regulatory framework for pharmaceutical products in the United Kingdom. covering quality, safety and efficacy of pharmaceutical products, clinical trials, marketing authorization, commercial sales and distribution of pharmaceutical products is derived from EU directives and regulations, Brexit could materially impact the future regulatory regime which applies to products and the approval of product candidates in the United Kingdom. It remains to be seen how, if at all, Brexit will impact regulatory requirements for product candidates and products in the United Kingdom.</w:t>
      </w:r>
    </w:p>
    <w:p>
      <w:pPr>
        <w:spacing w:after="0" w:line="200" w:lineRule="exact"/>
        <w:rPr>
          <w:sz w:val="20"/>
          <w:szCs w:val="20"/>
          <w:color w:val="auto"/>
        </w:rPr>
      </w:pPr>
    </w:p>
    <w:p>
      <w:pPr>
        <w:spacing w:after="0" w:line="281"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Pricing Decisions for Approved Products</w:t>
      </w:r>
    </w:p>
    <w:p>
      <w:pPr>
        <w:spacing w:after="0" w:line="126" w:lineRule="exact"/>
        <w:rPr>
          <w:sz w:val="20"/>
          <w:szCs w:val="20"/>
          <w:color w:val="auto"/>
        </w:rPr>
      </w:pPr>
    </w:p>
    <w:p>
      <w:pPr>
        <w:ind w:left="360" w:firstLine="535"/>
        <w:spacing w:after="0" w:line="242" w:lineRule="auto"/>
        <w:rPr>
          <w:sz w:val="20"/>
          <w:szCs w:val="20"/>
          <w:color w:val="auto"/>
        </w:rPr>
      </w:pPr>
      <w:r>
        <w:rPr>
          <w:rFonts w:ascii="Arial" w:cs="Arial" w:eastAsia="Arial" w:hAnsi="Arial"/>
          <w:sz w:val="17"/>
          <w:szCs w:val="17"/>
          <w:color w:val="auto"/>
        </w:rPr>
        <w:t>In the EU,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product candidate to currently available therapies or so-called health technology assessments, in order to obtain reimbursement or pricing approval. For example, EU Member States have the option to restrict the range of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 care expenditures, especially in light of the severe fiscal and debt crises experienced by many countries in the EU. The downward pressure on health 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EU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spacing w:after="0" w:line="13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143</w:t>
      </w:r>
    </w:p>
    <w:p>
      <w:pPr>
        <w:sectPr>
          <w:pgSz w:w="11900" w:h="16838" w:orient="portrait"/>
          <w:cols w:equalWidth="0" w:num="1">
            <w:col w:w="11040"/>
          </w:cols>
          <w:pgMar w:left="240" w:top="449" w:right="619" w:bottom="1440" w:gutter="0" w:footer="0" w:header="0"/>
        </w:sectPr>
      </w:pPr>
    </w:p>
    <w:bookmarkStart w:id="145" w:name="page146"/>
    <w:bookmarkEnd w:id="1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Employees</w:t>
      </w:r>
    </w:p>
    <w:p>
      <w:pPr>
        <w:spacing w:after="0" w:line="233" w:lineRule="exact"/>
        <w:rPr>
          <w:sz w:val="20"/>
          <w:szCs w:val="20"/>
          <w:color w:val="auto"/>
        </w:rPr>
      </w:pPr>
    </w:p>
    <w:p>
      <w:pPr>
        <w:ind w:left="360" w:right="440" w:firstLine="535"/>
        <w:spacing w:after="0" w:line="247" w:lineRule="auto"/>
        <w:rPr>
          <w:sz w:val="20"/>
          <w:szCs w:val="20"/>
          <w:color w:val="auto"/>
        </w:rPr>
      </w:pPr>
      <w:r>
        <w:rPr>
          <w:rFonts w:ascii="Arial" w:cs="Arial" w:eastAsia="Arial" w:hAnsi="Arial"/>
          <w:sz w:val="17"/>
          <w:szCs w:val="17"/>
          <w:color w:val="auto"/>
        </w:rPr>
        <w:t>As of August 31, 2018, we had 72 full-time employees, including 50 employees with advanced degrees. Of these full-time employees, 59 employees are engaged in research and development activities and 13 are engaged in general and administrative activities. None of our employees is represented by a labor union or covered by a collective bargaining agreement. We consider our relationship with our employees to be good.</w:t>
      </w:r>
    </w:p>
    <w:p>
      <w:pPr>
        <w:spacing w:after="0" w:line="274"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Facilities</w:t>
      </w:r>
    </w:p>
    <w:p>
      <w:pPr>
        <w:spacing w:after="0" w:line="233" w:lineRule="exact"/>
        <w:rPr>
          <w:sz w:val="20"/>
          <w:szCs w:val="20"/>
          <w:color w:val="auto"/>
        </w:rPr>
      </w:pPr>
    </w:p>
    <w:p>
      <w:pPr>
        <w:ind w:left="360" w:firstLine="535"/>
        <w:spacing w:after="0" w:line="250" w:lineRule="auto"/>
        <w:rPr>
          <w:sz w:val="20"/>
          <w:szCs w:val="20"/>
          <w:color w:val="auto"/>
        </w:rPr>
      </w:pPr>
      <w:r>
        <w:rPr>
          <w:rFonts w:ascii="Arial" w:cs="Arial" w:eastAsia="Arial" w:hAnsi="Arial"/>
          <w:sz w:val="17"/>
          <w:szCs w:val="17"/>
          <w:color w:val="auto"/>
        </w:rPr>
        <w:t>We occupy approximately 34,000 square feet of office and laboratory space in New Haven, Connecticut under a lease that expires December 21, 2022. We believe that our facilities are sufficient to meet our current needs and that suitable additional space will be available as and when needed.</w:t>
      </w:r>
    </w:p>
    <w:p>
      <w:pPr>
        <w:spacing w:after="0" w:line="272" w:lineRule="exact"/>
        <w:rPr>
          <w:sz w:val="20"/>
          <w:szCs w:val="20"/>
          <w:color w:val="auto"/>
        </w:rPr>
      </w:pPr>
    </w:p>
    <w:p>
      <w:pPr>
        <w:ind w:left="4940"/>
        <w:spacing w:after="0"/>
        <w:rPr>
          <w:sz w:val="20"/>
          <w:szCs w:val="20"/>
          <w:color w:val="auto"/>
        </w:rPr>
      </w:pPr>
      <w:r>
        <w:rPr>
          <w:rFonts w:ascii="Arial" w:cs="Arial" w:eastAsia="Arial" w:hAnsi="Arial"/>
          <w:sz w:val="17"/>
          <w:szCs w:val="17"/>
          <w:b w:val="1"/>
          <w:bCs w:val="1"/>
          <w:color w:val="auto"/>
        </w:rPr>
        <w:t>Legal Proceedings</w:t>
      </w:r>
    </w:p>
    <w:p>
      <w:pPr>
        <w:spacing w:after="0" w:line="233"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We are not currently a party to any material legal proceedings.</w:t>
      </w:r>
    </w:p>
    <w:p>
      <w:pPr>
        <w:spacing w:after="0" w:line="145"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144</w:t>
      </w:r>
    </w:p>
    <w:p>
      <w:pPr>
        <w:sectPr>
          <w:pgSz w:w="11900" w:h="16838" w:orient="portrait"/>
          <w:cols w:equalWidth="0" w:num="1">
            <w:col w:w="10960"/>
          </w:cols>
          <w:pgMar w:left="240" w:top="449" w:right="699" w:bottom="1440" w:gutter="0" w:footer="0" w:header="0"/>
        </w:sectPr>
      </w:pPr>
    </w:p>
    <w:bookmarkStart w:id="146" w:name="page147"/>
    <w:bookmarkEnd w:id="1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MANAGEMENT</w:t>
      </w:r>
    </w:p>
    <w:p>
      <w:pPr>
        <w:spacing w:after="0" w:line="233" w:lineRule="exact"/>
        <w:rPr>
          <w:sz w:val="20"/>
          <w:szCs w:val="20"/>
          <w:color w:val="auto"/>
        </w:rPr>
      </w:pPr>
    </w:p>
    <w:p>
      <w:pPr>
        <w:ind w:left="360" w:right="840" w:firstLine="535"/>
        <w:spacing w:after="0" w:line="259" w:lineRule="auto"/>
        <w:rPr>
          <w:sz w:val="20"/>
          <w:szCs w:val="20"/>
          <w:color w:val="auto"/>
        </w:rPr>
      </w:pPr>
      <w:r>
        <w:rPr>
          <w:rFonts w:ascii="Arial" w:cs="Arial" w:eastAsia="Arial" w:hAnsi="Arial"/>
          <w:sz w:val="17"/>
          <w:szCs w:val="17"/>
          <w:color w:val="auto"/>
        </w:rPr>
        <w:t>The following table sets forth the name, age as of September 14, 2018 and position of each of our executive officers, key employees and directors.</w:t>
      </w:r>
    </w:p>
    <w:p>
      <w:pPr>
        <w:spacing w:after="0" w:line="197" w:lineRule="exact"/>
        <w:rPr>
          <w:sz w:val="20"/>
          <w:szCs w:val="20"/>
          <w:color w:val="auto"/>
        </w:rPr>
      </w:pPr>
    </w:p>
    <w:tbl>
      <w:tblPr>
        <w:tblLayout w:type="fixed"/>
        <w:tblInd w:w="360" w:type="dxa"/>
        <w:tblCellMar>
          <w:top w:w="0" w:type="dxa"/>
          <w:left w:w="0" w:type="dxa"/>
          <w:bottom w:w="0" w:type="dxa"/>
          <w:right w:w="0" w:type="dxa"/>
        </w:tblCellMar>
      </w:tblPr>
      <w:tr>
        <w:trPr>
          <w:trHeight w:val="189"/>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Name</w:t>
            </w:r>
          </w:p>
        </w:tc>
        <w:tc>
          <w:tcPr>
            <w:tcW w:w="36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Age</w:t>
            </w:r>
          </w:p>
        </w:tc>
        <w:tc>
          <w:tcPr>
            <w:tcW w:w="6280" w:type="dxa"/>
            <w:vAlign w:val="bottom"/>
            <w:gridSpan w:val="2"/>
          </w:tcPr>
          <w:p>
            <w:pPr>
              <w:ind w:left="180"/>
              <w:spacing w:after="0"/>
              <w:rPr>
                <w:sz w:val="20"/>
                <w:szCs w:val="20"/>
                <w:color w:val="auto"/>
              </w:rPr>
            </w:pPr>
            <w:r>
              <w:rPr>
                <w:rFonts w:ascii="Arial" w:cs="Arial" w:eastAsia="Arial" w:hAnsi="Arial"/>
                <w:sz w:val="14"/>
                <w:szCs w:val="14"/>
                <w:b w:val="1"/>
                <w:bCs w:val="1"/>
                <w:color w:val="auto"/>
              </w:rPr>
              <w:t>Position</w:t>
            </w:r>
          </w:p>
        </w:tc>
      </w:tr>
      <w:tr>
        <w:trPr>
          <w:trHeight w:val="169"/>
        </w:trPr>
        <w:tc>
          <w:tcPr>
            <w:tcW w:w="4060" w:type="dxa"/>
            <w:vAlign w:val="bottom"/>
            <w:gridSpan w:val="2"/>
          </w:tcPr>
          <w:p>
            <w:pPr>
              <w:spacing w:after="0" w:line="169" w:lineRule="exact"/>
              <w:rPr>
                <w:sz w:val="20"/>
                <w:szCs w:val="20"/>
                <w:color w:val="auto"/>
              </w:rPr>
            </w:pPr>
            <w:r>
              <w:rPr>
                <w:rFonts w:ascii="Arial" w:cs="Arial" w:eastAsia="Arial" w:hAnsi="Arial"/>
                <w:sz w:val="17"/>
                <w:szCs w:val="17"/>
                <w:b w:val="1"/>
                <w:bCs w:val="1"/>
                <w:color w:val="auto"/>
              </w:rPr>
              <w:t>Executive Officers</w:t>
            </w:r>
          </w:p>
        </w:tc>
        <w:tc>
          <w:tcPr>
            <w:tcW w:w="3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080" w:type="dxa"/>
            <w:vAlign w:val="bottom"/>
            <w:tcBorders>
              <w:top w:val="single" w:sz="8" w:color="auto"/>
            </w:tcBorders>
          </w:tcPr>
          <w:p>
            <w:pPr>
              <w:spacing w:after="0"/>
              <w:rPr>
                <w:sz w:val="14"/>
                <w:szCs w:val="14"/>
                <w:color w:val="auto"/>
              </w:rPr>
            </w:pPr>
          </w:p>
        </w:tc>
      </w:tr>
      <w:tr>
        <w:trPr>
          <w:trHeight w:val="197"/>
        </w:trPr>
        <w:tc>
          <w:tcPr>
            <w:tcW w:w="4060" w:type="dxa"/>
            <w:vAlign w:val="bottom"/>
            <w:gridSpan w:val="2"/>
          </w:tcPr>
          <w:p>
            <w:pPr>
              <w:spacing w:after="0"/>
              <w:rPr>
                <w:sz w:val="20"/>
                <w:szCs w:val="20"/>
                <w:color w:val="auto"/>
              </w:rPr>
            </w:pPr>
            <w:r>
              <w:rPr>
                <w:rFonts w:ascii="Arial" w:cs="Arial" w:eastAsia="Arial" w:hAnsi="Arial"/>
                <w:sz w:val="17"/>
                <w:szCs w:val="17"/>
                <w:color w:val="auto"/>
              </w:rPr>
              <w:t>John Houston, Ph.D.</w:t>
            </w:r>
          </w:p>
        </w:tc>
        <w:tc>
          <w:tcPr>
            <w:tcW w:w="360" w:type="dxa"/>
            <w:vAlign w:val="bottom"/>
          </w:tcPr>
          <w:p>
            <w:pPr>
              <w:jc w:val="right"/>
              <w:spacing w:after="0"/>
              <w:rPr>
                <w:sz w:val="20"/>
                <w:szCs w:val="20"/>
                <w:color w:val="auto"/>
              </w:rPr>
            </w:pPr>
            <w:r>
              <w:rPr>
                <w:rFonts w:ascii="Arial" w:cs="Arial" w:eastAsia="Arial" w:hAnsi="Arial"/>
                <w:sz w:val="17"/>
                <w:szCs w:val="17"/>
                <w:color w:val="auto"/>
              </w:rPr>
              <w:t>58</w:t>
            </w:r>
          </w:p>
        </w:tc>
        <w:tc>
          <w:tcPr>
            <w:tcW w:w="6280" w:type="dxa"/>
            <w:vAlign w:val="bottom"/>
            <w:gridSpan w:val="2"/>
          </w:tcPr>
          <w:p>
            <w:pPr>
              <w:ind w:left="180"/>
              <w:spacing w:after="0"/>
              <w:rPr>
                <w:sz w:val="20"/>
                <w:szCs w:val="20"/>
                <w:color w:val="auto"/>
              </w:rPr>
            </w:pPr>
            <w:r>
              <w:rPr>
                <w:rFonts w:ascii="Arial" w:cs="Arial" w:eastAsia="Arial" w:hAnsi="Arial"/>
                <w:sz w:val="17"/>
                <w:szCs w:val="17"/>
                <w:color w:val="auto"/>
              </w:rPr>
              <w:t>Chief Executive Officer, President and Director</w:t>
            </w:r>
          </w:p>
        </w:tc>
      </w:tr>
      <w:tr>
        <w:trPr>
          <w:trHeight w:val="197"/>
        </w:trPr>
        <w:tc>
          <w:tcPr>
            <w:tcW w:w="4060" w:type="dxa"/>
            <w:vAlign w:val="bottom"/>
            <w:gridSpan w:val="2"/>
          </w:tcPr>
          <w:p>
            <w:pPr>
              <w:spacing w:after="0"/>
              <w:rPr>
                <w:sz w:val="20"/>
                <w:szCs w:val="20"/>
                <w:color w:val="auto"/>
              </w:rPr>
            </w:pPr>
            <w:r>
              <w:rPr>
                <w:rFonts w:ascii="Arial" w:cs="Arial" w:eastAsia="Arial" w:hAnsi="Arial"/>
                <w:sz w:val="17"/>
                <w:szCs w:val="17"/>
                <w:color w:val="auto"/>
              </w:rPr>
              <w:t>Sean Cassidy</w:t>
            </w:r>
          </w:p>
        </w:tc>
        <w:tc>
          <w:tcPr>
            <w:tcW w:w="360" w:type="dxa"/>
            <w:vAlign w:val="bottom"/>
          </w:tcPr>
          <w:p>
            <w:pPr>
              <w:jc w:val="right"/>
              <w:spacing w:after="0"/>
              <w:rPr>
                <w:sz w:val="20"/>
                <w:szCs w:val="20"/>
                <w:color w:val="auto"/>
              </w:rPr>
            </w:pPr>
            <w:r>
              <w:rPr>
                <w:rFonts w:ascii="Arial" w:cs="Arial" w:eastAsia="Arial" w:hAnsi="Arial"/>
                <w:sz w:val="17"/>
                <w:szCs w:val="17"/>
                <w:color w:val="auto"/>
              </w:rPr>
              <w:t>49</w:t>
            </w:r>
          </w:p>
        </w:tc>
        <w:tc>
          <w:tcPr>
            <w:tcW w:w="6280" w:type="dxa"/>
            <w:vAlign w:val="bottom"/>
            <w:gridSpan w:val="2"/>
          </w:tcPr>
          <w:p>
            <w:pPr>
              <w:ind w:left="180"/>
              <w:spacing w:after="0"/>
              <w:rPr>
                <w:sz w:val="20"/>
                <w:szCs w:val="20"/>
                <w:color w:val="auto"/>
              </w:rPr>
            </w:pPr>
            <w:r>
              <w:rPr>
                <w:rFonts w:ascii="Arial" w:cs="Arial" w:eastAsia="Arial" w:hAnsi="Arial"/>
                <w:sz w:val="17"/>
                <w:szCs w:val="17"/>
                <w:color w:val="auto"/>
              </w:rPr>
              <w:t>Chief Financial Officer</w:t>
            </w:r>
          </w:p>
        </w:tc>
      </w:tr>
      <w:tr>
        <w:trPr>
          <w:trHeight w:val="197"/>
        </w:trPr>
        <w:tc>
          <w:tcPr>
            <w:tcW w:w="4060" w:type="dxa"/>
            <w:vAlign w:val="bottom"/>
            <w:gridSpan w:val="2"/>
          </w:tcPr>
          <w:p>
            <w:pPr>
              <w:spacing w:after="0"/>
              <w:rPr>
                <w:sz w:val="20"/>
                <w:szCs w:val="20"/>
                <w:color w:val="auto"/>
              </w:rPr>
            </w:pPr>
            <w:r>
              <w:rPr>
                <w:rFonts w:ascii="Arial" w:cs="Arial" w:eastAsia="Arial" w:hAnsi="Arial"/>
                <w:sz w:val="17"/>
                <w:szCs w:val="17"/>
                <w:color w:val="auto"/>
              </w:rPr>
              <w:t>Andrew Crew, Ph.D.</w:t>
            </w:r>
          </w:p>
        </w:tc>
        <w:tc>
          <w:tcPr>
            <w:tcW w:w="360" w:type="dxa"/>
            <w:vAlign w:val="bottom"/>
          </w:tcPr>
          <w:p>
            <w:pPr>
              <w:jc w:val="right"/>
              <w:spacing w:after="0"/>
              <w:rPr>
                <w:sz w:val="20"/>
                <w:szCs w:val="20"/>
                <w:color w:val="auto"/>
              </w:rPr>
            </w:pPr>
            <w:r>
              <w:rPr>
                <w:rFonts w:ascii="Arial" w:cs="Arial" w:eastAsia="Arial" w:hAnsi="Arial"/>
                <w:sz w:val="17"/>
                <w:szCs w:val="17"/>
                <w:color w:val="auto"/>
              </w:rPr>
              <w:t>54</w:t>
            </w:r>
          </w:p>
        </w:tc>
        <w:tc>
          <w:tcPr>
            <w:tcW w:w="6280" w:type="dxa"/>
            <w:vAlign w:val="bottom"/>
            <w:gridSpan w:val="2"/>
          </w:tcPr>
          <w:p>
            <w:pPr>
              <w:ind w:left="180"/>
              <w:spacing w:after="0"/>
              <w:rPr>
                <w:sz w:val="20"/>
                <w:szCs w:val="20"/>
                <w:color w:val="auto"/>
              </w:rPr>
            </w:pPr>
            <w:r>
              <w:rPr>
                <w:rFonts w:ascii="Arial" w:cs="Arial" w:eastAsia="Arial" w:hAnsi="Arial"/>
                <w:sz w:val="17"/>
                <w:szCs w:val="17"/>
                <w:color w:val="auto"/>
              </w:rPr>
              <w:t>Senior Vice President, Chemistry</w:t>
            </w:r>
          </w:p>
        </w:tc>
      </w:tr>
      <w:tr>
        <w:trPr>
          <w:trHeight w:val="210"/>
        </w:trPr>
        <w:tc>
          <w:tcPr>
            <w:tcW w:w="4060" w:type="dxa"/>
            <w:vAlign w:val="bottom"/>
            <w:gridSpan w:val="2"/>
          </w:tcPr>
          <w:p>
            <w:pPr>
              <w:spacing w:after="0"/>
              <w:rPr>
                <w:sz w:val="20"/>
                <w:szCs w:val="20"/>
                <w:color w:val="auto"/>
              </w:rPr>
            </w:pPr>
            <w:r>
              <w:rPr>
                <w:rFonts w:ascii="Arial" w:cs="Arial" w:eastAsia="Arial" w:hAnsi="Arial"/>
                <w:sz w:val="17"/>
                <w:szCs w:val="17"/>
                <w:color w:val="auto"/>
              </w:rPr>
              <w:t>Ian Taylor, Ph.D.</w:t>
            </w:r>
          </w:p>
        </w:tc>
        <w:tc>
          <w:tcPr>
            <w:tcW w:w="360" w:type="dxa"/>
            <w:vAlign w:val="bottom"/>
          </w:tcPr>
          <w:p>
            <w:pPr>
              <w:jc w:val="right"/>
              <w:spacing w:after="0"/>
              <w:rPr>
                <w:sz w:val="20"/>
                <w:szCs w:val="20"/>
                <w:color w:val="auto"/>
              </w:rPr>
            </w:pPr>
            <w:r>
              <w:rPr>
                <w:rFonts w:ascii="Arial" w:cs="Arial" w:eastAsia="Arial" w:hAnsi="Arial"/>
                <w:sz w:val="17"/>
                <w:szCs w:val="17"/>
                <w:color w:val="auto"/>
              </w:rPr>
              <w:t>56</w:t>
            </w:r>
          </w:p>
        </w:tc>
        <w:tc>
          <w:tcPr>
            <w:tcW w:w="6280" w:type="dxa"/>
            <w:vAlign w:val="bottom"/>
            <w:gridSpan w:val="2"/>
          </w:tcPr>
          <w:p>
            <w:pPr>
              <w:ind w:left="180"/>
              <w:spacing w:after="0"/>
              <w:rPr>
                <w:sz w:val="20"/>
                <w:szCs w:val="20"/>
                <w:color w:val="auto"/>
              </w:rPr>
            </w:pPr>
            <w:r>
              <w:rPr>
                <w:rFonts w:ascii="Arial" w:cs="Arial" w:eastAsia="Arial" w:hAnsi="Arial"/>
                <w:sz w:val="17"/>
                <w:szCs w:val="17"/>
                <w:color w:val="auto"/>
              </w:rPr>
              <w:t>Senior Vice President, Biology</w:t>
            </w:r>
          </w:p>
        </w:tc>
      </w:tr>
      <w:tr>
        <w:trPr>
          <w:trHeight w:val="288"/>
        </w:trPr>
        <w:tc>
          <w:tcPr>
            <w:tcW w:w="4060" w:type="dxa"/>
            <w:vAlign w:val="bottom"/>
            <w:gridSpan w:val="2"/>
          </w:tcPr>
          <w:p>
            <w:pPr>
              <w:spacing w:after="0"/>
              <w:rPr>
                <w:sz w:val="20"/>
                <w:szCs w:val="20"/>
                <w:color w:val="auto"/>
              </w:rPr>
            </w:pPr>
            <w:r>
              <w:rPr>
                <w:rFonts w:ascii="Arial" w:cs="Arial" w:eastAsia="Arial" w:hAnsi="Arial"/>
                <w:sz w:val="17"/>
                <w:szCs w:val="17"/>
                <w:b w:val="1"/>
                <w:bCs w:val="1"/>
                <w:color w:val="auto"/>
              </w:rPr>
              <w:t>Key Employees</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80" w:type="dxa"/>
            <w:vAlign w:val="bottom"/>
          </w:tcPr>
          <w:p>
            <w:pPr>
              <w:spacing w:after="0"/>
              <w:rPr>
                <w:sz w:val="24"/>
                <w:szCs w:val="24"/>
                <w:color w:val="auto"/>
              </w:rPr>
            </w:pPr>
          </w:p>
        </w:tc>
      </w:tr>
      <w:tr>
        <w:trPr>
          <w:trHeight w:val="197"/>
        </w:trPr>
        <w:tc>
          <w:tcPr>
            <w:tcW w:w="4060" w:type="dxa"/>
            <w:vAlign w:val="bottom"/>
            <w:gridSpan w:val="2"/>
          </w:tcPr>
          <w:p>
            <w:pPr>
              <w:spacing w:after="0"/>
              <w:rPr>
                <w:sz w:val="20"/>
                <w:szCs w:val="20"/>
                <w:color w:val="auto"/>
              </w:rPr>
            </w:pPr>
            <w:r>
              <w:rPr>
                <w:rFonts w:ascii="Arial" w:cs="Arial" w:eastAsia="Arial" w:hAnsi="Arial"/>
                <w:sz w:val="17"/>
                <w:szCs w:val="17"/>
                <w:color w:val="auto"/>
              </w:rPr>
              <w:t>Marcia Dougan Moore</w:t>
            </w:r>
          </w:p>
        </w:tc>
        <w:tc>
          <w:tcPr>
            <w:tcW w:w="360" w:type="dxa"/>
            <w:vAlign w:val="bottom"/>
          </w:tcPr>
          <w:p>
            <w:pPr>
              <w:jc w:val="right"/>
              <w:spacing w:after="0"/>
              <w:rPr>
                <w:sz w:val="20"/>
                <w:szCs w:val="20"/>
                <w:color w:val="auto"/>
              </w:rPr>
            </w:pPr>
            <w:r>
              <w:rPr>
                <w:rFonts w:ascii="Arial" w:cs="Arial" w:eastAsia="Arial" w:hAnsi="Arial"/>
                <w:sz w:val="17"/>
                <w:szCs w:val="17"/>
                <w:color w:val="auto"/>
              </w:rPr>
              <w:t>53</w:t>
            </w:r>
          </w:p>
        </w:tc>
        <w:tc>
          <w:tcPr>
            <w:tcW w:w="6280" w:type="dxa"/>
            <w:vAlign w:val="bottom"/>
            <w:gridSpan w:val="2"/>
          </w:tcPr>
          <w:p>
            <w:pPr>
              <w:ind w:left="180"/>
              <w:spacing w:after="0"/>
              <w:rPr>
                <w:sz w:val="20"/>
                <w:szCs w:val="20"/>
                <w:color w:val="auto"/>
              </w:rPr>
            </w:pPr>
            <w:r>
              <w:rPr>
                <w:rFonts w:ascii="Arial" w:cs="Arial" w:eastAsia="Arial" w:hAnsi="Arial"/>
                <w:sz w:val="17"/>
                <w:szCs w:val="17"/>
                <w:color w:val="auto"/>
              </w:rPr>
              <w:t>Vice President, Development</w:t>
            </w:r>
          </w:p>
        </w:tc>
      </w:tr>
      <w:tr>
        <w:trPr>
          <w:trHeight w:val="197"/>
        </w:trPr>
        <w:tc>
          <w:tcPr>
            <w:tcW w:w="4060" w:type="dxa"/>
            <w:vAlign w:val="bottom"/>
            <w:gridSpan w:val="2"/>
          </w:tcPr>
          <w:p>
            <w:pPr>
              <w:spacing w:after="0"/>
              <w:rPr>
                <w:sz w:val="20"/>
                <w:szCs w:val="20"/>
                <w:color w:val="auto"/>
              </w:rPr>
            </w:pPr>
            <w:r>
              <w:rPr>
                <w:rFonts w:ascii="Arial" w:cs="Arial" w:eastAsia="Arial" w:hAnsi="Arial"/>
                <w:sz w:val="17"/>
                <w:szCs w:val="17"/>
                <w:color w:val="auto"/>
              </w:rPr>
              <w:t>John Grosso, Ph.D.</w:t>
            </w:r>
          </w:p>
        </w:tc>
        <w:tc>
          <w:tcPr>
            <w:tcW w:w="360" w:type="dxa"/>
            <w:vAlign w:val="bottom"/>
          </w:tcPr>
          <w:p>
            <w:pPr>
              <w:jc w:val="right"/>
              <w:spacing w:after="0"/>
              <w:rPr>
                <w:sz w:val="20"/>
                <w:szCs w:val="20"/>
                <w:color w:val="auto"/>
              </w:rPr>
            </w:pPr>
            <w:r>
              <w:rPr>
                <w:rFonts w:ascii="Arial" w:cs="Arial" w:eastAsia="Arial" w:hAnsi="Arial"/>
                <w:sz w:val="17"/>
                <w:szCs w:val="17"/>
                <w:color w:val="auto"/>
              </w:rPr>
              <w:t>62</w:t>
            </w:r>
          </w:p>
        </w:tc>
        <w:tc>
          <w:tcPr>
            <w:tcW w:w="6280" w:type="dxa"/>
            <w:vAlign w:val="bottom"/>
            <w:gridSpan w:val="2"/>
          </w:tcPr>
          <w:p>
            <w:pPr>
              <w:ind w:left="180"/>
              <w:spacing w:after="0"/>
              <w:rPr>
                <w:sz w:val="20"/>
                <w:szCs w:val="20"/>
                <w:color w:val="auto"/>
              </w:rPr>
            </w:pPr>
            <w:r>
              <w:rPr>
                <w:rFonts w:ascii="Arial" w:cs="Arial" w:eastAsia="Arial" w:hAnsi="Arial"/>
                <w:sz w:val="17"/>
                <w:szCs w:val="17"/>
                <w:color w:val="auto"/>
              </w:rPr>
              <w:t>Vice President, Chemistry, Manufacturing, and Controls</w:t>
            </w:r>
          </w:p>
        </w:tc>
      </w:tr>
      <w:tr>
        <w:trPr>
          <w:trHeight w:val="197"/>
        </w:trPr>
        <w:tc>
          <w:tcPr>
            <w:tcW w:w="4060" w:type="dxa"/>
            <w:vAlign w:val="bottom"/>
            <w:gridSpan w:val="2"/>
          </w:tcPr>
          <w:p>
            <w:pPr>
              <w:spacing w:after="0"/>
              <w:rPr>
                <w:sz w:val="20"/>
                <w:szCs w:val="20"/>
                <w:color w:val="auto"/>
              </w:rPr>
            </w:pPr>
            <w:r>
              <w:rPr>
                <w:rFonts w:ascii="Arial" w:cs="Arial" w:eastAsia="Arial" w:hAnsi="Arial"/>
                <w:sz w:val="17"/>
                <w:szCs w:val="17"/>
                <w:color w:val="auto"/>
              </w:rPr>
              <w:t>Steve Weiss</w:t>
            </w:r>
          </w:p>
        </w:tc>
        <w:tc>
          <w:tcPr>
            <w:tcW w:w="360" w:type="dxa"/>
            <w:vAlign w:val="bottom"/>
          </w:tcPr>
          <w:p>
            <w:pPr>
              <w:jc w:val="right"/>
              <w:spacing w:after="0"/>
              <w:rPr>
                <w:sz w:val="20"/>
                <w:szCs w:val="20"/>
                <w:color w:val="auto"/>
              </w:rPr>
            </w:pPr>
            <w:r>
              <w:rPr>
                <w:rFonts w:ascii="Arial" w:cs="Arial" w:eastAsia="Arial" w:hAnsi="Arial"/>
                <w:sz w:val="17"/>
                <w:szCs w:val="17"/>
                <w:color w:val="auto"/>
              </w:rPr>
              <w:t>49</w:t>
            </w:r>
          </w:p>
        </w:tc>
        <w:tc>
          <w:tcPr>
            <w:tcW w:w="6280" w:type="dxa"/>
            <w:vAlign w:val="bottom"/>
            <w:gridSpan w:val="2"/>
          </w:tcPr>
          <w:p>
            <w:pPr>
              <w:ind w:left="180"/>
              <w:spacing w:after="0"/>
              <w:rPr>
                <w:sz w:val="20"/>
                <w:szCs w:val="20"/>
                <w:color w:val="auto"/>
              </w:rPr>
            </w:pPr>
            <w:r>
              <w:rPr>
                <w:rFonts w:ascii="Arial" w:cs="Arial" w:eastAsia="Arial" w:hAnsi="Arial"/>
                <w:sz w:val="17"/>
                <w:szCs w:val="17"/>
                <w:color w:val="auto"/>
              </w:rPr>
              <w:t>Vice President, Human Resources</w:t>
            </w:r>
          </w:p>
        </w:tc>
      </w:tr>
      <w:tr>
        <w:trPr>
          <w:trHeight w:val="197"/>
        </w:trPr>
        <w:tc>
          <w:tcPr>
            <w:tcW w:w="4060" w:type="dxa"/>
            <w:vAlign w:val="bottom"/>
            <w:gridSpan w:val="2"/>
          </w:tcPr>
          <w:p>
            <w:pPr>
              <w:spacing w:after="0"/>
              <w:rPr>
                <w:sz w:val="20"/>
                <w:szCs w:val="20"/>
                <w:color w:val="auto"/>
              </w:rPr>
            </w:pPr>
            <w:r>
              <w:rPr>
                <w:rFonts w:ascii="Arial" w:cs="Arial" w:eastAsia="Arial" w:hAnsi="Arial"/>
                <w:sz w:val="17"/>
                <w:szCs w:val="17"/>
                <w:color w:val="auto"/>
              </w:rPr>
              <w:t>Randy Teel, Ph.D.</w:t>
            </w:r>
          </w:p>
        </w:tc>
        <w:tc>
          <w:tcPr>
            <w:tcW w:w="360" w:type="dxa"/>
            <w:vAlign w:val="bottom"/>
          </w:tcPr>
          <w:p>
            <w:pPr>
              <w:jc w:val="right"/>
              <w:spacing w:after="0"/>
              <w:rPr>
                <w:sz w:val="20"/>
                <w:szCs w:val="20"/>
                <w:color w:val="auto"/>
              </w:rPr>
            </w:pPr>
            <w:r>
              <w:rPr>
                <w:rFonts w:ascii="Arial" w:cs="Arial" w:eastAsia="Arial" w:hAnsi="Arial"/>
                <w:sz w:val="17"/>
                <w:szCs w:val="17"/>
                <w:color w:val="auto"/>
              </w:rPr>
              <w:t>39</w:t>
            </w:r>
          </w:p>
        </w:tc>
        <w:tc>
          <w:tcPr>
            <w:tcW w:w="6280" w:type="dxa"/>
            <w:vAlign w:val="bottom"/>
            <w:gridSpan w:val="2"/>
          </w:tcPr>
          <w:p>
            <w:pPr>
              <w:ind w:left="180"/>
              <w:spacing w:after="0"/>
              <w:rPr>
                <w:sz w:val="20"/>
                <w:szCs w:val="20"/>
                <w:color w:val="auto"/>
              </w:rPr>
            </w:pPr>
            <w:r>
              <w:rPr>
                <w:rFonts w:ascii="Arial" w:cs="Arial" w:eastAsia="Arial" w:hAnsi="Arial"/>
                <w:sz w:val="17"/>
                <w:szCs w:val="17"/>
                <w:color w:val="auto"/>
              </w:rPr>
              <w:t>Vice President, Corporate Development</w:t>
            </w:r>
          </w:p>
        </w:tc>
      </w:tr>
      <w:tr>
        <w:trPr>
          <w:trHeight w:val="197"/>
        </w:trPr>
        <w:tc>
          <w:tcPr>
            <w:tcW w:w="4060" w:type="dxa"/>
            <w:vAlign w:val="bottom"/>
            <w:gridSpan w:val="2"/>
          </w:tcPr>
          <w:p>
            <w:pPr>
              <w:spacing w:after="0"/>
              <w:rPr>
                <w:sz w:val="20"/>
                <w:szCs w:val="20"/>
                <w:color w:val="auto"/>
              </w:rPr>
            </w:pPr>
            <w:r>
              <w:rPr>
                <w:rFonts w:ascii="Arial" w:cs="Arial" w:eastAsia="Arial" w:hAnsi="Arial"/>
                <w:sz w:val="17"/>
                <w:szCs w:val="17"/>
                <w:color w:val="auto"/>
              </w:rPr>
              <w:t>Angela Cacace, Ph.D.</w:t>
            </w:r>
          </w:p>
        </w:tc>
        <w:tc>
          <w:tcPr>
            <w:tcW w:w="360" w:type="dxa"/>
            <w:vAlign w:val="bottom"/>
          </w:tcPr>
          <w:p>
            <w:pPr>
              <w:jc w:val="right"/>
              <w:spacing w:after="0"/>
              <w:rPr>
                <w:sz w:val="20"/>
                <w:szCs w:val="20"/>
                <w:color w:val="auto"/>
              </w:rPr>
            </w:pPr>
            <w:r>
              <w:rPr>
                <w:rFonts w:ascii="Arial" w:cs="Arial" w:eastAsia="Arial" w:hAnsi="Arial"/>
                <w:sz w:val="17"/>
                <w:szCs w:val="17"/>
                <w:color w:val="auto"/>
              </w:rPr>
              <w:t>51</w:t>
            </w:r>
          </w:p>
        </w:tc>
        <w:tc>
          <w:tcPr>
            <w:tcW w:w="6280" w:type="dxa"/>
            <w:vAlign w:val="bottom"/>
            <w:gridSpan w:val="2"/>
          </w:tcPr>
          <w:p>
            <w:pPr>
              <w:ind w:left="180"/>
              <w:spacing w:after="0"/>
              <w:rPr>
                <w:sz w:val="20"/>
                <w:szCs w:val="20"/>
                <w:color w:val="auto"/>
              </w:rPr>
            </w:pPr>
            <w:r>
              <w:rPr>
                <w:rFonts w:ascii="Arial" w:cs="Arial" w:eastAsia="Arial" w:hAnsi="Arial"/>
                <w:sz w:val="17"/>
                <w:szCs w:val="17"/>
                <w:color w:val="auto"/>
              </w:rPr>
              <w:t>Vice President, Neuroscience and Platform Biology</w:t>
            </w:r>
          </w:p>
        </w:tc>
      </w:tr>
      <w:tr>
        <w:trPr>
          <w:trHeight w:val="197"/>
        </w:trPr>
        <w:tc>
          <w:tcPr>
            <w:tcW w:w="4060" w:type="dxa"/>
            <w:vAlign w:val="bottom"/>
            <w:gridSpan w:val="2"/>
          </w:tcPr>
          <w:p>
            <w:pPr>
              <w:spacing w:after="0"/>
              <w:rPr>
                <w:sz w:val="20"/>
                <w:szCs w:val="20"/>
                <w:color w:val="auto"/>
              </w:rPr>
            </w:pPr>
            <w:r>
              <w:rPr>
                <w:rFonts w:ascii="Arial" w:cs="Arial" w:eastAsia="Arial" w:hAnsi="Arial"/>
                <w:sz w:val="17"/>
                <w:szCs w:val="17"/>
                <w:color w:val="auto"/>
              </w:rPr>
              <w:t>Matthew Batters</w:t>
            </w:r>
          </w:p>
        </w:tc>
        <w:tc>
          <w:tcPr>
            <w:tcW w:w="360" w:type="dxa"/>
            <w:vAlign w:val="bottom"/>
          </w:tcPr>
          <w:p>
            <w:pPr>
              <w:jc w:val="right"/>
              <w:spacing w:after="0"/>
              <w:rPr>
                <w:sz w:val="20"/>
                <w:szCs w:val="20"/>
                <w:color w:val="auto"/>
              </w:rPr>
            </w:pPr>
            <w:r>
              <w:rPr>
                <w:rFonts w:ascii="Arial" w:cs="Arial" w:eastAsia="Arial" w:hAnsi="Arial"/>
                <w:sz w:val="17"/>
                <w:szCs w:val="17"/>
                <w:color w:val="auto"/>
              </w:rPr>
              <w:t>43</w:t>
            </w:r>
          </w:p>
        </w:tc>
        <w:tc>
          <w:tcPr>
            <w:tcW w:w="6280" w:type="dxa"/>
            <w:vAlign w:val="bottom"/>
            <w:gridSpan w:val="2"/>
          </w:tcPr>
          <w:p>
            <w:pPr>
              <w:ind w:left="180"/>
              <w:spacing w:after="0"/>
              <w:rPr>
                <w:sz w:val="20"/>
                <w:szCs w:val="20"/>
                <w:color w:val="auto"/>
              </w:rPr>
            </w:pPr>
            <w:r>
              <w:rPr>
                <w:rFonts w:ascii="Arial" w:cs="Arial" w:eastAsia="Arial" w:hAnsi="Arial"/>
                <w:sz w:val="17"/>
                <w:szCs w:val="17"/>
                <w:color w:val="auto"/>
              </w:rPr>
              <w:t>Executive Director, Alliance Management, Business Development, and</w:t>
            </w:r>
          </w:p>
        </w:tc>
      </w:tr>
      <w:tr>
        <w:trPr>
          <w:trHeight w:val="210"/>
        </w:trPr>
        <w:tc>
          <w:tcPr>
            <w:tcW w:w="4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80" w:type="dxa"/>
            <w:vAlign w:val="bottom"/>
            <w:gridSpan w:val="2"/>
          </w:tcPr>
          <w:p>
            <w:pPr>
              <w:ind w:left="180"/>
              <w:spacing w:after="0"/>
              <w:rPr>
                <w:sz w:val="20"/>
                <w:szCs w:val="20"/>
                <w:color w:val="auto"/>
              </w:rPr>
            </w:pPr>
            <w:r>
              <w:rPr>
                <w:rFonts w:ascii="Arial" w:cs="Arial" w:eastAsia="Arial" w:hAnsi="Arial"/>
                <w:sz w:val="17"/>
                <w:szCs w:val="17"/>
                <w:color w:val="auto"/>
              </w:rPr>
              <w:t>Corporate Counsel</w:t>
            </w:r>
          </w:p>
        </w:tc>
      </w:tr>
      <w:tr>
        <w:trPr>
          <w:trHeight w:val="288"/>
        </w:trPr>
        <w:tc>
          <w:tcPr>
            <w:tcW w:w="4060" w:type="dxa"/>
            <w:vAlign w:val="bottom"/>
            <w:gridSpan w:val="2"/>
          </w:tcPr>
          <w:p>
            <w:pPr>
              <w:spacing w:after="0"/>
              <w:rPr>
                <w:sz w:val="20"/>
                <w:szCs w:val="20"/>
                <w:color w:val="auto"/>
              </w:rPr>
            </w:pPr>
            <w:r>
              <w:rPr>
                <w:rFonts w:ascii="Arial" w:cs="Arial" w:eastAsia="Arial" w:hAnsi="Arial"/>
                <w:sz w:val="17"/>
                <w:szCs w:val="17"/>
                <w:b w:val="1"/>
                <w:bCs w:val="1"/>
                <w:color w:val="auto"/>
              </w:rPr>
              <w:t>Non-Employee Directors</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80" w:type="dxa"/>
            <w:vAlign w:val="bottom"/>
          </w:tcPr>
          <w:p>
            <w:pPr>
              <w:spacing w:after="0"/>
              <w:rPr>
                <w:sz w:val="24"/>
                <w:szCs w:val="24"/>
                <w:color w:val="auto"/>
              </w:rPr>
            </w:pPr>
          </w:p>
        </w:tc>
      </w:tr>
      <w:tr>
        <w:trPr>
          <w:trHeight w:val="197"/>
        </w:trPr>
        <w:tc>
          <w:tcPr>
            <w:tcW w:w="4060" w:type="dxa"/>
            <w:vAlign w:val="bottom"/>
            <w:gridSpan w:val="2"/>
          </w:tcPr>
          <w:p>
            <w:pPr>
              <w:spacing w:after="0"/>
              <w:rPr>
                <w:sz w:val="20"/>
                <w:szCs w:val="20"/>
                <w:color w:val="auto"/>
              </w:rPr>
            </w:pPr>
            <w:r>
              <w:rPr>
                <w:rFonts w:ascii="Arial" w:cs="Arial" w:eastAsia="Arial" w:hAnsi="Arial"/>
                <w:sz w:val="17"/>
                <w:szCs w:val="17"/>
                <w:color w:val="auto"/>
              </w:rPr>
              <w:t>Timothy Shannon, M.D.(2)</w:t>
            </w:r>
          </w:p>
        </w:tc>
        <w:tc>
          <w:tcPr>
            <w:tcW w:w="360" w:type="dxa"/>
            <w:vAlign w:val="bottom"/>
          </w:tcPr>
          <w:p>
            <w:pPr>
              <w:jc w:val="right"/>
              <w:spacing w:after="0"/>
              <w:rPr>
                <w:sz w:val="20"/>
                <w:szCs w:val="20"/>
                <w:color w:val="auto"/>
              </w:rPr>
            </w:pPr>
            <w:r>
              <w:rPr>
                <w:rFonts w:ascii="Arial" w:cs="Arial" w:eastAsia="Arial" w:hAnsi="Arial"/>
                <w:sz w:val="17"/>
                <w:szCs w:val="17"/>
                <w:color w:val="auto"/>
              </w:rPr>
              <w:t>59</w:t>
            </w:r>
          </w:p>
        </w:tc>
        <w:tc>
          <w:tcPr>
            <w:tcW w:w="6280" w:type="dxa"/>
            <w:vAlign w:val="bottom"/>
            <w:gridSpan w:val="2"/>
          </w:tcPr>
          <w:p>
            <w:pPr>
              <w:ind w:left="180"/>
              <w:spacing w:after="0"/>
              <w:rPr>
                <w:sz w:val="20"/>
                <w:szCs w:val="20"/>
                <w:color w:val="auto"/>
              </w:rPr>
            </w:pPr>
            <w:r>
              <w:rPr>
                <w:rFonts w:ascii="Arial" w:cs="Arial" w:eastAsia="Arial" w:hAnsi="Arial"/>
                <w:sz w:val="17"/>
                <w:szCs w:val="17"/>
                <w:color w:val="auto"/>
              </w:rPr>
              <w:t>Chairman of the Board of Directors</w:t>
            </w:r>
          </w:p>
        </w:tc>
      </w:tr>
      <w:tr>
        <w:trPr>
          <w:trHeight w:val="197"/>
        </w:trPr>
        <w:tc>
          <w:tcPr>
            <w:tcW w:w="4060" w:type="dxa"/>
            <w:vAlign w:val="bottom"/>
            <w:gridSpan w:val="2"/>
          </w:tcPr>
          <w:p>
            <w:pPr>
              <w:spacing w:after="0"/>
              <w:rPr>
                <w:sz w:val="20"/>
                <w:szCs w:val="20"/>
                <w:color w:val="auto"/>
              </w:rPr>
            </w:pPr>
            <w:r>
              <w:rPr>
                <w:rFonts w:ascii="Arial" w:cs="Arial" w:eastAsia="Arial" w:hAnsi="Arial"/>
                <w:sz w:val="17"/>
                <w:szCs w:val="17"/>
                <w:color w:val="auto"/>
              </w:rPr>
              <w:t>Edward Kennedy, Jr.(3)</w:t>
            </w:r>
          </w:p>
        </w:tc>
        <w:tc>
          <w:tcPr>
            <w:tcW w:w="360" w:type="dxa"/>
            <w:vAlign w:val="bottom"/>
          </w:tcPr>
          <w:p>
            <w:pPr>
              <w:jc w:val="right"/>
              <w:spacing w:after="0"/>
              <w:rPr>
                <w:sz w:val="20"/>
                <w:szCs w:val="20"/>
                <w:color w:val="auto"/>
              </w:rPr>
            </w:pPr>
            <w:r>
              <w:rPr>
                <w:rFonts w:ascii="Arial" w:cs="Arial" w:eastAsia="Arial" w:hAnsi="Arial"/>
                <w:sz w:val="17"/>
                <w:szCs w:val="17"/>
                <w:color w:val="auto"/>
              </w:rPr>
              <w:t>56</w:t>
            </w:r>
          </w:p>
        </w:tc>
        <w:tc>
          <w:tcPr>
            <w:tcW w:w="6280" w:type="dxa"/>
            <w:vAlign w:val="bottom"/>
            <w:gridSpan w:val="2"/>
          </w:tcPr>
          <w:p>
            <w:pPr>
              <w:ind w:left="180"/>
              <w:spacing w:after="0"/>
              <w:rPr>
                <w:sz w:val="20"/>
                <w:szCs w:val="20"/>
                <w:color w:val="auto"/>
              </w:rPr>
            </w:pPr>
            <w:r>
              <w:rPr>
                <w:rFonts w:ascii="Arial" w:cs="Arial" w:eastAsia="Arial" w:hAnsi="Arial"/>
                <w:sz w:val="17"/>
                <w:szCs w:val="17"/>
                <w:color w:val="auto"/>
              </w:rPr>
              <w:t>Director</w:t>
            </w:r>
          </w:p>
        </w:tc>
      </w:tr>
      <w:tr>
        <w:trPr>
          <w:trHeight w:val="197"/>
        </w:trPr>
        <w:tc>
          <w:tcPr>
            <w:tcW w:w="4060" w:type="dxa"/>
            <w:vAlign w:val="bottom"/>
            <w:gridSpan w:val="2"/>
          </w:tcPr>
          <w:p>
            <w:pPr>
              <w:spacing w:after="0"/>
              <w:rPr>
                <w:sz w:val="20"/>
                <w:szCs w:val="20"/>
                <w:color w:val="auto"/>
              </w:rPr>
            </w:pPr>
            <w:r>
              <w:rPr>
                <w:rFonts w:ascii="Arial" w:cs="Arial" w:eastAsia="Arial" w:hAnsi="Arial"/>
                <w:sz w:val="17"/>
                <w:szCs w:val="17"/>
                <w:color w:val="auto"/>
              </w:rPr>
              <w:t>Andrew Levin, M.D., Ph.D.*</w:t>
            </w:r>
          </w:p>
        </w:tc>
        <w:tc>
          <w:tcPr>
            <w:tcW w:w="360" w:type="dxa"/>
            <w:vAlign w:val="bottom"/>
          </w:tcPr>
          <w:p>
            <w:pPr>
              <w:jc w:val="right"/>
              <w:spacing w:after="0"/>
              <w:rPr>
                <w:sz w:val="20"/>
                <w:szCs w:val="20"/>
                <w:color w:val="auto"/>
              </w:rPr>
            </w:pPr>
            <w:r>
              <w:rPr>
                <w:rFonts w:ascii="Arial" w:cs="Arial" w:eastAsia="Arial" w:hAnsi="Arial"/>
                <w:sz w:val="17"/>
                <w:szCs w:val="17"/>
                <w:color w:val="auto"/>
              </w:rPr>
              <w:t>41</w:t>
            </w:r>
          </w:p>
        </w:tc>
        <w:tc>
          <w:tcPr>
            <w:tcW w:w="6280" w:type="dxa"/>
            <w:vAlign w:val="bottom"/>
            <w:gridSpan w:val="2"/>
          </w:tcPr>
          <w:p>
            <w:pPr>
              <w:ind w:left="180"/>
              <w:spacing w:after="0"/>
              <w:rPr>
                <w:sz w:val="20"/>
                <w:szCs w:val="20"/>
                <w:color w:val="auto"/>
              </w:rPr>
            </w:pPr>
            <w:r>
              <w:rPr>
                <w:rFonts w:ascii="Arial" w:cs="Arial" w:eastAsia="Arial" w:hAnsi="Arial"/>
                <w:sz w:val="17"/>
                <w:szCs w:val="17"/>
                <w:color w:val="auto"/>
              </w:rPr>
              <w:t>Director</w:t>
            </w:r>
          </w:p>
        </w:tc>
      </w:tr>
      <w:tr>
        <w:trPr>
          <w:trHeight w:val="197"/>
        </w:trPr>
        <w:tc>
          <w:tcPr>
            <w:tcW w:w="4060" w:type="dxa"/>
            <w:vAlign w:val="bottom"/>
            <w:gridSpan w:val="2"/>
          </w:tcPr>
          <w:p>
            <w:pPr>
              <w:spacing w:after="0"/>
              <w:rPr>
                <w:sz w:val="20"/>
                <w:szCs w:val="20"/>
                <w:color w:val="auto"/>
              </w:rPr>
            </w:pPr>
            <w:r>
              <w:rPr>
                <w:rFonts w:ascii="Arial" w:cs="Arial" w:eastAsia="Arial" w:hAnsi="Arial"/>
                <w:sz w:val="17"/>
                <w:szCs w:val="17"/>
                <w:color w:val="auto"/>
              </w:rPr>
              <w:t>Jakob Loven, Ph.D.(1)</w:t>
            </w:r>
          </w:p>
        </w:tc>
        <w:tc>
          <w:tcPr>
            <w:tcW w:w="360" w:type="dxa"/>
            <w:vAlign w:val="bottom"/>
          </w:tcPr>
          <w:p>
            <w:pPr>
              <w:jc w:val="right"/>
              <w:spacing w:after="0"/>
              <w:rPr>
                <w:sz w:val="20"/>
                <w:szCs w:val="20"/>
                <w:color w:val="auto"/>
              </w:rPr>
            </w:pPr>
            <w:r>
              <w:rPr>
                <w:rFonts w:ascii="Arial" w:cs="Arial" w:eastAsia="Arial" w:hAnsi="Arial"/>
                <w:sz w:val="17"/>
                <w:szCs w:val="17"/>
                <w:color w:val="auto"/>
              </w:rPr>
              <w:t>40</w:t>
            </w:r>
          </w:p>
        </w:tc>
        <w:tc>
          <w:tcPr>
            <w:tcW w:w="6280" w:type="dxa"/>
            <w:vAlign w:val="bottom"/>
            <w:gridSpan w:val="2"/>
          </w:tcPr>
          <w:p>
            <w:pPr>
              <w:ind w:left="180"/>
              <w:spacing w:after="0"/>
              <w:rPr>
                <w:sz w:val="20"/>
                <w:szCs w:val="20"/>
                <w:color w:val="auto"/>
              </w:rPr>
            </w:pPr>
            <w:r>
              <w:rPr>
                <w:rFonts w:ascii="Arial" w:cs="Arial" w:eastAsia="Arial" w:hAnsi="Arial"/>
                <w:sz w:val="17"/>
                <w:szCs w:val="17"/>
                <w:color w:val="auto"/>
              </w:rPr>
              <w:t>Director</w:t>
            </w:r>
          </w:p>
        </w:tc>
      </w:tr>
      <w:tr>
        <w:trPr>
          <w:trHeight w:val="197"/>
        </w:trPr>
        <w:tc>
          <w:tcPr>
            <w:tcW w:w="4060" w:type="dxa"/>
            <w:vAlign w:val="bottom"/>
            <w:gridSpan w:val="2"/>
          </w:tcPr>
          <w:p>
            <w:pPr>
              <w:spacing w:after="0"/>
              <w:rPr>
                <w:sz w:val="20"/>
                <w:szCs w:val="20"/>
                <w:color w:val="auto"/>
              </w:rPr>
            </w:pPr>
            <w:r>
              <w:rPr>
                <w:rFonts w:ascii="Arial" w:cs="Arial" w:eastAsia="Arial" w:hAnsi="Arial"/>
                <w:sz w:val="17"/>
                <w:szCs w:val="17"/>
                <w:color w:val="auto"/>
              </w:rPr>
              <w:t>Bradley Margus(1)</w:t>
            </w:r>
          </w:p>
        </w:tc>
        <w:tc>
          <w:tcPr>
            <w:tcW w:w="360" w:type="dxa"/>
            <w:vAlign w:val="bottom"/>
          </w:tcPr>
          <w:p>
            <w:pPr>
              <w:jc w:val="right"/>
              <w:spacing w:after="0"/>
              <w:rPr>
                <w:sz w:val="20"/>
                <w:szCs w:val="20"/>
                <w:color w:val="auto"/>
              </w:rPr>
            </w:pPr>
            <w:r>
              <w:rPr>
                <w:rFonts w:ascii="Arial" w:cs="Arial" w:eastAsia="Arial" w:hAnsi="Arial"/>
                <w:sz w:val="17"/>
                <w:szCs w:val="17"/>
                <w:color w:val="auto"/>
              </w:rPr>
              <w:t>58</w:t>
            </w:r>
          </w:p>
        </w:tc>
        <w:tc>
          <w:tcPr>
            <w:tcW w:w="6280" w:type="dxa"/>
            <w:vAlign w:val="bottom"/>
            <w:gridSpan w:val="2"/>
          </w:tcPr>
          <w:p>
            <w:pPr>
              <w:ind w:left="180"/>
              <w:spacing w:after="0"/>
              <w:rPr>
                <w:sz w:val="20"/>
                <w:szCs w:val="20"/>
                <w:color w:val="auto"/>
              </w:rPr>
            </w:pPr>
            <w:r>
              <w:rPr>
                <w:rFonts w:ascii="Arial" w:cs="Arial" w:eastAsia="Arial" w:hAnsi="Arial"/>
                <w:sz w:val="17"/>
                <w:szCs w:val="17"/>
                <w:color w:val="auto"/>
              </w:rPr>
              <w:t>Director</w:t>
            </w:r>
          </w:p>
        </w:tc>
      </w:tr>
      <w:tr>
        <w:trPr>
          <w:trHeight w:val="197"/>
        </w:trPr>
        <w:tc>
          <w:tcPr>
            <w:tcW w:w="4060" w:type="dxa"/>
            <w:vAlign w:val="bottom"/>
            <w:gridSpan w:val="2"/>
          </w:tcPr>
          <w:p>
            <w:pPr>
              <w:spacing w:after="0"/>
              <w:rPr>
                <w:sz w:val="20"/>
                <w:szCs w:val="20"/>
                <w:color w:val="auto"/>
              </w:rPr>
            </w:pPr>
            <w:r>
              <w:rPr>
                <w:rFonts w:ascii="Arial" w:cs="Arial" w:eastAsia="Arial" w:hAnsi="Arial"/>
                <w:sz w:val="17"/>
                <w:szCs w:val="17"/>
                <w:color w:val="auto"/>
              </w:rPr>
              <w:t>Briggs Morrison, M.D.(3)</w:t>
            </w:r>
          </w:p>
        </w:tc>
        <w:tc>
          <w:tcPr>
            <w:tcW w:w="360" w:type="dxa"/>
            <w:vAlign w:val="bottom"/>
          </w:tcPr>
          <w:p>
            <w:pPr>
              <w:jc w:val="right"/>
              <w:spacing w:after="0"/>
              <w:rPr>
                <w:sz w:val="20"/>
                <w:szCs w:val="20"/>
                <w:color w:val="auto"/>
              </w:rPr>
            </w:pPr>
            <w:r>
              <w:rPr>
                <w:rFonts w:ascii="Arial" w:cs="Arial" w:eastAsia="Arial" w:hAnsi="Arial"/>
                <w:sz w:val="17"/>
                <w:szCs w:val="17"/>
                <w:color w:val="auto"/>
              </w:rPr>
              <w:t>59</w:t>
            </w:r>
          </w:p>
        </w:tc>
        <w:tc>
          <w:tcPr>
            <w:tcW w:w="6280" w:type="dxa"/>
            <w:vAlign w:val="bottom"/>
            <w:gridSpan w:val="2"/>
          </w:tcPr>
          <w:p>
            <w:pPr>
              <w:ind w:left="180"/>
              <w:spacing w:after="0"/>
              <w:rPr>
                <w:sz w:val="20"/>
                <w:szCs w:val="20"/>
                <w:color w:val="auto"/>
              </w:rPr>
            </w:pPr>
            <w:r>
              <w:rPr>
                <w:rFonts w:ascii="Arial" w:cs="Arial" w:eastAsia="Arial" w:hAnsi="Arial"/>
                <w:sz w:val="17"/>
                <w:szCs w:val="17"/>
                <w:color w:val="auto"/>
              </w:rPr>
              <w:t>Director</w:t>
            </w:r>
          </w:p>
        </w:tc>
      </w:tr>
      <w:tr>
        <w:trPr>
          <w:trHeight w:val="197"/>
        </w:trPr>
        <w:tc>
          <w:tcPr>
            <w:tcW w:w="4060" w:type="dxa"/>
            <w:vAlign w:val="bottom"/>
            <w:gridSpan w:val="2"/>
          </w:tcPr>
          <w:p>
            <w:pPr>
              <w:spacing w:after="0"/>
              <w:rPr>
                <w:sz w:val="20"/>
                <w:szCs w:val="20"/>
                <w:color w:val="auto"/>
              </w:rPr>
            </w:pPr>
            <w:r>
              <w:rPr>
                <w:rFonts w:ascii="Arial" w:cs="Arial" w:eastAsia="Arial" w:hAnsi="Arial"/>
                <w:sz w:val="17"/>
                <w:szCs w:val="17"/>
                <w:color w:val="auto"/>
              </w:rPr>
              <w:t>Kush Parmar, M.D., Ph.D.(1)</w:t>
            </w:r>
          </w:p>
        </w:tc>
        <w:tc>
          <w:tcPr>
            <w:tcW w:w="360" w:type="dxa"/>
            <w:vAlign w:val="bottom"/>
          </w:tcPr>
          <w:p>
            <w:pPr>
              <w:jc w:val="right"/>
              <w:spacing w:after="0"/>
              <w:rPr>
                <w:sz w:val="20"/>
                <w:szCs w:val="20"/>
                <w:color w:val="auto"/>
              </w:rPr>
            </w:pPr>
            <w:r>
              <w:rPr>
                <w:rFonts w:ascii="Arial" w:cs="Arial" w:eastAsia="Arial" w:hAnsi="Arial"/>
                <w:sz w:val="17"/>
                <w:szCs w:val="17"/>
                <w:color w:val="auto"/>
              </w:rPr>
              <w:t>37</w:t>
            </w:r>
          </w:p>
        </w:tc>
        <w:tc>
          <w:tcPr>
            <w:tcW w:w="6280" w:type="dxa"/>
            <w:vAlign w:val="bottom"/>
            <w:gridSpan w:val="2"/>
          </w:tcPr>
          <w:p>
            <w:pPr>
              <w:ind w:left="180"/>
              <w:spacing w:after="0"/>
              <w:rPr>
                <w:sz w:val="20"/>
                <w:szCs w:val="20"/>
                <w:color w:val="auto"/>
              </w:rPr>
            </w:pPr>
            <w:r>
              <w:rPr>
                <w:rFonts w:ascii="Arial" w:cs="Arial" w:eastAsia="Arial" w:hAnsi="Arial"/>
                <w:sz w:val="17"/>
                <w:szCs w:val="17"/>
                <w:color w:val="auto"/>
              </w:rPr>
              <w:t>Director</w:t>
            </w:r>
          </w:p>
        </w:tc>
      </w:tr>
      <w:tr>
        <w:trPr>
          <w:trHeight w:val="197"/>
        </w:trPr>
        <w:tc>
          <w:tcPr>
            <w:tcW w:w="4060" w:type="dxa"/>
            <w:vAlign w:val="bottom"/>
            <w:gridSpan w:val="2"/>
          </w:tcPr>
          <w:p>
            <w:pPr>
              <w:spacing w:after="0"/>
              <w:rPr>
                <w:sz w:val="20"/>
                <w:szCs w:val="20"/>
                <w:color w:val="auto"/>
              </w:rPr>
            </w:pPr>
            <w:r>
              <w:rPr>
                <w:rFonts w:ascii="Arial" w:cs="Arial" w:eastAsia="Arial" w:hAnsi="Arial"/>
                <w:sz w:val="17"/>
                <w:szCs w:val="17"/>
                <w:color w:val="auto"/>
              </w:rPr>
              <w:t>Liam Ratcliffe, M.D., Ph.D.(2)</w:t>
            </w:r>
          </w:p>
        </w:tc>
        <w:tc>
          <w:tcPr>
            <w:tcW w:w="360" w:type="dxa"/>
            <w:vAlign w:val="bottom"/>
          </w:tcPr>
          <w:p>
            <w:pPr>
              <w:jc w:val="right"/>
              <w:spacing w:after="0"/>
              <w:rPr>
                <w:sz w:val="20"/>
                <w:szCs w:val="20"/>
                <w:color w:val="auto"/>
              </w:rPr>
            </w:pPr>
            <w:r>
              <w:rPr>
                <w:rFonts w:ascii="Arial" w:cs="Arial" w:eastAsia="Arial" w:hAnsi="Arial"/>
                <w:sz w:val="17"/>
                <w:szCs w:val="17"/>
                <w:color w:val="auto"/>
              </w:rPr>
              <w:t>55</w:t>
            </w:r>
          </w:p>
        </w:tc>
        <w:tc>
          <w:tcPr>
            <w:tcW w:w="6280" w:type="dxa"/>
            <w:vAlign w:val="bottom"/>
            <w:gridSpan w:val="2"/>
          </w:tcPr>
          <w:p>
            <w:pPr>
              <w:ind w:left="180"/>
              <w:spacing w:after="0"/>
              <w:rPr>
                <w:sz w:val="20"/>
                <w:szCs w:val="20"/>
                <w:color w:val="auto"/>
              </w:rPr>
            </w:pPr>
            <w:r>
              <w:rPr>
                <w:rFonts w:ascii="Arial" w:cs="Arial" w:eastAsia="Arial" w:hAnsi="Arial"/>
                <w:sz w:val="17"/>
                <w:szCs w:val="17"/>
                <w:color w:val="auto"/>
              </w:rPr>
              <w:t>Director</w:t>
            </w:r>
          </w:p>
        </w:tc>
      </w:tr>
      <w:tr>
        <w:trPr>
          <w:trHeight w:val="197"/>
        </w:trPr>
        <w:tc>
          <w:tcPr>
            <w:tcW w:w="4060" w:type="dxa"/>
            <w:vAlign w:val="bottom"/>
            <w:gridSpan w:val="2"/>
          </w:tcPr>
          <w:p>
            <w:pPr>
              <w:spacing w:after="0"/>
              <w:rPr>
                <w:sz w:val="20"/>
                <w:szCs w:val="20"/>
                <w:color w:val="auto"/>
              </w:rPr>
            </w:pPr>
            <w:r>
              <w:rPr>
                <w:rFonts w:ascii="Arial" w:cs="Arial" w:eastAsia="Arial" w:hAnsi="Arial"/>
                <w:sz w:val="17"/>
                <w:szCs w:val="17"/>
                <w:color w:val="auto"/>
              </w:rPr>
              <w:t>E. Jonathan Soderstrom, Ph.D.*</w:t>
            </w:r>
          </w:p>
        </w:tc>
        <w:tc>
          <w:tcPr>
            <w:tcW w:w="360" w:type="dxa"/>
            <w:vAlign w:val="bottom"/>
          </w:tcPr>
          <w:p>
            <w:pPr>
              <w:jc w:val="right"/>
              <w:spacing w:after="0"/>
              <w:rPr>
                <w:sz w:val="20"/>
                <w:szCs w:val="20"/>
                <w:color w:val="auto"/>
              </w:rPr>
            </w:pPr>
            <w:r>
              <w:rPr>
                <w:rFonts w:ascii="Arial" w:cs="Arial" w:eastAsia="Arial" w:hAnsi="Arial"/>
                <w:sz w:val="17"/>
                <w:szCs w:val="17"/>
                <w:color w:val="auto"/>
              </w:rPr>
              <w:t>63</w:t>
            </w:r>
          </w:p>
        </w:tc>
        <w:tc>
          <w:tcPr>
            <w:tcW w:w="6280" w:type="dxa"/>
            <w:vAlign w:val="bottom"/>
            <w:gridSpan w:val="2"/>
          </w:tcPr>
          <w:p>
            <w:pPr>
              <w:ind w:left="180"/>
              <w:spacing w:after="0"/>
              <w:rPr>
                <w:sz w:val="20"/>
                <w:szCs w:val="20"/>
                <w:color w:val="auto"/>
              </w:rPr>
            </w:pPr>
            <w:r>
              <w:rPr>
                <w:rFonts w:ascii="Arial" w:cs="Arial" w:eastAsia="Arial" w:hAnsi="Arial"/>
                <w:sz w:val="17"/>
                <w:szCs w:val="17"/>
                <w:color w:val="auto"/>
              </w:rPr>
              <w:t>Director</w:t>
            </w:r>
          </w:p>
        </w:tc>
      </w:tr>
      <w:tr>
        <w:trPr>
          <w:trHeight w:val="210"/>
        </w:trPr>
        <w:tc>
          <w:tcPr>
            <w:tcW w:w="4060" w:type="dxa"/>
            <w:vAlign w:val="bottom"/>
            <w:gridSpan w:val="2"/>
          </w:tcPr>
          <w:p>
            <w:pPr>
              <w:spacing w:after="0"/>
              <w:rPr>
                <w:sz w:val="20"/>
                <w:szCs w:val="20"/>
                <w:color w:val="auto"/>
              </w:rPr>
            </w:pPr>
            <w:r>
              <w:rPr>
                <w:rFonts w:ascii="Arial" w:cs="Arial" w:eastAsia="Arial" w:hAnsi="Arial"/>
                <w:sz w:val="17"/>
                <w:szCs w:val="17"/>
                <w:color w:val="auto"/>
              </w:rPr>
              <w:t>Stephen Squinto, Ph.D.*</w:t>
            </w:r>
          </w:p>
        </w:tc>
        <w:tc>
          <w:tcPr>
            <w:tcW w:w="360" w:type="dxa"/>
            <w:vAlign w:val="bottom"/>
          </w:tcPr>
          <w:p>
            <w:pPr>
              <w:jc w:val="right"/>
              <w:spacing w:after="0"/>
              <w:rPr>
                <w:sz w:val="20"/>
                <w:szCs w:val="20"/>
                <w:color w:val="auto"/>
              </w:rPr>
            </w:pPr>
            <w:r>
              <w:rPr>
                <w:rFonts w:ascii="Arial" w:cs="Arial" w:eastAsia="Arial" w:hAnsi="Arial"/>
                <w:sz w:val="17"/>
                <w:szCs w:val="17"/>
                <w:color w:val="auto"/>
              </w:rPr>
              <w:t>61</w:t>
            </w:r>
          </w:p>
        </w:tc>
        <w:tc>
          <w:tcPr>
            <w:tcW w:w="6280" w:type="dxa"/>
            <w:vAlign w:val="bottom"/>
            <w:gridSpan w:val="2"/>
          </w:tcPr>
          <w:p>
            <w:pPr>
              <w:ind w:left="180"/>
              <w:spacing w:after="0"/>
              <w:rPr>
                <w:sz w:val="20"/>
                <w:szCs w:val="20"/>
                <w:color w:val="auto"/>
              </w:rPr>
            </w:pPr>
            <w:r>
              <w:rPr>
                <w:rFonts w:ascii="Arial" w:cs="Arial" w:eastAsia="Arial" w:hAnsi="Arial"/>
                <w:sz w:val="17"/>
                <w:szCs w:val="17"/>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74930</wp:posOffset>
            </wp:positionV>
            <wp:extent cx="6743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74370" cy="8255"/>
                    </a:xfrm>
                    <a:prstGeom prst="rect">
                      <a:avLst/>
                    </a:prstGeom>
                    <a:noFill/>
                  </pic:spPr>
                </pic:pic>
              </a:graphicData>
            </a:graphic>
          </wp:anchor>
        </w:drawing>
      </w:r>
    </w:p>
    <w:p>
      <w:pPr>
        <w:spacing w:after="0" w:line="150" w:lineRule="exact"/>
        <w:rPr>
          <w:sz w:val="20"/>
          <w:szCs w:val="20"/>
          <w:color w:val="auto"/>
        </w:rPr>
      </w:pPr>
    </w:p>
    <w:p>
      <w:pPr>
        <w:ind w:left="880" w:hanging="515"/>
        <w:spacing w:after="0"/>
        <w:tabs>
          <w:tab w:leader="none" w:pos="8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Member of the Audit Committee</w:t>
      </w:r>
    </w:p>
    <w:p>
      <w:pPr>
        <w:spacing w:after="0" w:line="1" w:lineRule="exact"/>
        <w:rPr>
          <w:rFonts w:ascii="Arial" w:cs="Arial" w:eastAsia="Arial" w:hAnsi="Arial"/>
          <w:sz w:val="17"/>
          <w:szCs w:val="17"/>
          <w:color w:val="auto"/>
        </w:rPr>
      </w:pPr>
    </w:p>
    <w:p>
      <w:pPr>
        <w:ind w:left="880" w:hanging="515"/>
        <w:spacing w:after="0"/>
        <w:tabs>
          <w:tab w:leader="none" w:pos="8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Member of the Compensation Committee</w:t>
      </w:r>
    </w:p>
    <w:p>
      <w:pPr>
        <w:spacing w:after="0" w:line="1" w:lineRule="exact"/>
        <w:rPr>
          <w:rFonts w:ascii="Arial" w:cs="Arial" w:eastAsia="Arial" w:hAnsi="Arial"/>
          <w:sz w:val="17"/>
          <w:szCs w:val="17"/>
          <w:color w:val="auto"/>
        </w:rPr>
      </w:pPr>
    </w:p>
    <w:p>
      <w:pPr>
        <w:ind w:left="880" w:hanging="515"/>
        <w:spacing w:after="0"/>
        <w:tabs>
          <w:tab w:leader="none" w:pos="8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Member of the Nominating and Corporate Governance Committee</w:t>
      </w:r>
    </w:p>
    <w:p>
      <w:pPr>
        <w:spacing w:after="0" w:line="1" w:lineRule="exact"/>
        <w:rPr>
          <w:sz w:val="20"/>
          <w:szCs w:val="20"/>
          <w:color w:val="auto"/>
        </w:rPr>
      </w:pPr>
    </w:p>
    <w:p>
      <w:pPr>
        <w:ind w:left="880" w:right="920" w:hanging="515"/>
        <w:spacing w:after="0" w:line="259" w:lineRule="auto"/>
        <w:tabs>
          <w:tab w:leader="none" w:pos="8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Each of Dr. Levin, Dr. Soderstrom and Dr. Squinto resigned from our board of directors effective immediately prior to the effectiveness of the registration statement of which this prospectus forms a part.</w:t>
      </w:r>
    </w:p>
    <w:p>
      <w:pPr>
        <w:spacing w:after="0" w:line="264"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Executive Officers</w:t>
      </w:r>
    </w:p>
    <w:p>
      <w:pPr>
        <w:spacing w:after="0" w:line="215" w:lineRule="exact"/>
        <w:rPr>
          <w:sz w:val="20"/>
          <w:szCs w:val="20"/>
          <w:color w:val="auto"/>
        </w:rPr>
      </w:pPr>
    </w:p>
    <w:p>
      <w:pPr>
        <w:ind w:left="360" w:right="20" w:firstLine="535"/>
        <w:spacing w:after="0" w:line="247" w:lineRule="auto"/>
        <w:rPr>
          <w:sz w:val="20"/>
          <w:szCs w:val="20"/>
          <w:color w:val="auto"/>
        </w:rPr>
      </w:pPr>
      <w:r>
        <w:rPr>
          <w:rFonts w:ascii="Arial" w:cs="Arial" w:eastAsia="Arial" w:hAnsi="Arial"/>
          <w:sz w:val="17"/>
          <w:szCs w:val="17"/>
          <w:i w:val="1"/>
          <w:iCs w:val="1"/>
          <w:color w:val="auto"/>
        </w:rPr>
        <w:t>John Houston, Ph.D</w:t>
      </w:r>
      <w:r>
        <w:rPr>
          <w:rFonts w:ascii="Arial" w:cs="Arial" w:eastAsia="Arial" w:hAnsi="Arial"/>
          <w:sz w:val="17"/>
          <w:szCs w:val="17"/>
          <w:color w:val="auto"/>
        </w:rPr>
        <w:t>. has served as a member of our board of directors and as our President and Chief Executive Officer since</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2017. Dr. Houston served as our President of Research and Development and Chief Scientific Officer from January 2017 to September 2017 and has functioned as our principal executive officer since February 2017. Prior to joining Arvinas, Dr. Houston served as Senior Vice President of Specialty Discovery and R&amp;D Site Evolution at Bristol Myers Squibb Company, a biopharmaceutical company, from September 2015 to August 2016, and as Senior Vice President Disease Sciences and Biologics from October 2010 to September 2015. Dr. Houston holds a Ph.D. in microbial biochemistry from Heriot-Watt University, Edinburgh and a B.Sc. in medical microbiology from the University of Glasgow. We believe Dr. Houston is qualified to serve on our board due to his scientific and historical experience with us gained from serving as our President and Chief</w:t>
      </w:r>
    </w:p>
    <w:p>
      <w:pPr>
        <w:spacing w:after="0" w:line="12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145</w:t>
      </w:r>
    </w:p>
    <w:p>
      <w:pPr>
        <w:sectPr>
          <w:pgSz w:w="11900" w:h="16838" w:orient="portrait"/>
          <w:cols w:equalWidth="0" w:num="1">
            <w:col w:w="11060"/>
          </w:cols>
          <w:pgMar w:left="240" w:top="449" w:right="599" w:bottom="1440" w:gutter="0" w:footer="0" w:header="0"/>
        </w:sectPr>
      </w:pPr>
    </w:p>
    <w:bookmarkStart w:id="147" w:name="page148"/>
    <w:bookmarkEnd w:id="1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160"/>
        <w:spacing w:after="0" w:line="259" w:lineRule="auto"/>
        <w:rPr>
          <w:sz w:val="20"/>
          <w:szCs w:val="20"/>
          <w:color w:val="auto"/>
        </w:rPr>
      </w:pPr>
      <w:r>
        <w:rPr>
          <w:rFonts w:ascii="Arial" w:cs="Arial" w:eastAsia="Arial" w:hAnsi="Arial"/>
          <w:sz w:val="17"/>
          <w:szCs w:val="17"/>
          <w:color w:val="auto"/>
        </w:rPr>
        <w:t>Executive Officer, combined with his previous scientific training and qualifications and the skills and experience he has developed during his extensive career in the life sciences industry.</w:t>
      </w:r>
    </w:p>
    <w:p>
      <w:pPr>
        <w:spacing w:after="0" w:line="163" w:lineRule="exact"/>
        <w:rPr>
          <w:sz w:val="20"/>
          <w:szCs w:val="20"/>
          <w:color w:val="auto"/>
        </w:rPr>
      </w:pPr>
    </w:p>
    <w:p>
      <w:pPr>
        <w:ind w:left="360" w:right="100" w:firstLine="535"/>
        <w:spacing w:after="0" w:line="251" w:lineRule="auto"/>
        <w:rPr>
          <w:sz w:val="20"/>
          <w:szCs w:val="20"/>
          <w:color w:val="auto"/>
        </w:rPr>
      </w:pPr>
      <w:r>
        <w:rPr>
          <w:rFonts w:ascii="Arial" w:cs="Arial" w:eastAsia="Arial" w:hAnsi="Arial"/>
          <w:sz w:val="17"/>
          <w:szCs w:val="17"/>
          <w:i w:val="1"/>
          <w:iCs w:val="1"/>
          <w:color w:val="auto"/>
        </w:rPr>
        <w:t xml:space="preserve">Sean Cassidy </w:t>
      </w:r>
      <w:r>
        <w:rPr>
          <w:rFonts w:ascii="Arial" w:cs="Arial" w:eastAsia="Arial" w:hAnsi="Arial"/>
          <w:sz w:val="17"/>
          <w:szCs w:val="17"/>
          <w:color w:val="auto"/>
        </w:rPr>
        <w:t>has served as our Chief Financial Officer since July 2013. Prior to joining Arvinas, Mr. Cassidy served as the Chief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Officer of Axerion Therapeutics, Inc., a biotechnology company, from June 2010 to June 2013. He was also the Chief Financial Officer of Curagen Corporation, a biopharmaceutical company, from January 2008 to December 2009. Mr. Cassidy is a certified public accountant and began his career at Deloitte and Touche LLP. Mr. Cassidy holds an M.B.A and a B.S. in Accounting from the University of Connecticut.</w:t>
      </w:r>
    </w:p>
    <w:p>
      <w:pPr>
        <w:spacing w:after="0" w:line="171" w:lineRule="exact"/>
        <w:rPr>
          <w:sz w:val="20"/>
          <w:szCs w:val="20"/>
          <w:color w:val="auto"/>
        </w:rPr>
      </w:pPr>
    </w:p>
    <w:p>
      <w:pPr>
        <w:ind w:left="360" w:right="660" w:firstLine="535"/>
        <w:spacing w:after="0" w:line="254" w:lineRule="auto"/>
        <w:rPr>
          <w:sz w:val="20"/>
          <w:szCs w:val="20"/>
          <w:color w:val="auto"/>
        </w:rPr>
      </w:pPr>
      <w:r>
        <w:rPr>
          <w:rFonts w:ascii="Arial" w:cs="Arial" w:eastAsia="Arial" w:hAnsi="Arial"/>
          <w:sz w:val="17"/>
          <w:szCs w:val="17"/>
          <w:i w:val="1"/>
          <w:iCs w:val="1"/>
          <w:color w:val="auto"/>
        </w:rPr>
        <w:t xml:space="preserve">Andrew Crew, Ph.D. </w:t>
      </w:r>
      <w:r>
        <w:rPr>
          <w:rFonts w:ascii="Arial" w:cs="Arial" w:eastAsia="Arial" w:hAnsi="Arial"/>
          <w:sz w:val="17"/>
          <w:szCs w:val="17"/>
          <w:color w:val="auto"/>
        </w:rPr>
        <w:t>has served as our Senior Vice President, Chemistry since January 2018. Dr. Crew served as our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Chemistry from July 2013 to December 2017. Prior to joining Arvinas, Dr. Crew served as Senior Director at OSI Pharmaceuticals/Astellas from 2002 to 2013, Group Leader at Tularik Ltd from 1997 to 2002 and Principal Scientist at BASF/Knoll Pharmaceutical from 1990 to 1996. Dr. Crew holds a Ph.D. in Synthetic Organic Chemistry from the University of Liverpool, UK.</w:t>
      </w:r>
    </w:p>
    <w:p>
      <w:pPr>
        <w:spacing w:after="0" w:line="169" w:lineRule="exact"/>
        <w:rPr>
          <w:sz w:val="20"/>
          <w:szCs w:val="20"/>
          <w:color w:val="auto"/>
        </w:rPr>
      </w:pPr>
    </w:p>
    <w:p>
      <w:pPr>
        <w:jc w:val="both"/>
        <w:ind w:left="360" w:right="280" w:firstLine="535"/>
        <w:spacing w:after="0" w:line="251" w:lineRule="auto"/>
        <w:rPr>
          <w:sz w:val="20"/>
          <w:szCs w:val="20"/>
          <w:color w:val="auto"/>
        </w:rPr>
      </w:pPr>
      <w:r>
        <w:rPr>
          <w:rFonts w:ascii="Arial" w:cs="Arial" w:eastAsia="Arial" w:hAnsi="Arial"/>
          <w:sz w:val="17"/>
          <w:szCs w:val="17"/>
          <w:i w:val="1"/>
          <w:iCs w:val="1"/>
          <w:color w:val="auto"/>
        </w:rPr>
        <w:t xml:space="preserve">Ian Taylor, Ph.D. </w:t>
      </w:r>
      <w:r>
        <w:rPr>
          <w:rFonts w:ascii="Arial" w:cs="Arial" w:eastAsia="Arial" w:hAnsi="Arial"/>
          <w:sz w:val="17"/>
          <w:szCs w:val="17"/>
          <w:color w:val="auto"/>
        </w:rPr>
        <w:t>has served as our Senior Vice President, Biology since January 2018. Dr. Taylor served as our Vice President,</w:t>
      </w:r>
      <w:r>
        <w:rPr>
          <w:rFonts w:ascii="Arial" w:cs="Arial" w:eastAsia="Arial" w:hAnsi="Arial"/>
          <w:sz w:val="17"/>
          <w:szCs w:val="17"/>
          <w:i w:val="1"/>
          <w:iCs w:val="1"/>
          <w:color w:val="auto"/>
        </w:rPr>
        <w:t xml:space="preserve"> </w:t>
      </w:r>
      <w:r>
        <w:rPr>
          <w:rFonts w:ascii="Arial" w:cs="Arial" w:eastAsia="Arial" w:hAnsi="Arial"/>
          <w:sz w:val="17"/>
          <w:szCs w:val="17"/>
          <w:color w:val="auto"/>
        </w:rPr>
        <w:t>Pharmacology and Translational Medicine from June 2016 to July 2016 and then served as Vice President, Biology from August 2016 through December 2017. Immediately prior to joining Arvinas, Dr. Taylor served as Senior Director, Early Development Team Leader at Pfizer Inc., a biopharmaceutical company, from February 2007 to May 2016. Dr. Taylor holds a Ph.D. in molecular biology and genetics from Harvard University and a B.A. in Biochemistry from Bowdoin College.</w:t>
      </w:r>
    </w:p>
    <w:p>
      <w:pPr>
        <w:spacing w:after="0" w:line="272"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Key Employees</w:t>
      </w:r>
    </w:p>
    <w:p>
      <w:pPr>
        <w:spacing w:after="0" w:line="215" w:lineRule="exact"/>
        <w:rPr>
          <w:sz w:val="20"/>
          <w:szCs w:val="20"/>
          <w:color w:val="auto"/>
        </w:rPr>
      </w:pPr>
    </w:p>
    <w:p>
      <w:pPr>
        <w:ind w:left="360" w:firstLine="535"/>
        <w:spacing w:after="0" w:line="254" w:lineRule="auto"/>
        <w:rPr>
          <w:sz w:val="20"/>
          <w:szCs w:val="20"/>
          <w:color w:val="auto"/>
        </w:rPr>
      </w:pPr>
      <w:r>
        <w:rPr>
          <w:rFonts w:ascii="Arial" w:cs="Arial" w:eastAsia="Arial" w:hAnsi="Arial"/>
          <w:sz w:val="17"/>
          <w:szCs w:val="17"/>
          <w:i w:val="1"/>
          <w:iCs w:val="1"/>
          <w:color w:val="auto"/>
        </w:rPr>
        <w:t xml:space="preserve">Marcia Dougan Moore </w:t>
      </w:r>
      <w:r>
        <w:rPr>
          <w:rFonts w:ascii="Arial" w:cs="Arial" w:eastAsia="Arial" w:hAnsi="Arial"/>
          <w:sz w:val="17"/>
          <w:szCs w:val="17"/>
          <w:color w:val="auto"/>
        </w:rPr>
        <w:t>has served as our Vice President, Development Operations since April 2015. Prior to joining Arvinas,</w:t>
      </w:r>
      <w:r>
        <w:rPr>
          <w:rFonts w:ascii="Arial" w:cs="Arial" w:eastAsia="Arial" w:hAnsi="Arial"/>
          <w:sz w:val="17"/>
          <w:szCs w:val="17"/>
          <w:i w:val="1"/>
          <w:iCs w:val="1"/>
          <w:color w:val="auto"/>
        </w:rPr>
        <w:t xml:space="preserve"> </w:t>
      </w:r>
      <w:r>
        <w:rPr>
          <w:rFonts w:ascii="Arial" w:cs="Arial" w:eastAsia="Arial" w:hAnsi="Arial"/>
          <w:sz w:val="17"/>
          <w:szCs w:val="17"/>
          <w:color w:val="auto"/>
        </w:rPr>
        <w:t>Ms. Dougan Moore served as Director, Quality Risk Management, Development at Alexion Pharmaceuticals, Inc., a biotechnology company, from April 2014 to March 2015, and as Director, Project Management &amp; Strategic Drug Development, from October 2012 to April 2014. Ms. Dougan Moore holds an M.P.H. from Yale University and a B.S. in Biological Sciences from Bates College.</w:t>
      </w:r>
    </w:p>
    <w:p>
      <w:pPr>
        <w:spacing w:after="0" w:line="169" w:lineRule="exact"/>
        <w:rPr>
          <w:sz w:val="20"/>
          <w:szCs w:val="20"/>
          <w:color w:val="auto"/>
        </w:rPr>
      </w:pPr>
    </w:p>
    <w:p>
      <w:pPr>
        <w:ind w:left="360" w:right="40" w:firstLine="535"/>
        <w:spacing w:after="0" w:line="251" w:lineRule="auto"/>
        <w:rPr>
          <w:sz w:val="20"/>
          <w:szCs w:val="20"/>
          <w:color w:val="auto"/>
        </w:rPr>
      </w:pPr>
      <w:r>
        <w:rPr>
          <w:rFonts w:ascii="Arial" w:cs="Arial" w:eastAsia="Arial" w:hAnsi="Arial"/>
          <w:sz w:val="17"/>
          <w:szCs w:val="17"/>
          <w:i w:val="1"/>
          <w:iCs w:val="1"/>
          <w:color w:val="auto"/>
        </w:rPr>
        <w:t xml:space="preserve">John Grosso, Ph.D. </w:t>
      </w:r>
      <w:r>
        <w:rPr>
          <w:rFonts w:ascii="Arial" w:cs="Arial" w:eastAsia="Arial" w:hAnsi="Arial"/>
          <w:sz w:val="17"/>
          <w:szCs w:val="17"/>
          <w:color w:val="auto"/>
        </w:rPr>
        <w:t>has served as our Vice President, Chemistry, Manufacturing, and Controls since April 2017. Prior to joining</w:t>
      </w:r>
      <w:r>
        <w:rPr>
          <w:rFonts w:ascii="Arial" w:cs="Arial" w:eastAsia="Arial" w:hAnsi="Arial"/>
          <w:sz w:val="17"/>
          <w:szCs w:val="17"/>
          <w:i w:val="1"/>
          <w:iCs w:val="1"/>
          <w:color w:val="auto"/>
        </w:rPr>
        <w:t xml:space="preserve"> </w:t>
      </w:r>
      <w:r>
        <w:rPr>
          <w:rFonts w:ascii="Arial" w:cs="Arial" w:eastAsia="Arial" w:hAnsi="Arial"/>
          <w:sz w:val="17"/>
          <w:szCs w:val="17"/>
          <w:color w:val="auto"/>
        </w:rPr>
        <w:t>Arvinas, Dr. Grosso served as the Executive Director of Pharmaceutical Development at Vitae Pharmaceuticals, Inc., a biotechnology company, from January 2015 to March 2017. Previously, Dr. Grosso was a Chemistry, Manufacturing, and Controls, Subject Matter Expert at the Biomedical Advanced Research &amp; Development Authority of the U.S. Government from October 2012 to December 2014. Dr. Grosso holds a Ph.D. in medicinal chemistry from Purdue University and a B.A. in chemistry from New York University.</w:t>
      </w:r>
    </w:p>
    <w:p>
      <w:pPr>
        <w:spacing w:after="0" w:line="171" w:lineRule="exact"/>
        <w:rPr>
          <w:sz w:val="20"/>
          <w:szCs w:val="20"/>
          <w:color w:val="auto"/>
        </w:rPr>
      </w:pPr>
    </w:p>
    <w:p>
      <w:pPr>
        <w:ind w:left="360" w:right="240" w:firstLine="535"/>
        <w:spacing w:after="0" w:line="254" w:lineRule="auto"/>
        <w:rPr>
          <w:sz w:val="20"/>
          <w:szCs w:val="20"/>
          <w:color w:val="auto"/>
        </w:rPr>
      </w:pPr>
      <w:r>
        <w:rPr>
          <w:rFonts w:ascii="Arial" w:cs="Arial" w:eastAsia="Arial" w:hAnsi="Arial"/>
          <w:sz w:val="17"/>
          <w:szCs w:val="17"/>
          <w:i w:val="1"/>
          <w:iCs w:val="1"/>
          <w:color w:val="auto"/>
        </w:rPr>
        <w:t xml:space="preserve">Steve Weiss </w:t>
      </w:r>
      <w:r>
        <w:rPr>
          <w:rFonts w:ascii="Arial" w:cs="Arial" w:eastAsia="Arial" w:hAnsi="Arial"/>
          <w:sz w:val="17"/>
          <w:szCs w:val="17"/>
          <w:color w:val="auto"/>
        </w:rPr>
        <w:t>has served as our Vice President, Human Resources since March 2018. Prior to joining Arvinas, Mr. Weiss was the</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Director, Human Resources at Alexion Pharmaceuticals, Inc. from January 2013 to June 2017. Previously, Mr. Weiss was Assistant Vice President at Hartford Investment Management Company and The Hartford from September 2008 to December 2012. Mr. Weiss holds a B.S. in business administration from the University of Kansas.</w:t>
      </w:r>
    </w:p>
    <w:p>
      <w:pPr>
        <w:spacing w:after="0" w:line="169" w:lineRule="exact"/>
        <w:rPr>
          <w:sz w:val="20"/>
          <w:szCs w:val="20"/>
          <w:color w:val="auto"/>
        </w:rPr>
      </w:pPr>
    </w:p>
    <w:p>
      <w:pPr>
        <w:jc w:val="both"/>
        <w:ind w:left="360" w:right="340" w:firstLine="535"/>
        <w:spacing w:after="0" w:line="261" w:lineRule="auto"/>
        <w:rPr>
          <w:sz w:val="20"/>
          <w:szCs w:val="20"/>
          <w:color w:val="auto"/>
        </w:rPr>
      </w:pPr>
      <w:r>
        <w:rPr>
          <w:rFonts w:ascii="Arial" w:cs="Arial" w:eastAsia="Arial" w:hAnsi="Arial"/>
          <w:sz w:val="17"/>
          <w:szCs w:val="17"/>
          <w:i w:val="1"/>
          <w:iCs w:val="1"/>
          <w:color w:val="auto"/>
        </w:rPr>
        <w:t xml:space="preserve">Randy Teel, Ph.D. </w:t>
      </w:r>
      <w:r>
        <w:rPr>
          <w:rFonts w:ascii="Arial" w:cs="Arial" w:eastAsia="Arial" w:hAnsi="Arial"/>
          <w:sz w:val="17"/>
          <w:szCs w:val="17"/>
          <w:color w:val="auto"/>
        </w:rPr>
        <w:t>has served as our Vice President, Corporate Development since May 2018. Prior to joining Arvinas, Dr. Teel</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the Vice President, Corporate Strategy at Alexion Pharmaceuticals, Inc. from February 2015 to December 2017. Previously, Dr. Teel was an Associate</w:t>
      </w:r>
    </w:p>
    <w:p>
      <w:pPr>
        <w:spacing w:after="0" w:line="114"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146</w:t>
      </w:r>
    </w:p>
    <w:p>
      <w:pPr>
        <w:sectPr>
          <w:pgSz w:w="11900" w:h="16838" w:orient="portrait"/>
          <w:cols w:equalWidth="0" w:num="1">
            <w:col w:w="11040"/>
          </w:cols>
          <w:pgMar w:left="240" w:top="449" w:right="619" w:bottom="1440" w:gutter="0" w:footer="0" w:header="0"/>
        </w:sectPr>
      </w:pPr>
    </w:p>
    <w:bookmarkStart w:id="148" w:name="page149"/>
    <w:bookmarkEnd w:id="1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740"/>
        <w:spacing w:after="0" w:line="259" w:lineRule="auto"/>
        <w:rPr>
          <w:sz w:val="20"/>
          <w:szCs w:val="20"/>
          <w:color w:val="auto"/>
        </w:rPr>
      </w:pPr>
      <w:r>
        <w:rPr>
          <w:rFonts w:ascii="Arial" w:cs="Arial" w:eastAsia="Arial" w:hAnsi="Arial"/>
          <w:sz w:val="17"/>
          <w:szCs w:val="17"/>
          <w:color w:val="auto"/>
        </w:rPr>
        <w:t>Partner at McKinsey &amp; Company, a management consulting firm, from February 2008 to February 2015. Dr. Teel holds a Ph.D. in immunobiology from Yale University and a B.S. in biology from Gonzaga University.</w:t>
      </w:r>
    </w:p>
    <w:p>
      <w:pPr>
        <w:spacing w:after="0" w:line="163" w:lineRule="exact"/>
        <w:rPr>
          <w:sz w:val="20"/>
          <w:szCs w:val="20"/>
          <w:color w:val="auto"/>
        </w:rPr>
      </w:pPr>
    </w:p>
    <w:p>
      <w:pPr>
        <w:ind w:left="360" w:right="100" w:firstLine="535"/>
        <w:spacing w:after="0" w:line="249" w:lineRule="auto"/>
        <w:rPr>
          <w:sz w:val="20"/>
          <w:szCs w:val="20"/>
          <w:color w:val="auto"/>
        </w:rPr>
      </w:pPr>
      <w:r>
        <w:rPr>
          <w:rFonts w:ascii="Arial" w:cs="Arial" w:eastAsia="Arial" w:hAnsi="Arial"/>
          <w:sz w:val="17"/>
          <w:szCs w:val="17"/>
          <w:i w:val="1"/>
          <w:iCs w:val="1"/>
          <w:color w:val="auto"/>
        </w:rPr>
        <w:t xml:space="preserve">Angela Cacace, Ph.D. </w:t>
      </w:r>
      <w:r>
        <w:rPr>
          <w:rFonts w:ascii="Arial" w:cs="Arial" w:eastAsia="Arial" w:hAnsi="Arial"/>
          <w:sz w:val="17"/>
          <w:szCs w:val="17"/>
          <w:color w:val="auto"/>
        </w:rPr>
        <w:t>has served as our Vice President, Neuroscience and Platform Biology since September 2018. Prior to</w:t>
      </w:r>
      <w:r>
        <w:rPr>
          <w:rFonts w:ascii="Arial" w:cs="Arial" w:eastAsia="Arial" w:hAnsi="Arial"/>
          <w:sz w:val="17"/>
          <w:szCs w:val="17"/>
          <w:i w:val="1"/>
          <w:iCs w:val="1"/>
          <w:color w:val="auto"/>
        </w:rPr>
        <w:t xml:space="preserve"> </w:t>
      </w:r>
      <w:r>
        <w:rPr>
          <w:rFonts w:ascii="Arial" w:cs="Arial" w:eastAsia="Arial" w:hAnsi="Arial"/>
          <w:sz w:val="17"/>
          <w:szCs w:val="17"/>
          <w:color w:val="auto"/>
        </w:rPr>
        <w:t>joining Arvinas, Dr. Cacace served as Vice President of Biology at Fulcrum Therapeutics, Inc., a biotechnology company, from April 2016 to September 2018. Previously, Dr. Cacace was Director of Neuroscience and Genetically Defined Diseases at Bristol Myers Squibb Company from August 2007 to April 2016, working across therapeutic modalities. She also served as Senior Principal Scientist in Cancer Biology at Pfizer Inc. from September 2006 to August 2007 and in a variety of roles at Bristol Myers Squibb Company from 1998 to September 2006. Dr. Cacace holds a Ph.D. in pharmacology from Columbia University and a B.S. in biology from Fairfield University.</w:t>
      </w:r>
    </w:p>
    <w:p>
      <w:pPr>
        <w:spacing w:after="0" w:line="173" w:lineRule="exact"/>
        <w:rPr>
          <w:sz w:val="20"/>
          <w:szCs w:val="20"/>
          <w:color w:val="auto"/>
        </w:rPr>
      </w:pPr>
    </w:p>
    <w:p>
      <w:pPr>
        <w:ind w:left="360" w:firstLine="535"/>
        <w:spacing w:after="0" w:line="251" w:lineRule="auto"/>
        <w:rPr>
          <w:sz w:val="20"/>
          <w:szCs w:val="20"/>
          <w:color w:val="auto"/>
        </w:rPr>
      </w:pPr>
      <w:r>
        <w:rPr>
          <w:rFonts w:ascii="Arial" w:cs="Arial" w:eastAsia="Arial" w:hAnsi="Arial"/>
          <w:sz w:val="17"/>
          <w:szCs w:val="17"/>
          <w:i w:val="1"/>
          <w:iCs w:val="1"/>
          <w:color w:val="auto"/>
        </w:rPr>
        <w:t xml:space="preserve">Matthew Batters </w:t>
      </w:r>
      <w:r>
        <w:rPr>
          <w:rFonts w:ascii="Arial" w:cs="Arial" w:eastAsia="Arial" w:hAnsi="Arial"/>
          <w:sz w:val="17"/>
          <w:szCs w:val="17"/>
          <w:color w:val="auto"/>
        </w:rPr>
        <w:t>has served as our Executive Director, Alliance Management, Business Development, and Corporate Counsel</w:t>
      </w:r>
      <w:r>
        <w:rPr>
          <w:rFonts w:ascii="Arial" w:cs="Arial" w:eastAsia="Arial" w:hAnsi="Arial"/>
          <w:sz w:val="17"/>
          <w:szCs w:val="17"/>
          <w:i w:val="1"/>
          <w:iCs w:val="1"/>
          <w:color w:val="auto"/>
        </w:rPr>
        <w:t xml:space="preserve"> </w:t>
      </w:r>
      <w:r>
        <w:rPr>
          <w:rFonts w:ascii="Arial" w:cs="Arial" w:eastAsia="Arial" w:hAnsi="Arial"/>
          <w:sz w:val="17"/>
          <w:szCs w:val="17"/>
          <w:color w:val="auto"/>
        </w:rPr>
        <w:t>since February 2018. Prior to joining Arvinas, Mr. Batters was Senior Director, Transactions and Corporate Counsel at Alexion Pharmaceuticals, Inc. from August 2014 to February 2018. He was also an Associate at Skadden, Arps, Slate, Meagher &amp; Flom LLP and then DLA Piper, LLP from August 2006 to July 2014. Mr. Batters holds a J.D. from Columbia Law School, an M.A. in History of Art from the University of London, and a B.A. in Philosophy from the University of Bristol.</w:t>
      </w:r>
    </w:p>
    <w:p>
      <w:pPr>
        <w:spacing w:after="0" w:line="272"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Non-Employee Directors</w:t>
      </w:r>
    </w:p>
    <w:p>
      <w:pPr>
        <w:spacing w:after="0" w:line="215" w:lineRule="exact"/>
        <w:rPr>
          <w:sz w:val="20"/>
          <w:szCs w:val="20"/>
          <w:color w:val="auto"/>
        </w:rPr>
      </w:pPr>
    </w:p>
    <w:p>
      <w:pPr>
        <w:ind w:left="360" w:firstLine="535"/>
        <w:spacing w:after="0" w:line="245" w:lineRule="auto"/>
        <w:rPr>
          <w:sz w:val="20"/>
          <w:szCs w:val="20"/>
          <w:color w:val="auto"/>
        </w:rPr>
      </w:pPr>
      <w:r>
        <w:rPr>
          <w:rFonts w:ascii="Arial" w:cs="Arial" w:eastAsia="Arial" w:hAnsi="Arial"/>
          <w:sz w:val="17"/>
          <w:szCs w:val="17"/>
          <w:i w:val="1"/>
          <w:iCs w:val="1"/>
          <w:color w:val="auto"/>
        </w:rPr>
        <w:t xml:space="preserve">Timothy Shannon, M.D. </w:t>
      </w:r>
      <w:r>
        <w:rPr>
          <w:rFonts w:ascii="Arial" w:cs="Arial" w:eastAsia="Arial" w:hAnsi="Arial"/>
          <w:sz w:val="17"/>
          <w:szCs w:val="17"/>
          <w:color w:val="auto"/>
        </w:rPr>
        <w:t>has served as the Chairman and a member of our board of directors since July 2013. From July 2013 to</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2014, Dr. Shannon also served as our Chief Executive Officer. Dr. Shannon has been a Non-Managing Member of Canaan Partners IX LLC, a Managing Member of Canaan Partners X LLC, and a Managing Member of Canaan Partners XI LLC, entities affiliated with Canaan Partners, a venture capital firm, since November 2009. From November 2010 to September 2013, Dr. Shannon was the President and Chief Executive Officer of Aldea Pharmaceuticals, a biotechnology company. Dr. Shannon was also Chief Executive Officer of Curagen Corporation from 2007 to 2009 and Chief Medical Officer at Curagen from 2002 to 2007. From 1992 to 2002, Dr. Shannon served in various senior research and development roles at Bayer Healthcare, including Senior Vice President of Worldwide Clinical Development. Dr. Shannon previously served as a member of the boards of directors of the publicly-traded companies CuraGen Corporation, Celldex Therapeutics, Inc., and CytomX Therapeutics, Inc. Dr. Shannon holds an M.D. from the University of Connecticut and a B.A. in chemistry from Amherst College. We believe Dr. Shannon is qualified to serve on our board due to his extensive experience in the venture capital industry, his executive leadership experience, his medical background and training, and his service on the boards of other public and private biopharmaceutical companies.</w:t>
      </w:r>
    </w:p>
    <w:p>
      <w:pPr>
        <w:spacing w:after="0" w:line="175" w:lineRule="exact"/>
        <w:rPr>
          <w:sz w:val="20"/>
          <w:szCs w:val="20"/>
          <w:color w:val="auto"/>
        </w:rPr>
      </w:pPr>
    </w:p>
    <w:p>
      <w:pPr>
        <w:ind w:left="360" w:right="100" w:firstLine="535"/>
        <w:spacing w:after="0" w:line="246" w:lineRule="auto"/>
        <w:rPr>
          <w:sz w:val="20"/>
          <w:szCs w:val="20"/>
          <w:color w:val="auto"/>
        </w:rPr>
      </w:pPr>
      <w:r>
        <w:rPr>
          <w:rFonts w:ascii="Arial" w:cs="Arial" w:eastAsia="Arial" w:hAnsi="Arial"/>
          <w:sz w:val="17"/>
          <w:szCs w:val="17"/>
          <w:i w:val="1"/>
          <w:iCs w:val="1"/>
          <w:color w:val="auto"/>
        </w:rPr>
        <w:t xml:space="preserve">Edward Kennedy, Jr. </w:t>
      </w:r>
      <w:r>
        <w:rPr>
          <w:rFonts w:ascii="Arial" w:cs="Arial" w:eastAsia="Arial" w:hAnsi="Arial"/>
          <w:sz w:val="17"/>
          <w:szCs w:val="17"/>
          <w:color w:val="auto"/>
        </w:rPr>
        <w:t>has served as a member of our board of directors since July 2018. Mr. Kennedy has been a Partner and</w:t>
      </w:r>
      <w:r>
        <w:rPr>
          <w:rFonts w:ascii="Arial" w:cs="Arial" w:eastAsia="Arial" w:hAnsi="Arial"/>
          <w:sz w:val="17"/>
          <w:szCs w:val="17"/>
          <w:i w:val="1"/>
          <w:iCs w:val="1"/>
          <w:color w:val="auto"/>
        </w:rPr>
        <w:t xml:space="preserve"> </w:t>
      </w:r>
      <w:r>
        <w:rPr>
          <w:rFonts w:ascii="Arial" w:cs="Arial" w:eastAsia="Arial" w:hAnsi="Arial"/>
          <w:sz w:val="17"/>
          <w:szCs w:val="17"/>
          <w:color w:val="auto"/>
        </w:rPr>
        <w:t>Member of the Health Care and Life Sciences practice of Epstein Becker Green, a national law firm, since January 2014. He counsels healthcare companies on the legal, reimbursement, coding and coverage issues facing providers, payers and the life sciences industry. Previously, Mr. Kennedy served as the Co-Founder and President of Marwood Group, a healthcare focused strategic advisory and financial services firm from January 2001 to December 2013. Mr. Kennedy serves as Board Chair of the American Association of People with Disabilities. He has also served as a State Senator in the Connecticut General Assembly since January 2015. Mr. Kennedy holds a J.D. from the University of Connecticut School of Law, an M.E.S. from the Yale School of Forestry and Environmental Studies, and a B.A. from Wesleyan University. We believe Mr. Kennedy is qualified to serve on our board due to his extensive experience as a policymaker, legislator and healthcare attorney, as well as his service on boards of private companies in the healthcare space.</w:t>
      </w:r>
    </w:p>
    <w:p>
      <w:pPr>
        <w:spacing w:after="0" w:line="129"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147</w:t>
      </w:r>
    </w:p>
    <w:p>
      <w:pPr>
        <w:sectPr>
          <w:pgSz w:w="11900" w:h="16838" w:orient="portrait"/>
          <w:cols w:equalWidth="0" w:num="1">
            <w:col w:w="11040"/>
          </w:cols>
          <w:pgMar w:left="240" w:top="450" w:right="619" w:bottom="1440" w:gutter="0" w:footer="0" w:header="0"/>
        </w:sectPr>
      </w:pPr>
    </w:p>
    <w:bookmarkStart w:id="149" w:name="page150"/>
    <w:bookmarkEnd w:id="1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360" w:right="60" w:firstLine="535"/>
        <w:spacing w:after="0" w:line="251" w:lineRule="auto"/>
        <w:rPr>
          <w:sz w:val="20"/>
          <w:szCs w:val="20"/>
          <w:color w:val="auto"/>
        </w:rPr>
      </w:pPr>
      <w:r>
        <w:rPr>
          <w:rFonts w:ascii="Arial" w:cs="Arial" w:eastAsia="Arial" w:hAnsi="Arial"/>
          <w:sz w:val="17"/>
          <w:szCs w:val="17"/>
          <w:i w:val="1"/>
          <w:iCs w:val="1"/>
          <w:color w:val="auto"/>
        </w:rPr>
        <w:t xml:space="preserve">Andrew Levin, M.D., Ph.D. </w:t>
      </w:r>
      <w:r>
        <w:rPr>
          <w:rFonts w:ascii="Arial" w:cs="Arial" w:eastAsia="Arial" w:hAnsi="Arial"/>
          <w:sz w:val="17"/>
          <w:szCs w:val="17"/>
          <w:color w:val="auto"/>
        </w:rPr>
        <w:t>has served as a member of our board of directors since October 2015. Dr. Levin has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Managing Director at RA Capital, an investment manager, since April 2015. Previously, Dr. Levin was a Vice President at H.I.G. Capital from April 2012 to April 2015. Dr. Levin holds a Ph.D. in biomedical engineering from the Massachusetts Institute of Technology, an M.D. from Harvard Medical School, and a B.S.E. in medical engineering from Princeton University. We believe Dr. Levin is qualified to serve on our board due to his extensive experience as an investor in the life sciences industry and his scientific background and training.</w:t>
      </w:r>
    </w:p>
    <w:p>
      <w:pPr>
        <w:spacing w:after="0" w:line="171" w:lineRule="exact"/>
        <w:rPr>
          <w:sz w:val="20"/>
          <w:szCs w:val="20"/>
          <w:color w:val="auto"/>
        </w:rPr>
      </w:pPr>
    </w:p>
    <w:p>
      <w:pPr>
        <w:ind w:left="360" w:right="20" w:firstLine="535"/>
        <w:spacing w:after="0" w:line="246" w:lineRule="auto"/>
        <w:rPr>
          <w:sz w:val="20"/>
          <w:szCs w:val="20"/>
          <w:color w:val="auto"/>
        </w:rPr>
      </w:pPr>
      <w:r>
        <w:rPr>
          <w:rFonts w:ascii="Arial" w:cs="Arial" w:eastAsia="Arial" w:hAnsi="Arial"/>
          <w:sz w:val="17"/>
          <w:szCs w:val="17"/>
          <w:i w:val="1"/>
          <w:iCs w:val="1"/>
          <w:color w:val="auto"/>
        </w:rPr>
        <w:t xml:space="preserve">Jakob Loven, Ph.D. </w:t>
      </w:r>
      <w:r>
        <w:rPr>
          <w:rFonts w:ascii="Arial" w:cs="Arial" w:eastAsia="Arial" w:hAnsi="Arial"/>
          <w:sz w:val="17"/>
          <w:szCs w:val="17"/>
          <w:color w:val="auto"/>
        </w:rPr>
        <w:t>has served as a member of our board of directors since March 2018. Dr. Loven has been a Partner at Nextech</w:t>
      </w:r>
      <w:r>
        <w:rPr>
          <w:rFonts w:ascii="Arial" w:cs="Arial" w:eastAsia="Arial" w:hAnsi="Arial"/>
          <w:sz w:val="17"/>
          <w:szCs w:val="17"/>
          <w:i w:val="1"/>
          <w:iCs w:val="1"/>
          <w:color w:val="auto"/>
        </w:rPr>
        <w:t xml:space="preserve"> </w:t>
      </w:r>
      <w:r>
        <w:rPr>
          <w:rFonts w:ascii="Arial" w:cs="Arial" w:eastAsia="Arial" w:hAnsi="Arial"/>
          <w:sz w:val="17"/>
          <w:szCs w:val="17"/>
          <w:color w:val="auto"/>
        </w:rPr>
        <w:t>Invest, an investment advisor and management company, since August 2017. Previously, Dr. Loven served as Senior Associate at Third Rock Ventures from March 2015 to February 2016. While at Third Rock, Dr. Loven participated in the creation of Relay Therapeutics, joining the company full time to lead strategy, business development, and operations from February 2016 to June 2017. Dr. Loven was also a Scientific Co-Founder of Syros Pharmaceuticals, Inc., a biopharmaceutical company, from April 2013 to its initial public offering in July 2016. Dr. Loven holds a Ph.D. in Medical Sciences from Karolinska Institutet and a B.A. in biomedical sciences from the Anglia Ruskin University of Cambridge. He conducted a postdoctoral fellowship at the Whitehead Institute for Biomedical Research. We believe Dr. Loven is qualified to serve on our board due to his extensive experience as an entrepreneur and investor in the life sciences industry and his scientific background and training.</w:t>
      </w:r>
    </w:p>
    <w:p>
      <w:pPr>
        <w:spacing w:after="0" w:line="176" w:lineRule="exact"/>
        <w:rPr>
          <w:sz w:val="20"/>
          <w:szCs w:val="20"/>
          <w:color w:val="auto"/>
        </w:rPr>
      </w:pPr>
    </w:p>
    <w:p>
      <w:pPr>
        <w:ind w:left="360" w:right="20" w:firstLine="535"/>
        <w:spacing w:after="0" w:line="248" w:lineRule="auto"/>
        <w:rPr>
          <w:sz w:val="20"/>
          <w:szCs w:val="20"/>
          <w:color w:val="auto"/>
        </w:rPr>
      </w:pPr>
      <w:r>
        <w:rPr>
          <w:rFonts w:ascii="Arial" w:cs="Arial" w:eastAsia="Arial" w:hAnsi="Arial"/>
          <w:sz w:val="17"/>
          <w:szCs w:val="17"/>
          <w:i w:val="1"/>
          <w:iCs w:val="1"/>
          <w:color w:val="auto"/>
        </w:rPr>
        <w:t xml:space="preserve">Bradley Margus </w:t>
      </w:r>
      <w:r>
        <w:rPr>
          <w:rFonts w:ascii="Arial" w:cs="Arial" w:eastAsia="Arial" w:hAnsi="Arial"/>
          <w:sz w:val="17"/>
          <w:szCs w:val="17"/>
          <w:color w:val="auto"/>
        </w:rPr>
        <w:t>has served as a member of our board of directors since November 2013. Mr. Margus co-founded Cerevance, Inc.,</w:t>
      </w:r>
      <w:r>
        <w:rPr>
          <w:rFonts w:ascii="Arial" w:cs="Arial" w:eastAsia="Arial" w:hAnsi="Arial"/>
          <w:sz w:val="17"/>
          <w:szCs w:val="17"/>
          <w:i w:val="1"/>
          <w:iCs w:val="1"/>
          <w:color w:val="auto"/>
        </w:rPr>
        <w:t xml:space="preserve"> </w:t>
      </w:r>
      <w:r>
        <w:rPr>
          <w:rFonts w:ascii="Arial" w:cs="Arial" w:eastAsia="Arial" w:hAnsi="Arial"/>
          <w:sz w:val="17"/>
          <w:szCs w:val="17"/>
          <w:color w:val="auto"/>
        </w:rPr>
        <w:t>a drug discovery company, and has served as its Chief Executive Officer since October 2016. Mr. Margus also served as the Chief Executive Officer of Genome Bridge, a non-profit subsidiary of the Broad Institute of Massachusetts Institute of Technology and Harvard University, from January 2013 to June 2015 and as a co-founder and the Chief Executive Officer of Envoy Therapeutics from October 2009 to November 2012, when it was acquired by Takeda Pharmaceuticals. Mr. Margus holds an M.B.A. from Harvard University and a B.A. in government and business from George Washington University. We believe Mr. Margus is qualified to serve on our board due to his extensive executive leadership experience and his knowledge of the life sciences industry.</w:t>
      </w:r>
    </w:p>
    <w:p>
      <w:pPr>
        <w:spacing w:after="0" w:line="172" w:lineRule="exact"/>
        <w:rPr>
          <w:sz w:val="20"/>
          <w:szCs w:val="20"/>
          <w:color w:val="auto"/>
        </w:rPr>
      </w:pPr>
    </w:p>
    <w:p>
      <w:pPr>
        <w:ind w:left="360" w:firstLine="535"/>
        <w:spacing w:after="0" w:line="246" w:lineRule="auto"/>
        <w:rPr>
          <w:sz w:val="20"/>
          <w:szCs w:val="20"/>
          <w:color w:val="auto"/>
        </w:rPr>
      </w:pPr>
      <w:r>
        <w:rPr>
          <w:rFonts w:ascii="Arial" w:cs="Arial" w:eastAsia="Arial" w:hAnsi="Arial"/>
          <w:sz w:val="17"/>
          <w:szCs w:val="17"/>
          <w:i w:val="1"/>
          <w:iCs w:val="1"/>
          <w:color w:val="auto"/>
        </w:rPr>
        <w:t>Briggs Morrison, M.D</w:t>
      </w:r>
      <w:r>
        <w:rPr>
          <w:rFonts w:ascii="Arial" w:cs="Arial" w:eastAsia="Arial" w:hAnsi="Arial"/>
          <w:sz w:val="17"/>
          <w:szCs w:val="17"/>
          <w:color w:val="auto"/>
        </w:rPr>
        <w:t>. has served as a member of our board of directors since June 2018. Prior to joining our board of directors, Dr.</w:t>
      </w:r>
      <w:r>
        <w:rPr>
          <w:rFonts w:ascii="Arial" w:cs="Arial" w:eastAsia="Arial" w:hAnsi="Arial"/>
          <w:sz w:val="17"/>
          <w:szCs w:val="17"/>
          <w:i w:val="1"/>
          <w:iCs w:val="1"/>
          <w:color w:val="auto"/>
        </w:rPr>
        <w:t xml:space="preserve"> </w:t>
      </w:r>
      <w:r>
        <w:rPr>
          <w:rFonts w:ascii="Arial" w:cs="Arial" w:eastAsia="Arial" w:hAnsi="Arial"/>
          <w:sz w:val="17"/>
          <w:szCs w:val="17"/>
          <w:color w:val="auto"/>
        </w:rPr>
        <w:t>Morrison was a member of our Scientific Advisory Board from August 2016 to June 2018. Dr. Morrison has served as Chief Executive Officer and a member of the board of directors of Syndax Pharmaceuticals Inc., a publicly-traded biopharmaceutical company, since June 2015. Previously, Dr. Morrison was the Chief Medical Officer and Head of Global Medicines Development at AstraZeneca, a biopharmaceutical company, from January 2012 to June 2015. Dr. Morrison holds an M.D. from the University of Connecticut Medical School and a B.S. in biology from Georgetown University. He completed residency training in Internal Medicine at the Massachusetts General Hospital and a fellowship in Medical Oncology at the Dana-Farber Cancer Institute. We believe Dr. Morrison is qualified to serve on our board due to his extensive executive leadership experience, his medical background and training, and his service on the boards of other public and private biopharmaceutical and biotechnology companies.</w:t>
      </w:r>
    </w:p>
    <w:p>
      <w:pPr>
        <w:spacing w:after="0" w:line="176" w:lineRule="exact"/>
        <w:rPr>
          <w:sz w:val="20"/>
          <w:szCs w:val="20"/>
          <w:color w:val="auto"/>
        </w:rPr>
      </w:pPr>
    </w:p>
    <w:p>
      <w:pPr>
        <w:ind w:left="360" w:firstLine="535"/>
        <w:spacing w:after="0" w:line="246" w:lineRule="auto"/>
        <w:rPr>
          <w:sz w:val="20"/>
          <w:szCs w:val="20"/>
          <w:color w:val="auto"/>
        </w:rPr>
      </w:pPr>
      <w:r>
        <w:rPr>
          <w:rFonts w:ascii="Arial" w:cs="Arial" w:eastAsia="Arial" w:hAnsi="Arial"/>
          <w:sz w:val="17"/>
          <w:szCs w:val="17"/>
          <w:i w:val="1"/>
          <w:iCs w:val="1"/>
          <w:color w:val="auto"/>
        </w:rPr>
        <w:t xml:space="preserve">Kush Parmar, M.D., Ph.D. </w:t>
      </w:r>
      <w:r>
        <w:rPr>
          <w:rFonts w:ascii="Arial" w:cs="Arial" w:eastAsia="Arial" w:hAnsi="Arial"/>
          <w:sz w:val="17"/>
          <w:szCs w:val="17"/>
          <w:color w:val="auto"/>
        </w:rPr>
        <w:t>has served as a member of our board of directors since July 2013. Dr. Parmar has been a Managing</w:t>
      </w:r>
      <w:r>
        <w:rPr>
          <w:rFonts w:ascii="Arial" w:cs="Arial" w:eastAsia="Arial" w:hAnsi="Arial"/>
          <w:sz w:val="17"/>
          <w:szCs w:val="17"/>
          <w:i w:val="1"/>
          <w:iCs w:val="1"/>
          <w:color w:val="auto"/>
        </w:rPr>
        <w:t xml:space="preserve"> </w:t>
      </w:r>
      <w:r>
        <w:rPr>
          <w:rFonts w:ascii="Arial" w:cs="Arial" w:eastAsia="Arial" w:hAnsi="Arial"/>
          <w:sz w:val="17"/>
          <w:szCs w:val="17"/>
          <w:color w:val="auto"/>
        </w:rPr>
        <w:t>Partner and Member at 5AM Ventures, a venture capital firm, since January 2016. Previously, Dr. Parmar was a Partner from January 2014 to December 2016 and a Principal from January 2012 to December 2014 at 5AM Ventures. Dr. Parmar currently serves on the board of directors of the publicly-traded companies Audentes Therapeutics, Inc., Homology Medicines, Inc., and scPharmaceuticals, Inc.</w:t>
      </w:r>
    </w:p>
    <w:p>
      <w:pPr>
        <w:spacing w:after="0" w:line="3" w:lineRule="exact"/>
        <w:rPr>
          <w:sz w:val="20"/>
          <w:szCs w:val="20"/>
          <w:color w:val="auto"/>
        </w:rPr>
      </w:pPr>
    </w:p>
    <w:p>
      <w:pPr>
        <w:ind w:left="360" w:right="600"/>
        <w:spacing w:after="0" w:line="259" w:lineRule="auto"/>
        <w:rPr>
          <w:sz w:val="20"/>
          <w:szCs w:val="20"/>
          <w:color w:val="auto"/>
        </w:rPr>
      </w:pPr>
      <w:r>
        <w:rPr>
          <w:rFonts w:ascii="Arial" w:cs="Arial" w:eastAsia="Arial" w:hAnsi="Arial"/>
          <w:sz w:val="17"/>
          <w:szCs w:val="17"/>
          <w:color w:val="auto"/>
        </w:rPr>
        <w:t>Dr. Parmar holds a Ph.D. in experimental pathology from Harvard University, an M.D. from Harvard Medical School, and an A.B. in molecular biology and medieval</w:t>
      </w:r>
    </w:p>
    <w:p>
      <w:pPr>
        <w:spacing w:after="0" w:line="116"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148</w:t>
      </w:r>
    </w:p>
    <w:p>
      <w:pPr>
        <w:sectPr>
          <w:pgSz w:w="11900" w:h="16838" w:orient="portrait"/>
          <w:cols w:equalWidth="0" w:num="1">
            <w:col w:w="11020"/>
          </w:cols>
          <w:pgMar w:left="240" w:top="449" w:right="639" w:bottom="1440" w:gutter="0" w:footer="0" w:header="0"/>
        </w:sectPr>
      </w:pPr>
    </w:p>
    <w:bookmarkStart w:id="150" w:name="page151"/>
    <w:bookmarkEnd w:id="1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80"/>
        <w:spacing w:after="0" w:line="250" w:lineRule="auto"/>
        <w:rPr>
          <w:sz w:val="20"/>
          <w:szCs w:val="20"/>
          <w:color w:val="auto"/>
        </w:rPr>
      </w:pPr>
      <w:r>
        <w:rPr>
          <w:rFonts w:ascii="Arial" w:cs="Arial" w:eastAsia="Arial" w:hAnsi="Arial"/>
          <w:sz w:val="17"/>
          <w:szCs w:val="17"/>
          <w:color w:val="auto"/>
        </w:rPr>
        <w:t>studies from Princeton University. We believe Dr. Parmar is qualified to serve on our board due to his extensive experience in the venture capital industry, his medical and scientific background and training, and his service on the boards of other public and private biopharmaceutical and biotechnology companies.</w:t>
      </w:r>
    </w:p>
    <w:p>
      <w:pPr>
        <w:spacing w:after="0" w:line="171" w:lineRule="exact"/>
        <w:rPr>
          <w:sz w:val="20"/>
          <w:szCs w:val="20"/>
          <w:color w:val="auto"/>
        </w:rPr>
      </w:pPr>
    </w:p>
    <w:p>
      <w:pPr>
        <w:ind w:left="360" w:right="200" w:firstLine="535"/>
        <w:spacing w:after="0" w:line="248" w:lineRule="auto"/>
        <w:rPr>
          <w:sz w:val="20"/>
          <w:szCs w:val="20"/>
          <w:color w:val="auto"/>
        </w:rPr>
      </w:pPr>
      <w:r>
        <w:rPr>
          <w:rFonts w:ascii="Arial" w:cs="Arial" w:eastAsia="Arial" w:hAnsi="Arial"/>
          <w:sz w:val="17"/>
          <w:szCs w:val="17"/>
          <w:i w:val="1"/>
          <w:iCs w:val="1"/>
          <w:color w:val="auto"/>
        </w:rPr>
        <w:t xml:space="preserve">Liam Ratcliffe, M.D., Ph.D. </w:t>
      </w:r>
      <w:r>
        <w:rPr>
          <w:rFonts w:ascii="Arial" w:cs="Arial" w:eastAsia="Arial" w:hAnsi="Arial"/>
          <w:sz w:val="17"/>
          <w:szCs w:val="17"/>
          <w:color w:val="auto"/>
        </w:rPr>
        <w:t>has served as a member of our board of directors since October 2015. Dr. Ratcliffe has been a</w:t>
      </w:r>
      <w:r>
        <w:rPr>
          <w:rFonts w:ascii="Arial" w:cs="Arial" w:eastAsia="Arial" w:hAnsi="Arial"/>
          <w:sz w:val="17"/>
          <w:szCs w:val="17"/>
          <w:i w:val="1"/>
          <w:iCs w:val="1"/>
          <w:color w:val="auto"/>
        </w:rPr>
        <w:t xml:space="preserve"> </w:t>
      </w:r>
      <w:r>
        <w:rPr>
          <w:rFonts w:ascii="Arial" w:cs="Arial" w:eastAsia="Arial" w:hAnsi="Arial"/>
          <w:sz w:val="17"/>
          <w:szCs w:val="17"/>
          <w:color w:val="auto"/>
        </w:rPr>
        <w:t>Managing Director and Member of New Leaf Venture Partners LLC, a venture capital firm, since September 2008. Dr. Ratcliffe currently serves on the board of directors of the publicly-traded companies Deciphera Pharmaceuticals, Inc., Edge Therapeutics, Inc., and Unum Therapeutics, Inc. Dr. Ratcliffe holds a Ph.D. in immunology and an M.D. from the University of Cape Town and an M.B.A. from the University of Michigan. We believe Dr. Ratcliffe is qualified to serve on our board due to his extensive experience in the venture capital industry, his medical and scientific background and training, and his service on the boards of directors of public and private biopharmaceutical companies.</w:t>
      </w:r>
    </w:p>
    <w:p>
      <w:pPr>
        <w:spacing w:after="0" w:line="172" w:lineRule="exact"/>
        <w:rPr>
          <w:sz w:val="20"/>
          <w:szCs w:val="20"/>
          <w:color w:val="auto"/>
        </w:rPr>
      </w:pPr>
    </w:p>
    <w:p>
      <w:pPr>
        <w:ind w:left="360" w:firstLine="535"/>
        <w:spacing w:after="0" w:line="251" w:lineRule="auto"/>
        <w:rPr>
          <w:sz w:val="20"/>
          <w:szCs w:val="20"/>
          <w:color w:val="auto"/>
        </w:rPr>
      </w:pPr>
      <w:r>
        <w:rPr>
          <w:rFonts w:ascii="Arial" w:cs="Arial" w:eastAsia="Arial" w:hAnsi="Arial"/>
          <w:sz w:val="17"/>
          <w:szCs w:val="17"/>
          <w:i w:val="1"/>
          <w:iCs w:val="1"/>
          <w:color w:val="auto"/>
        </w:rPr>
        <w:t xml:space="preserve">E. Jonathan Soderstrom, Ph.D. </w:t>
      </w:r>
      <w:r>
        <w:rPr>
          <w:rFonts w:ascii="Arial" w:cs="Arial" w:eastAsia="Arial" w:hAnsi="Arial"/>
          <w:sz w:val="17"/>
          <w:szCs w:val="17"/>
          <w:color w:val="auto"/>
        </w:rPr>
        <w:t>has served as a member of our board of directors since July 2013. Dr. Soderstrom has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the Managing Director of the Office of Cooperative Research at Yale University since September 1999. Dr. Soderstrom holds a Ph.D. in Psychology from Northwestern University and a B.A. in Psychology from Hope College. We believe Dr. Soderstrom is qualified to serve on our board due to his extensive experience working with and service on boards of biopharmaceutical and biotechnology companies and knowledge of the life sciences industry.</w:t>
      </w:r>
    </w:p>
    <w:p>
      <w:pPr>
        <w:spacing w:after="0" w:line="171" w:lineRule="exact"/>
        <w:rPr>
          <w:sz w:val="20"/>
          <w:szCs w:val="20"/>
          <w:color w:val="auto"/>
        </w:rPr>
      </w:pPr>
    </w:p>
    <w:p>
      <w:pPr>
        <w:ind w:left="360" w:firstLine="535"/>
        <w:spacing w:after="0" w:line="247" w:lineRule="auto"/>
        <w:rPr>
          <w:sz w:val="20"/>
          <w:szCs w:val="20"/>
          <w:color w:val="auto"/>
        </w:rPr>
      </w:pPr>
      <w:r>
        <w:rPr>
          <w:rFonts w:ascii="Arial" w:cs="Arial" w:eastAsia="Arial" w:hAnsi="Arial"/>
          <w:sz w:val="17"/>
          <w:szCs w:val="17"/>
          <w:i w:val="1"/>
          <w:iCs w:val="1"/>
          <w:color w:val="auto"/>
        </w:rPr>
        <w:t xml:space="preserve">Stephen Squinto, Ph.D. </w:t>
      </w:r>
      <w:r>
        <w:rPr>
          <w:rFonts w:ascii="Arial" w:cs="Arial" w:eastAsia="Arial" w:hAnsi="Arial"/>
          <w:sz w:val="17"/>
          <w:szCs w:val="17"/>
          <w:color w:val="auto"/>
        </w:rPr>
        <w:t>has served as a member of our board of directors since October 2015. Dr. Squinto has been a Venture</w:t>
      </w:r>
      <w:r>
        <w:rPr>
          <w:rFonts w:ascii="Arial" w:cs="Arial" w:eastAsia="Arial" w:hAnsi="Arial"/>
          <w:sz w:val="17"/>
          <w:szCs w:val="17"/>
          <w:i w:val="1"/>
          <w:iCs w:val="1"/>
          <w:color w:val="auto"/>
        </w:rPr>
        <w:t xml:space="preserve"> </w:t>
      </w:r>
      <w:r>
        <w:rPr>
          <w:rFonts w:ascii="Arial" w:cs="Arial" w:eastAsia="Arial" w:hAnsi="Arial"/>
          <w:sz w:val="17"/>
          <w:szCs w:val="17"/>
          <w:color w:val="auto"/>
        </w:rPr>
        <w:t>Partner at OrbiMed, a healthcare investment firm, since January 2015. Previously, Dr. Squinto co-founded Alexion Pharmaceuticals, Inc., a biotechnology company, and served as its Executive Vice President and Chief Global Operations Officer from 2012 to January 2015 and as its Global Head of Research and Development from 2007 to 2012. Dr. Squinto also previously served as a member of the board of directors of the publicly-traded company Audentes Therapeutics, Inc. Dr. Squinto holds a Ph.D. in biochemistry and biophysics and a B.A. in chemistry from Loyola University of Chicago. We believe Dr. Squinto is qualified to serve on our board due to his extensive experience as an entrepreneur and investor in the life sciences industry, his scientific background and training, and his service on the boards of other public and private biopharmaceutical and biotechnology companies.</w:t>
      </w:r>
    </w:p>
    <w:p>
      <w:pPr>
        <w:spacing w:after="0" w:line="274" w:lineRule="exact"/>
        <w:rPr>
          <w:sz w:val="20"/>
          <w:szCs w:val="20"/>
          <w:color w:val="auto"/>
        </w:rPr>
      </w:pPr>
    </w:p>
    <w:p>
      <w:pPr>
        <w:ind w:left="3840"/>
        <w:spacing w:after="0"/>
        <w:rPr>
          <w:sz w:val="20"/>
          <w:szCs w:val="20"/>
          <w:color w:val="auto"/>
        </w:rPr>
      </w:pPr>
      <w:r>
        <w:rPr>
          <w:rFonts w:ascii="Arial" w:cs="Arial" w:eastAsia="Arial" w:hAnsi="Arial"/>
          <w:sz w:val="17"/>
          <w:szCs w:val="17"/>
          <w:b w:val="1"/>
          <w:bCs w:val="1"/>
          <w:color w:val="auto"/>
        </w:rPr>
        <w:t>Board Composition and Election of Directors</w:t>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Board Composition</w:t>
      </w:r>
    </w:p>
    <w:p>
      <w:pPr>
        <w:spacing w:after="0" w:line="126" w:lineRule="exact"/>
        <w:rPr>
          <w:sz w:val="20"/>
          <w:szCs w:val="20"/>
          <w:color w:val="auto"/>
        </w:rPr>
      </w:pPr>
    </w:p>
    <w:p>
      <w:pPr>
        <w:ind w:left="360" w:right="40" w:firstLine="535"/>
        <w:spacing w:after="0" w:line="259" w:lineRule="auto"/>
        <w:rPr>
          <w:sz w:val="20"/>
          <w:szCs w:val="20"/>
          <w:color w:val="auto"/>
        </w:rPr>
      </w:pPr>
      <w:r>
        <w:rPr>
          <w:rFonts w:ascii="Arial" w:cs="Arial" w:eastAsia="Arial" w:hAnsi="Arial"/>
          <w:sz w:val="17"/>
          <w:szCs w:val="17"/>
          <w:color w:val="auto"/>
        </w:rPr>
        <w:t>Our board of directors currently consists of eleven members. Our directors hold office until their successors have been elected and qualified or until the earlier of their resignation or removal.</w:t>
      </w:r>
    </w:p>
    <w:p>
      <w:pPr>
        <w:spacing w:after="0" w:line="181" w:lineRule="exact"/>
        <w:rPr>
          <w:sz w:val="20"/>
          <w:szCs w:val="20"/>
          <w:color w:val="auto"/>
        </w:rPr>
      </w:pPr>
    </w:p>
    <w:p>
      <w:pPr>
        <w:ind w:left="360" w:right="100" w:firstLine="535"/>
        <w:spacing w:after="0" w:line="245" w:lineRule="auto"/>
        <w:rPr>
          <w:sz w:val="20"/>
          <w:szCs w:val="20"/>
          <w:color w:val="auto"/>
        </w:rPr>
      </w:pPr>
      <w:r>
        <w:rPr>
          <w:rFonts w:ascii="Arial" w:cs="Arial" w:eastAsia="Arial" w:hAnsi="Arial"/>
          <w:sz w:val="17"/>
          <w:szCs w:val="17"/>
          <w:color w:val="auto"/>
        </w:rPr>
        <w:t>Our restated certificate of incorporation and amended and restated bylaws that will become effective upon the closing of this offering provide that the authorized number of directors may be changed only by resolution of our board of directors. Our restated certificate of incorporation and amended and restated bylaws will also provide that our directors may be removed only for cause by the affirmative vote of the holders of 75% of our shares of capital stock present in person or by proxy and entitled to vote, and that any vacancy on our board of directors, including a vacancy resulting from an enlargement of our board of directors, may be filled only by vote of a majority of our directors then in office.</w:t>
      </w:r>
    </w:p>
    <w:p>
      <w:pPr>
        <w:spacing w:after="0" w:line="192" w:lineRule="exact"/>
        <w:rPr>
          <w:sz w:val="20"/>
          <w:szCs w:val="20"/>
          <w:color w:val="auto"/>
        </w:rPr>
      </w:pPr>
    </w:p>
    <w:p>
      <w:pPr>
        <w:ind w:left="360" w:right="220" w:firstLine="535"/>
        <w:spacing w:after="0" w:line="259" w:lineRule="auto"/>
        <w:rPr>
          <w:sz w:val="20"/>
          <w:szCs w:val="20"/>
          <w:color w:val="auto"/>
        </w:rPr>
      </w:pPr>
      <w:r>
        <w:rPr>
          <w:rFonts w:ascii="Arial" w:cs="Arial" w:eastAsia="Arial" w:hAnsi="Arial"/>
          <w:sz w:val="17"/>
          <w:szCs w:val="17"/>
          <w:color w:val="auto"/>
        </w:rPr>
        <w:t>In accordance with the terms of our restated certificate of incorporation and bylaws that will become effective upon the closing of this offering, our board of directors will be divided into three</w:t>
      </w:r>
    </w:p>
    <w:p>
      <w:pPr>
        <w:spacing w:after="0" w:line="116"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149</w:t>
      </w:r>
    </w:p>
    <w:p>
      <w:pPr>
        <w:sectPr>
          <w:pgSz w:w="11900" w:h="16838" w:orient="portrait"/>
          <w:cols w:equalWidth="0" w:num="1">
            <w:col w:w="11020"/>
          </w:cols>
          <w:pgMar w:left="240" w:top="449" w:right="639" w:bottom="1440" w:gutter="0" w:footer="0" w:header="0"/>
        </w:sectPr>
      </w:pPr>
    </w:p>
    <w:bookmarkStart w:id="151" w:name="page152"/>
    <w:bookmarkEnd w:id="1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260"/>
        <w:spacing w:after="0" w:line="259" w:lineRule="auto"/>
        <w:rPr>
          <w:sz w:val="20"/>
          <w:szCs w:val="20"/>
          <w:color w:val="auto"/>
        </w:rPr>
      </w:pPr>
      <w:r>
        <w:rPr>
          <w:rFonts w:ascii="Arial" w:cs="Arial" w:eastAsia="Arial" w:hAnsi="Arial"/>
          <w:sz w:val="17"/>
          <w:szCs w:val="17"/>
          <w:color w:val="auto"/>
        </w:rPr>
        <w:t>classes, class I, class II and class III, with members of each class serving staggered three-year terms. Upon the closing of this offering, the members of the classes will be divided as follows:</w:t>
      </w:r>
    </w:p>
    <w:p>
      <w:pPr>
        <w:spacing w:after="0" w:line="89" w:lineRule="exact"/>
        <w:rPr>
          <w:sz w:val="20"/>
          <w:szCs w:val="20"/>
          <w:color w:val="auto"/>
        </w:rPr>
      </w:pPr>
    </w:p>
    <w:p>
      <w:pPr>
        <w:ind w:left="1100" w:right="40" w:hanging="210"/>
        <w:spacing w:after="0" w:line="259" w:lineRule="auto"/>
        <w:tabs>
          <w:tab w:leader="none" w:pos="11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class I directors will be John Houston, Ph.D., Jakob Loven, Ph.D. and Kush Parmar, M.D., Ph.D., and their term will expire at the annual meeting of stockholders to be held in 2019;</w:t>
      </w:r>
    </w:p>
    <w:p>
      <w:pPr>
        <w:spacing w:after="0" w:line="89" w:lineRule="exact"/>
        <w:rPr>
          <w:rFonts w:ascii="Arial" w:cs="Arial" w:eastAsia="Arial" w:hAnsi="Arial"/>
          <w:sz w:val="17"/>
          <w:szCs w:val="17"/>
          <w:color w:val="auto"/>
        </w:rPr>
      </w:pPr>
    </w:p>
    <w:p>
      <w:pPr>
        <w:ind w:left="1100" w:right="480" w:hanging="210"/>
        <w:spacing w:after="0" w:line="259" w:lineRule="auto"/>
        <w:tabs>
          <w:tab w:leader="none" w:pos="11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class II directors will be Liam Ratcliffe, M.D., Ph.D. and Timothy Shannon, M.D., and their term will expire at the annual meeting of stockholders to be held in 2020; and</w:t>
      </w:r>
    </w:p>
    <w:p>
      <w:pPr>
        <w:spacing w:after="0" w:line="89" w:lineRule="exact"/>
        <w:rPr>
          <w:rFonts w:ascii="Arial" w:cs="Arial" w:eastAsia="Arial" w:hAnsi="Arial"/>
          <w:sz w:val="17"/>
          <w:szCs w:val="17"/>
          <w:color w:val="auto"/>
        </w:rPr>
      </w:pPr>
    </w:p>
    <w:p>
      <w:pPr>
        <w:ind w:left="1100" w:right="100" w:hanging="210"/>
        <w:spacing w:after="0" w:line="259" w:lineRule="auto"/>
        <w:tabs>
          <w:tab w:leader="none" w:pos="11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class III directors will be Edward Kennedy, Jr., Bradley Margus and Briggs Morrison, M.D. their term will expire at the annual meeting of stockholders to be held in 2021.</w:t>
      </w:r>
    </w:p>
    <w:p>
      <w:pPr>
        <w:spacing w:after="0" w:line="181" w:lineRule="exact"/>
        <w:rPr>
          <w:sz w:val="20"/>
          <w:szCs w:val="20"/>
          <w:color w:val="auto"/>
        </w:rPr>
      </w:pPr>
    </w:p>
    <w:p>
      <w:pPr>
        <w:ind w:left="360" w:right="120" w:firstLine="535"/>
        <w:spacing w:after="0" w:line="259" w:lineRule="auto"/>
        <w:rPr>
          <w:sz w:val="20"/>
          <w:szCs w:val="20"/>
          <w:color w:val="auto"/>
        </w:rPr>
      </w:pPr>
      <w:r>
        <w:rPr>
          <w:rFonts w:ascii="Arial" w:cs="Arial" w:eastAsia="Arial" w:hAnsi="Arial"/>
          <w:sz w:val="17"/>
          <w:szCs w:val="17"/>
          <w:color w:val="auto"/>
        </w:rPr>
        <w:t>Upon the expiration of the term of a class of directors, directors in that class will be eligible to be elected for a new three-year term at the annual meeting of stockholders in the year in which their term expires.</w:t>
      </w:r>
    </w:p>
    <w:p>
      <w:pPr>
        <w:spacing w:after="0" w:line="266"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Director Independence</w:t>
      </w:r>
    </w:p>
    <w:p>
      <w:pPr>
        <w:spacing w:after="0" w:line="126" w:lineRule="exact"/>
        <w:rPr>
          <w:sz w:val="20"/>
          <w:szCs w:val="20"/>
          <w:color w:val="auto"/>
        </w:rPr>
      </w:pPr>
    </w:p>
    <w:p>
      <w:pPr>
        <w:ind w:left="360" w:firstLine="535"/>
        <w:spacing w:after="0" w:line="242" w:lineRule="auto"/>
        <w:rPr>
          <w:sz w:val="20"/>
          <w:szCs w:val="20"/>
          <w:color w:val="auto"/>
        </w:rPr>
      </w:pPr>
      <w:r>
        <w:rPr>
          <w:rFonts w:ascii="Arial" w:cs="Arial" w:eastAsia="Arial" w:hAnsi="Arial"/>
          <w:sz w:val="17"/>
          <w:szCs w:val="17"/>
          <w:color w:val="auto"/>
        </w:rPr>
        <w:t>Applicable Nasdaq Stock Market, or Nasdaq, rules require a majority of a listed company’s board of directors to be comprised of independent directors within one year of listing. In addition, the Nasdaq rules require that, subject to specified exceptions, each member of a listed company’s audit, compensation and nominating and corporate governance committees be independent under the Securities Exchange Act of 1934, as amended, or the Exchange Act. Audit committee members must also satisfy the independence criteria set forth in Rule 10A-3 under the Exchange Act, and compensation committee members must also satisfy the independence criteria set forth in Rule 10C-1 under the Exchange Act. 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order to be considered independent for purposes of Rule 10C-1, the board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(1) the source of compensation of the director, including any consulting advisory or other compensatory fee paid by such company to the director; and (2) whether the director is affiliated with the company or any of its subsidiaries or affiliates.</w:t>
      </w:r>
    </w:p>
    <w:p>
      <w:pPr>
        <w:spacing w:after="0" w:line="202" w:lineRule="exact"/>
        <w:rPr>
          <w:sz w:val="20"/>
          <w:szCs w:val="20"/>
          <w:color w:val="auto"/>
        </w:rPr>
      </w:pPr>
    </w:p>
    <w:p>
      <w:pPr>
        <w:ind w:left="360" w:firstLine="535"/>
        <w:spacing w:after="0" w:line="243" w:lineRule="auto"/>
        <w:rPr>
          <w:sz w:val="20"/>
          <w:szCs w:val="20"/>
          <w:color w:val="auto"/>
        </w:rPr>
      </w:pPr>
      <w:r>
        <w:rPr>
          <w:rFonts w:ascii="Arial" w:cs="Arial" w:eastAsia="Arial" w:hAnsi="Arial"/>
          <w:sz w:val="17"/>
          <w:szCs w:val="17"/>
          <w:color w:val="auto"/>
        </w:rPr>
        <w:t>In August 2018, our board of directors undertook a review of the composition of our board of directors and its committees and the independence of each director. Based upon information requested from and provided by each director concerning his or her background, employment and affiliations, including family relationships, our board of directors has determined that each of our directors, with the exception of Dr. Houston, is an “independent director” as defined under applicable Nasdaq rules, including, in the case of all the members of our audit committee, the independence criteria set forth in Rule 10A-3 under the Exchange Act, and in the case of all the members of our compensation committee, the independence criteria set forth in Rule 10C-1 under the Exchange Act. In making such determination, our board of directors considered the relationships that each such non-employee director has with our company and all other facts and circumstances that our board of directors deemed relevant in determining his or her independence, including the beneficial ownership of our capital stock by each non-employee director. Dr. Houston is not an independent director under these rules because he is our President and Chief Executive Officer.</w:t>
      </w:r>
    </w:p>
    <w:p>
      <w:pPr>
        <w:spacing w:after="0" w:line="329"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150</w:t>
      </w:r>
    </w:p>
    <w:p>
      <w:pPr>
        <w:sectPr>
          <w:pgSz w:w="11900" w:h="16838" w:orient="portrait"/>
          <w:cols w:equalWidth="0" w:num="1">
            <w:col w:w="11040"/>
          </w:cols>
          <w:pgMar w:left="240" w:top="450" w:right="619" w:bottom="1440" w:gutter="0" w:footer="0" w:header="0"/>
        </w:sectPr>
      </w:pPr>
    </w:p>
    <w:bookmarkStart w:id="152" w:name="page153"/>
    <w:bookmarkEnd w:id="1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There are no family relationships among any of our directors or executive officers.</w:t>
      </w:r>
    </w:p>
    <w:p>
      <w:pPr>
        <w:spacing w:after="0" w:line="294"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Board Committees</w:t>
      </w:r>
    </w:p>
    <w:p>
      <w:pPr>
        <w:spacing w:after="0" w:line="233" w:lineRule="exact"/>
        <w:rPr>
          <w:sz w:val="20"/>
          <w:szCs w:val="20"/>
          <w:color w:val="auto"/>
        </w:rPr>
      </w:pPr>
    </w:p>
    <w:p>
      <w:pPr>
        <w:ind w:left="360" w:right="20" w:firstLine="535"/>
        <w:spacing w:after="0" w:line="259" w:lineRule="auto"/>
        <w:rPr>
          <w:sz w:val="20"/>
          <w:szCs w:val="20"/>
          <w:color w:val="auto"/>
        </w:rPr>
      </w:pPr>
      <w:r>
        <w:rPr>
          <w:rFonts w:ascii="Arial" w:cs="Arial" w:eastAsia="Arial" w:hAnsi="Arial"/>
          <w:sz w:val="17"/>
          <w:szCs w:val="17"/>
          <w:color w:val="auto"/>
        </w:rPr>
        <w:t>Our board of directors has established an audit committee, a compensation committee and a nominating and corporate governance committee, each of which operates pursuant to a charter adopted by the board of directors.</w:t>
      </w:r>
    </w:p>
    <w:p>
      <w:pPr>
        <w:spacing w:after="0" w:line="18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Our board of directors may from time to time establish other committees.</w:t>
      </w:r>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Audit Committee</w:t>
      </w:r>
    </w:p>
    <w:p>
      <w:pPr>
        <w:spacing w:after="0" w:line="126" w:lineRule="exact"/>
        <w:rPr>
          <w:sz w:val="20"/>
          <w:szCs w:val="20"/>
          <w:color w:val="auto"/>
        </w:rPr>
      </w:pPr>
    </w:p>
    <w:p>
      <w:pPr>
        <w:ind w:left="360" w:right="320" w:firstLine="535"/>
        <w:spacing w:after="0" w:line="259" w:lineRule="auto"/>
        <w:rPr>
          <w:sz w:val="20"/>
          <w:szCs w:val="20"/>
          <w:color w:val="auto"/>
        </w:rPr>
      </w:pPr>
      <w:r>
        <w:rPr>
          <w:rFonts w:ascii="Arial" w:cs="Arial" w:eastAsia="Arial" w:hAnsi="Arial"/>
          <w:sz w:val="17"/>
          <w:szCs w:val="17"/>
          <w:color w:val="auto"/>
        </w:rPr>
        <w:t>The members of our audit committee are Bradley Margus, Jakob Loven, Ph.D. and Kush Parmar, M.D., Ph.D. Mr. Margus is the chair of the audit committee. Our audit committee’s responsibilities include:</w:t>
      </w:r>
    </w:p>
    <w:p>
      <w:pPr>
        <w:spacing w:after="0" w:line="89" w:lineRule="exact"/>
        <w:rPr>
          <w:sz w:val="20"/>
          <w:szCs w:val="20"/>
          <w:color w:val="auto"/>
        </w:rPr>
      </w:pPr>
    </w:p>
    <w:p>
      <w:pPr>
        <w:ind w:left="1100" w:hanging="210"/>
        <w:spacing w:after="0"/>
        <w:tabs>
          <w:tab w:leader="none" w:pos="11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appointing, approving the compensation of, and assessing the independence of our registered public accounting firm;</w:t>
      </w:r>
    </w:p>
    <w:p>
      <w:pPr>
        <w:spacing w:after="0" w:line="119" w:lineRule="exact"/>
        <w:rPr>
          <w:rFonts w:ascii="Arial" w:cs="Arial" w:eastAsia="Arial" w:hAnsi="Arial"/>
          <w:sz w:val="17"/>
          <w:szCs w:val="17"/>
          <w:color w:val="auto"/>
        </w:rPr>
      </w:pPr>
    </w:p>
    <w:p>
      <w:pPr>
        <w:ind w:left="1100" w:right="420" w:hanging="210"/>
        <w:spacing w:after="0" w:line="259" w:lineRule="auto"/>
        <w:tabs>
          <w:tab w:leader="none" w:pos="11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overseeing the work of our independent registered public accounting firm, including through the receipt and consideration of reports from that firm;</w:t>
      </w:r>
    </w:p>
    <w:p>
      <w:pPr>
        <w:spacing w:after="0" w:line="89" w:lineRule="exact"/>
        <w:rPr>
          <w:rFonts w:ascii="Arial" w:cs="Arial" w:eastAsia="Arial" w:hAnsi="Arial"/>
          <w:sz w:val="17"/>
          <w:szCs w:val="17"/>
          <w:color w:val="auto"/>
        </w:rPr>
      </w:pPr>
    </w:p>
    <w:p>
      <w:pPr>
        <w:ind w:left="1100" w:right="440" w:hanging="210"/>
        <w:spacing w:after="0" w:line="259" w:lineRule="auto"/>
        <w:tabs>
          <w:tab w:leader="none" w:pos="11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reviewing and discussing with management and our independent registered public accounting firm our annual and quarterly financial statements and related disclosures;</w:t>
      </w:r>
    </w:p>
    <w:p>
      <w:pPr>
        <w:spacing w:after="0" w:line="89" w:lineRule="exact"/>
        <w:rPr>
          <w:rFonts w:ascii="Arial" w:cs="Arial" w:eastAsia="Arial" w:hAnsi="Arial"/>
          <w:sz w:val="17"/>
          <w:szCs w:val="17"/>
          <w:color w:val="auto"/>
        </w:rPr>
      </w:pPr>
    </w:p>
    <w:p>
      <w:pPr>
        <w:ind w:left="1100" w:right="320" w:hanging="210"/>
        <w:spacing w:after="0" w:line="259" w:lineRule="auto"/>
        <w:tabs>
          <w:tab w:leader="none" w:pos="11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monitoring our internal control over financial reporting, disclosure controls and procedures and code of business conduct and ethics;</w:t>
      </w:r>
    </w:p>
    <w:p>
      <w:pPr>
        <w:spacing w:after="0" w:line="89" w:lineRule="exact"/>
        <w:rPr>
          <w:rFonts w:ascii="Arial" w:cs="Arial" w:eastAsia="Arial" w:hAnsi="Arial"/>
          <w:sz w:val="17"/>
          <w:szCs w:val="17"/>
          <w:color w:val="auto"/>
        </w:rPr>
      </w:pPr>
    </w:p>
    <w:p>
      <w:pPr>
        <w:ind w:left="1100" w:hanging="210"/>
        <w:spacing w:after="0"/>
        <w:tabs>
          <w:tab w:leader="none" w:pos="11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overseeing our internal audit function;</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overseeing our risk assessment and risk management policies;</w:t>
      </w:r>
    </w:p>
    <w:p>
      <w:pPr>
        <w:spacing w:after="0" w:line="119" w:lineRule="exact"/>
        <w:rPr>
          <w:rFonts w:ascii="Arial" w:cs="Arial" w:eastAsia="Arial" w:hAnsi="Arial"/>
          <w:sz w:val="17"/>
          <w:szCs w:val="17"/>
          <w:color w:val="auto"/>
        </w:rPr>
      </w:pPr>
    </w:p>
    <w:p>
      <w:pPr>
        <w:ind w:left="1100" w:right="180" w:hanging="210"/>
        <w:spacing w:after="0" w:line="259" w:lineRule="auto"/>
        <w:tabs>
          <w:tab w:leader="none" w:pos="11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establishing policies regarding hiring employees from our independent registered public accounting firm and procedures for the receipt and retention of accounting related complaints and concerns;</w:t>
      </w:r>
    </w:p>
    <w:p>
      <w:pPr>
        <w:spacing w:after="0" w:line="89" w:lineRule="exact"/>
        <w:rPr>
          <w:rFonts w:ascii="Arial" w:cs="Arial" w:eastAsia="Arial" w:hAnsi="Arial"/>
          <w:sz w:val="17"/>
          <w:szCs w:val="17"/>
          <w:color w:val="auto"/>
        </w:rPr>
      </w:pPr>
    </w:p>
    <w:p>
      <w:pPr>
        <w:ind w:left="1100" w:hanging="210"/>
        <w:spacing w:after="0"/>
        <w:tabs>
          <w:tab w:leader="none" w:pos="11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meeting independently with our internal auditing staff, if any, our independent registered public accounting firm and management;</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reviewing and approving or ratifying any related person transactions; and</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preparing the audit committee report required by Securities and Exchange Commission, or SEC, rules.</w:t>
      </w:r>
    </w:p>
    <w:p>
      <w:pPr>
        <w:spacing w:after="0" w:line="193" w:lineRule="exact"/>
        <w:rPr>
          <w:sz w:val="20"/>
          <w:szCs w:val="20"/>
          <w:color w:val="auto"/>
        </w:rPr>
      </w:pPr>
    </w:p>
    <w:p>
      <w:pPr>
        <w:ind w:left="360" w:right="500" w:firstLine="535"/>
        <w:spacing w:after="0" w:line="281" w:lineRule="auto"/>
        <w:rPr>
          <w:sz w:val="20"/>
          <w:szCs w:val="20"/>
          <w:color w:val="auto"/>
        </w:rPr>
      </w:pPr>
      <w:r>
        <w:rPr>
          <w:rFonts w:ascii="Arial" w:cs="Arial" w:eastAsia="Arial" w:hAnsi="Arial"/>
          <w:sz w:val="17"/>
          <w:szCs w:val="17"/>
          <w:color w:val="auto"/>
        </w:rPr>
        <w:t xml:space="preserve">All audit and non-audit services, other than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non-audit services, to be provided to us by our independent registered public accounting firm must be approved in advance by our audit committee.</w:t>
      </w:r>
    </w:p>
    <w:p>
      <w:pPr>
        <w:spacing w:after="0" w:line="163" w:lineRule="exact"/>
        <w:rPr>
          <w:sz w:val="20"/>
          <w:szCs w:val="20"/>
          <w:color w:val="auto"/>
        </w:rPr>
      </w:pPr>
    </w:p>
    <w:p>
      <w:pPr>
        <w:ind w:left="360" w:right="140" w:firstLine="535"/>
        <w:spacing w:after="0" w:line="250" w:lineRule="auto"/>
        <w:rPr>
          <w:sz w:val="20"/>
          <w:szCs w:val="20"/>
          <w:color w:val="auto"/>
        </w:rPr>
      </w:pPr>
      <w:r>
        <w:rPr>
          <w:rFonts w:ascii="Arial" w:cs="Arial" w:eastAsia="Arial" w:hAnsi="Arial"/>
          <w:sz w:val="17"/>
          <w:szCs w:val="17"/>
          <w:color w:val="auto"/>
        </w:rPr>
        <w:t>Our board of directors has determined that Mr. Margus is an “audit committee financial expert” as defined in applicable SEC rules. We believe that the composition of our audit committee meets the requirements for independence under current Nasdaq and SEC rules and regulations.</w:t>
      </w:r>
    </w:p>
    <w:p>
      <w:pPr>
        <w:spacing w:after="0" w:line="274"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126" w:lineRule="exact"/>
        <w:rPr>
          <w:sz w:val="20"/>
          <w:szCs w:val="20"/>
          <w:color w:val="auto"/>
        </w:rPr>
      </w:pPr>
    </w:p>
    <w:p>
      <w:pPr>
        <w:ind w:left="360" w:right="60" w:firstLine="535"/>
        <w:spacing w:after="0" w:line="259" w:lineRule="auto"/>
        <w:rPr>
          <w:sz w:val="20"/>
          <w:szCs w:val="20"/>
          <w:color w:val="auto"/>
        </w:rPr>
      </w:pPr>
      <w:r>
        <w:rPr>
          <w:rFonts w:ascii="Arial" w:cs="Arial" w:eastAsia="Arial" w:hAnsi="Arial"/>
          <w:sz w:val="17"/>
          <w:szCs w:val="17"/>
          <w:color w:val="auto"/>
        </w:rPr>
        <w:t>The members of our compensation committee are Timothy Shannon, M.D. and Liam Ratcliffe, M.D., Ph.D. Dr. Shannon is the chair of the compensation committee. Our compensation committee’s responsibilities include:</w:t>
      </w:r>
    </w:p>
    <w:p>
      <w:pPr>
        <w:spacing w:after="0" w:line="89" w:lineRule="exact"/>
        <w:rPr>
          <w:sz w:val="20"/>
          <w:szCs w:val="20"/>
          <w:color w:val="auto"/>
        </w:rPr>
      </w:pPr>
    </w:p>
    <w:p>
      <w:pPr>
        <w:ind w:left="1100" w:right="300" w:hanging="210"/>
        <w:spacing w:after="0" w:line="259" w:lineRule="auto"/>
        <w:tabs>
          <w:tab w:leader="none" w:pos="11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reviewing and approving, or making recommendations to our board of directors with respect to, the compensation of our chief executive officer and our other executive officers;</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151</w:t>
      </w:r>
    </w:p>
    <w:p>
      <w:pPr>
        <w:sectPr>
          <w:pgSz w:w="11900" w:h="16838" w:orient="portrait"/>
          <w:cols w:equalWidth="0" w:num="1">
            <w:col w:w="11060"/>
          </w:cols>
          <w:pgMar w:left="240" w:top="450" w:right="599" w:bottom="1440" w:gutter="0" w:footer="0" w:header="0"/>
        </w:sectPr>
      </w:pPr>
    </w:p>
    <w:bookmarkStart w:id="153" w:name="page154"/>
    <w:bookmarkEnd w:id="1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1100" w:hanging="210"/>
        <w:spacing w:after="0"/>
        <w:tabs>
          <w:tab w:leader="none" w:pos="11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overseeing an evaluation of our senior executives;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overseeing and administering our cash and equity incentive plans;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reviewing and making recommendations to our board of directors with respect to director compensation;</w:t>
      </w:r>
    </w:p>
    <w:p>
      <w:pPr>
        <w:spacing w:after="0" w:line="119" w:lineRule="exact"/>
        <w:rPr>
          <w:rFonts w:ascii="Arial" w:cs="Arial" w:eastAsia="Arial" w:hAnsi="Arial"/>
          <w:sz w:val="17"/>
          <w:szCs w:val="17"/>
          <w:color w:val="auto"/>
        </w:rPr>
      </w:pPr>
    </w:p>
    <w:p>
      <w:pPr>
        <w:ind w:left="1100" w:hanging="210"/>
        <w:spacing w:after="0" w:line="259" w:lineRule="auto"/>
        <w:tabs>
          <w:tab w:leader="none" w:pos="11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reviewing and discussing annually with management our “Compensation Discussion and Analysis” disclosure if and to the extent then required by SEC rules; and</w:t>
      </w:r>
    </w:p>
    <w:p>
      <w:pPr>
        <w:spacing w:after="0" w:line="89" w:lineRule="exact"/>
        <w:rPr>
          <w:rFonts w:ascii="Arial" w:cs="Arial" w:eastAsia="Arial" w:hAnsi="Arial"/>
          <w:sz w:val="17"/>
          <w:szCs w:val="17"/>
          <w:color w:val="auto"/>
        </w:rPr>
      </w:pPr>
    </w:p>
    <w:p>
      <w:pPr>
        <w:ind w:left="1100" w:hanging="210"/>
        <w:spacing w:after="0"/>
        <w:tabs>
          <w:tab w:leader="none" w:pos="11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preparing the compensation committee report if and to the extent then required by SEC rules.</w:t>
      </w:r>
    </w:p>
    <w:p>
      <w:pPr>
        <w:spacing w:after="0" w:line="211" w:lineRule="exact"/>
        <w:rPr>
          <w:sz w:val="20"/>
          <w:szCs w:val="20"/>
          <w:color w:val="auto"/>
        </w:rPr>
      </w:pPr>
    </w:p>
    <w:p>
      <w:pPr>
        <w:ind w:left="360" w:right="140" w:firstLine="535"/>
        <w:spacing w:after="0" w:line="259" w:lineRule="auto"/>
        <w:rPr>
          <w:sz w:val="20"/>
          <w:szCs w:val="20"/>
          <w:color w:val="auto"/>
        </w:rPr>
      </w:pPr>
      <w:r>
        <w:rPr>
          <w:rFonts w:ascii="Arial" w:cs="Arial" w:eastAsia="Arial" w:hAnsi="Arial"/>
          <w:sz w:val="17"/>
          <w:szCs w:val="17"/>
          <w:color w:val="auto"/>
        </w:rPr>
        <w:t>We believe that the composition of our compensation committee meets the requirements for independence under current Nasdaq and SEC rules and regulations.</w:t>
      </w:r>
    </w:p>
    <w:p>
      <w:pPr>
        <w:spacing w:after="0" w:line="266"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Nominating and Corporate Governance Committee</w:t>
      </w:r>
    </w:p>
    <w:p>
      <w:pPr>
        <w:spacing w:after="0" w:line="126" w:lineRule="exact"/>
        <w:rPr>
          <w:sz w:val="20"/>
          <w:szCs w:val="20"/>
          <w:color w:val="auto"/>
        </w:rPr>
      </w:pPr>
    </w:p>
    <w:p>
      <w:pPr>
        <w:jc w:val="both"/>
        <w:ind w:left="360" w:right="400" w:firstLine="535"/>
        <w:spacing w:after="0" w:line="250" w:lineRule="auto"/>
        <w:rPr>
          <w:sz w:val="20"/>
          <w:szCs w:val="20"/>
          <w:color w:val="auto"/>
        </w:rPr>
      </w:pPr>
      <w:r>
        <w:rPr>
          <w:rFonts w:ascii="Arial" w:cs="Arial" w:eastAsia="Arial" w:hAnsi="Arial"/>
          <w:sz w:val="17"/>
          <w:szCs w:val="17"/>
          <w:color w:val="auto"/>
        </w:rPr>
        <w:t>The members of our nominating and corporate governance committee are Edward Kennedy, Jr. and Briggs Morrison, M.D. Dr. Morrison is the chair of the nominating and corporate governance committee. Our nominating and corporate governance committee’s responsibilities include:</w:t>
      </w:r>
    </w:p>
    <w:p>
      <w:pPr>
        <w:spacing w:after="0" w:line="97" w:lineRule="exact"/>
        <w:rPr>
          <w:sz w:val="20"/>
          <w:szCs w:val="20"/>
          <w:color w:val="auto"/>
        </w:rPr>
      </w:pPr>
    </w:p>
    <w:p>
      <w:pPr>
        <w:ind w:left="1100" w:hanging="210"/>
        <w:spacing w:after="0"/>
        <w:tabs>
          <w:tab w:leader="none" w:pos="11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identifying individuals qualified to become members of our board of directors;</w:t>
      </w:r>
    </w:p>
    <w:p>
      <w:pPr>
        <w:spacing w:after="0" w:line="119" w:lineRule="exact"/>
        <w:rPr>
          <w:rFonts w:ascii="Arial" w:cs="Arial" w:eastAsia="Arial" w:hAnsi="Arial"/>
          <w:sz w:val="17"/>
          <w:szCs w:val="17"/>
          <w:color w:val="auto"/>
        </w:rPr>
      </w:pPr>
    </w:p>
    <w:p>
      <w:pPr>
        <w:ind w:left="1100" w:right="660" w:hanging="210"/>
        <w:spacing w:after="0" w:line="259" w:lineRule="auto"/>
        <w:tabs>
          <w:tab w:leader="none" w:pos="11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recommending to our board of directors the persons to be nominated for election as directors and to each of our board’s committees;</w:t>
      </w:r>
    </w:p>
    <w:p>
      <w:pPr>
        <w:spacing w:after="0" w:line="89" w:lineRule="exact"/>
        <w:rPr>
          <w:rFonts w:ascii="Arial" w:cs="Arial" w:eastAsia="Arial" w:hAnsi="Arial"/>
          <w:sz w:val="17"/>
          <w:szCs w:val="17"/>
          <w:color w:val="auto"/>
        </w:rPr>
      </w:pPr>
    </w:p>
    <w:p>
      <w:pPr>
        <w:ind w:left="1100" w:hanging="210"/>
        <w:spacing w:after="0"/>
        <w:tabs>
          <w:tab w:leader="none" w:pos="11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reviewing and making recommendations to our board with respect to our board leadership structure;</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reviewing and making recommendations to our board with respect to management succession planning;</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developing and recommending to our board of directors corporate governance principles; and</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overseeing an annual evaluation of our board of directors.</w:t>
      </w:r>
    </w:p>
    <w:p>
      <w:pPr>
        <w:spacing w:after="0" w:line="211" w:lineRule="exact"/>
        <w:rPr>
          <w:sz w:val="20"/>
          <w:szCs w:val="20"/>
          <w:color w:val="auto"/>
        </w:rPr>
      </w:pPr>
    </w:p>
    <w:p>
      <w:pPr>
        <w:ind w:left="360" w:right="20" w:firstLine="535"/>
        <w:spacing w:after="0" w:line="259" w:lineRule="auto"/>
        <w:rPr>
          <w:sz w:val="20"/>
          <w:szCs w:val="20"/>
          <w:color w:val="auto"/>
        </w:rPr>
      </w:pPr>
      <w:r>
        <w:rPr>
          <w:rFonts w:ascii="Arial" w:cs="Arial" w:eastAsia="Arial" w:hAnsi="Arial"/>
          <w:sz w:val="17"/>
          <w:szCs w:val="17"/>
          <w:color w:val="auto"/>
        </w:rPr>
        <w:t>We believe that the composition of our nominating and corporate governance committee meets the requirements for independence under current Nasdaq and SEC rules and regulations.</w:t>
      </w:r>
    </w:p>
    <w:p>
      <w:pPr>
        <w:spacing w:after="0" w:line="264"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233" w:lineRule="exact"/>
        <w:rPr>
          <w:sz w:val="20"/>
          <w:szCs w:val="20"/>
          <w:color w:val="auto"/>
        </w:rPr>
      </w:pPr>
    </w:p>
    <w:p>
      <w:pPr>
        <w:ind w:left="360" w:right="20" w:firstLine="535"/>
        <w:spacing w:after="0" w:line="247" w:lineRule="auto"/>
        <w:rPr>
          <w:sz w:val="20"/>
          <w:szCs w:val="20"/>
          <w:color w:val="auto"/>
        </w:rPr>
      </w:pPr>
      <w:r>
        <w:rPr>
          <w:rFonts w:ascii="Arial" w:cs="Arial" w:eastAsia="Arial" w:hAnsi="Arial"/>
          <w:sz w:val="17"/>
          <w:szCs w:val="17"/>
          <w:color w:val="auto"/>
        </w:rPr>
        <w:t>None of our executive officers serves as a member of the board of directors or compensation committee, or other committee serving an equivalent function, of any other entity that has one or more of its executive officers serving as a member of our board of directors or our compensation committee. None of the members of our compensation committee is, or in the last three years has been, an officer or employee of our company.</w:t>
      </w:r>
    </w:p>
    <w:p>
      <w:pPr>
        <w:spacing w:after="0" w:line="274"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Code of Ethics and Code of Conduct</w:t>
      </w:r>
    </w:p>
    <w:p>
      <w:pPr>
        <w:spacing w:after="0" w:line="233" w:lineRule="exact"/>
        <w:rPr>
          <w:sz w:val="20"/>
          <w:szCs w:val="20"/>
          <w:color w:val="auto"/>
        </w:rPr>
      </w:pPr>
    </w:p>
    <w:p>
      <w:pPr>
        <w:ind w:left="360" w:right="40" w:firstLine="535"/>
        <w:spacing w:after="0" w:line="246" w:lineRule="auto"/>
        <w:rPr>
          <w:sz w:val="20"/>
          <w:szCs w:val="20"/>
          <w:color w:val="auto"/>
        </w:rPr>
      </w:pPr>
      <w:r>
        <w:rPr>
          <w:rFonts w:ascii="Arial" w:cs="Arial" w:eastAsia="Arial" w:hAnsi="Arial"/>
          <w:sz w:val="17"/>
          <w:szCs w:val="17"/>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We intend to post a current copy of the code on our website, www.arvinas.com. In addition, we intend to post on our website all disclosures that are required by law or Nasdaq stock market listing standards concerning any amendments to, or waivers from, any provision of the code.</w:t>
      </w:r>
    </w:p>
    <w:p>
      <w:pPr>
        <w:spacing w:after="0" w:line="326"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152</w:t>
      </w:r>
    </w:p>
    <w:p>
      <w:pPr>
        <w:sectPr>
          <w:pgSz w:w="11900" w:h="16838" w:orient="portrait"/>
          <w:cols w:equalWidth="0" w:num="1">
            <w:col w:w="11020"/>
          </w:cols>
          <w:pgMar w:left="240" w:top="450" w:right="639" w:bottom="1440" w:gutter="0" w:footer="0" w:header="0"/>
        </w:sectPr>
      </w:pPr>
    </w:p>
    <w:bookmarkStart w:id="154" w:name="page155"/>
    <w:bookmarkEnd w:id="1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EXECUTIVE COMPENSATION</w:t>
      </w:r>
    </w:p>
    <w:p>
      <w:pPr>
        <w:spacing w:after="0" w:line="233" w:lineRule="exact"/>
        <w:rPr>
          <w:sz w:val="20"/>
          <w:szCs w:val="20"/>
          <w:color w:val="auto"/>
        </w:rPr>
      </w:pPr>
    </w:p>
    <w:p>
      <w:pPr>
        <w:ind w:left="360" w:right="40" w:firstLine="535"/>
        <w:spacing w:after="0" w:line="245" w:lineRule="auto"/>
        <w:rPr>
          <w:sz w:val="20"/>
          <w:szCs w:val="20"/>
          <w:color w:val="auto"/>
        </w:rPr>
      </w:pPr>
      <w:r>
        <w:rPr>
          <w:rFonts w:ascii="Arial" w:cs="Arial" w:eastAsia="Arial" w:hAnsi="Arial"/>
          <w:sz w:val="17"/>
          <w:szCs w:val="17"/>
          <w:color w:val="auto"/>
        </w:rPr>
        <w:t>This section describes the material elements of compensation awarded to, earned by or paid to each of our named executive officers in 2017. Our “named executive officers” for 2017 are John Houston, our President and Chief Executive Officer, Manuel Litchman, who served as President and Chief Executive Officer until February 2017, Sean Cassidy and Ian Taylor. This section also provides qualitative information regarding the manner and context in which compensation is awarded to and earned by our executive officers and is intended to place in perspective the data presented in the tables and narrative that follow.</w:t>
      </w:r>
    </w:p>
    <w:p>
      <w:pPr>
        <w:spacing w:after="0" w:line="195" w:lineRule="exact"/>
        <w:rPr>
          <w:sz w:val="20"/>
          <w:szCs w:val="20"/>
          <w:color w:val="auto"/>
        </w:rPr>
      </w:pPr>
    </w:p>
    <w:p>
      <w:pPr>
        <w:ind w:left="360" w:right="320" w:firstLine="535"/>
        <w:spacing w:after="0" w:line="250" w:lineRule="auto"/>
        <w:rPr>
          <w:sz w:val="20"/>
          <w:szCs w:val="20"/>
          <w:color w:val="auto"/>
        </w:rPr>
      </w:pPr>
      <w:r>
        <w:rPr>
          <w:rFonts w:ascii="Arial" w:cs="Arial" w:eastAsia="Arial" w:hAnsi="Arial"/>
          <w:sz w:val="17"/>
          <w:szCs w:val="17"/>
          <w:color w:val="auto"/>
        </w:rPr>
        <w:t>This discussion may contain forward-looking statements that are based on our current plans, considerations, expectations and determinations regarding future compensation programs. Actual compensation programs that we adopt following the completion of this offering may differ materially from the currently planned programs summarized in this discussion.</w:t>
      </w:r>
    </w:p>
    <w:p>
      <w:pPr>
        <w:spacing w:after="0" w:line="272"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Summary Compensation Table</w:t>
      </w:r>
    </w:p>
    <w:p>
      <w:pPr>
        <w:spacing w:after="0" w:line="233" w:lineRule="exact"/>
        <w:rPr>
          <w:sz w:val="20"/>
          <w:szCs w:val="20"/>
          <w:color w:val="auto"/>
        </w:rPr>
      </w:pPr>
    </w:p>
    <w:p>
      <w:pPr>
        <w:ind w:left="360" w:right="260" w:firstLine="535"/>
        <w:spacing w:after="0" w:line="259" w:lineRule="auto"/>
        <w:rPr>
          <w:sz w:val="20"/>
          <w:szCs w:val="20"/>
          <w:color w:val="auto"/>
        </w:rPr>
      </w:pPr>
      <w:r>
        <w:rPr>
          <w:rFonts w:ascii="Arial" w:cs="Arial" w:eastAsia="Arial" w:hAnsi="Arial"/>
          <w:sz w:val="17"/>
          <w:szCs w:val="17"/>
          <w:color w:val="auto"/>
        </w:rPr>
        <w:t>The following table sets forth information regarding compensation awarded to, earned by or paid to our named executive officers during 2017.</w:t>
      </w:r>
    </w:p>
    <w:p>
      <w:pPr>
        <w:spacing w:after="0" w:line="193"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Non-Equity</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Stock Awards</w:t>
            </w:r>
          </w:p>
        </w:tc>
        <w:tc>
          <w:tcPr>
            <w:tcW w:w="240" w:type="dxa"/>
            <w:vAlign w:val="bottom"/>
          </w:tcPr>
          <w:p>
            <w:pPr>
              <w:spacing w:after="0"/>
              <w:rPr>
                <w:sz w:val="13"/>
                <w:szCs w:val="13"/>
                <w:color w:val="auto"/>
              </w:rPr>
            </w:pPr>
          </w:p>
        </w:tc>
        <w:tc>
          <w:tcPr>
            <w:tcW w:w="9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Incentive</w:t>
            </w:r>
          </w:p>
        </w:tc>
        <w:tc>
          <w:tcPr>
            <w:tcW w:w="240" w:type="dxa"/>
            <w:vAlign w:val="bottom"/>
          </w:tcPr>
          <w:p>
            <w:pPr>
              <w:spacing w:after="0"/>
              <w:rPr>
                <w:sz w:val="13"/>
                <w:szCs w:val="13"/>
                <w:color w:val="auto"/>
              </w:rPr>
            </w:pPr>
          </w:p>
        </w:tc>
        <w:tc>
          <w:tcPr>
            <w:tcW w:w="1420" w:type="dxa"/>
            <w:vAlign w:val="bottom"/>
            <w:gridSpan w:val="2"/>
          </w:tcPr>
          <w:p>
            <w:pPr>
              <w:jc w:val="center"/>
              <w:ind w:right="460"/>
              <w:spacing w:after="0" w:line="157" w:lineRule="exact"/>
              <w:rPr>
                <w:sz w:val="20"/>
                <w:szCs w:val="20"/>
                <w:color w:val="auto"/>
              </w:rPr>
            </w:pPr>
            <w:r>
              <w:rPr>
                <w:rFonts w:ascii="Arial" w:cs="Arial" w:eastAsia="Arial" w:hAnsi="Arial"/>
                <w:sz w:val="14"/>
                <w:szCs w:val="14"/>
                <w:b w:val="1"/>
                <w:bCs w:val="1"/>
                <w:color w:val="auto"/>
              </w:rPr>
              <w:t>All Other</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jc w:val="right"/>
              <w:ind w:right="78"/>
              <w:spacing w:after="0" w:line="157" w:lineRule="exact"/>
              <w:rPr>
                <w:sz w:val="20"/>
                <w:szCs w:val="20"/>
                <w:color w:val="auto"/>
              </w:rPr>
            </w:pPr>
            <w:r>
              <w:rPr>
                <w:rFonts w:ascii="Arial" w:cs="Arial" w:eastAsia="Arial" w:hAnsi="Arial"/>
                <w:sz w:val="14"/>
                <w:szCs w:val="14"/>
                <w:b w:val="1"/>
                <w:bCs w:val="1"/>
                <w:color w:val="auto"/>
              </w:rPr>
              <w:t>Salary</w:t>
            </w:r>
          </w:p>
        </w:tc>
        <w:tc>
          <w:tcPr>
            <w:tcW w:w="1320" w:type="dxa"/>
            <w:vAlign w:val="bottom"/>
            <w:gridSpan w:val="2"/>
          </w:tcPr>
          <w:p>
            <w:pPr>
              <w:jc w:val="center"/>
              <w:ind w:left="150"/>
              <w:spacing w:after="0" w:line="157" w:lineRule="exact"/>
              <w:rPr>
                <w:sz w:val="20"/>
                <w:szCs w:val="20"/>
                <w:color w:val="auto"/>
              </w:rPr>
            </w:pPr>
            <w:r>
              <w:rPr>
                <w:rFonts w:ascii="Arial" w:cs="Arial" w:eastAsia="Arial" w:hAnsi="Arial"/>
                <w:sz w:val="14"/>
                <w:szCs w:val="14"/>
                <w:b w:val="1"/>
                <w:bCs w:val="1"/>
                <w:color w:val="auto"/>
              </w:rPr>
              <w:t>(Incentive Units)</w:t>
            </w:r>
          </w:p>
        </w:tc>
        <w:tc>
          <w:tcPr>
            <w:tcW w:w="1220" w:type="dxa"/>
            <w:vAlign w:val="bottom"/>
            <w:gridSpan w:val="2"/>
          </w:tcPr>
          <w:p>
            <w:pPr>
              <w:jc w:val="center"/>
              <w:ind w:left="141"/>
              <w:spacing w:after="0" w:line="157" w:lineRule="exact"/>
              <w:rPr>
                <w:sz w:val="20"/>
                <w:szCs w:val="20"/>
                <w:color w:val="auto"/>
              </w:rPr>
            </w:pPr>
            <w:r>
              <w:rPr>
                <w:rFonts w:ascii="Arial" w:cs="Arial" w:eastAsia="Arial" w:hAnsi="Arial"/>
                <w:sz w:val="14"/>
                <w:szCs w:val="14"/>
                <w:b w:val="1"/>
                <w:bCs w:val="1"/>
                <w:color w:val="auto"/>
                <w:w w:val="98"/>
              </w:rPr>
              <w:t>Compensation</w:t>
            </w:r>
          </w:p>
        </w:tc>
        <w:tc>
          <w:tcPr>
            <w:tcW w:w="1660" w:type="dxa"/>
            <w:vAlign w:val="bottom"/>
            <w:gridSpan w:val="3"/>
          </w:tcPr>
          <w:p>
            <w:pPr>
              <w:jc w:val="center"/>
              <w:ind w:right="220"/>
              <w:spacing w:after="0" w:line="157" w:lineRule="exact"/>
              <w:rPr>
                <w:sz w:val="20"/>
                <w:szCs w:val="20"/>
                <w:color w:val="auto"/>
              </w:rPr>
            </w:pPr>
            <w:r>
              <w:rPr>
                <w:rFonts w:ascii="Arial" w:cs="Arial" w:eastAsia="Arial" w:hAnsi="Arial"/>
                <w:sz w:val="14"/>
                <w:szCs w:val="14"/>
                <w:b w:val="1"/>
                <w:bCs w:val="1"/>
                <w:color w:val="auto"/>
                <w:w w:val="98"/>
              </w:rPr>
              <w:t>Compensation</w:t>
            </w:r>
          </w:p>
        </w:tc>
        <w:tc>
          <w:tcPr>
            <w:tcW w:w="740" w:type="dxa"/>
            <w:vAlign w:val="bottom"/>
          </w:tcPr>
          <w:p>
            <w:pPr>
              <w:jc w:val="right"/>
              <w:ind w:right="158"/>
              <w:spacing w:after="0" w:line="157"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420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Year</w:t>
            </w:r>
          </w:p>
        </w:tc>
        <w:tc>
          <w:tcPr>
            <w:tcW w:w="700" w:type="dxa"/>
            <w:vAlign w:val="bottom"/>
          </w:tcPr>
          <w:p>
            <w:pPr>
              <w:jc w:val="right"/>
              <w:ind w:right="198"/>
              <w:spacing w:after="0" w:line="155" w:lineRule="exact"/>
              <w:rPr>
                <w:sz w:val="20"/>
                <w:szCs w:val="20"/>
                <w:color w:val="auto"/>
              </w:rPr>
            </w:pPr>
            <w:r>
              <w:rPr>
                <w:rFonts w:ascii="Arial" w:cs="Arial" w:eastAsia="Arial" w:hAnsi="Arial"/>
                <w:sz w:val="14"/>
                <w:szCs w:val="14"/>
                <w:b w:val="1"/>
                <w:bCs w:val="1"/>
                <w:color w:val="auto"/>
              </w:rPr>
              <w:t>($)</w:t>
            </w:r>
          </w:p>
        </w:tc>
        <w:tc>
          <w:tcPr>
            <w:tcW w:w="1320" w:type="dxa"/>
            <w:vAlign w:val="bottom"/>
            <w:gridSpan w:val="2"/>
          </w:tcPr>
          <w:p>
            <w:pPr>
              <w:jc w:val="center"/>
              <w:ind w:left="150"/>
              <w:spacing w:after="0" w:line="155" w:lineRule="exact"/>
              <w:rPr>
                <w:sz w:val="20"/>
                <w:szCs w:val="20"/>
                <w:color w:val="auto"/>
              </w:rPr>
            </w:pPr>
            <w:r>
              <w:rPr>
                <w:rFonts w:ascii="Arial" w:cs="Arial" w:eastAsia="Arial" w:hAnsi="Arial"/>
                <w:sz w:val="14"/>
                <w:szCs w:val="14"/>
                <w:b w:val="1"/>
                <w:bCs w:val="1"/>
                <w:color w:val="auto"/>
                <w:w w:val="99"/>
              </w:rPr>
              <w:t>($)(1)</w:t>
            </w:r>
          </w:p>
        </w:tc>
        <w:tc>
          <w:tcPr>
            <w:tcW w:w="1220" w:type="dxa"/>
            <w:vAlign w:val="bottom"/>
            <w:gridSpan w:val="2"/>
          </w:tcPr>
          <w:p>
            <w:pPr>
              <w:jc w:val="center"/>
              <w:ind w:left="121"/>
              <w:spacing w:after="0" w:line="155" w:lineRule="exact"/>
              <w:rPr>
                <w:sz w:val="20"/>
                <w:szCs w:val="20"/>
                <w:color w:val="auto"/>
              </w:rPr>
            </w:pPr>
            <w:r>
              <w:rPr>
                <w:rFonts w:ascii="Arial" w:cs="Arial" w:eastAsia="Arial" w:hAnsi="Arial"/>
                <w:sz w:val="14"/>
                <w:szCs w:val="14"/>
                <w:b w:val="1"/>
                <w:bCs w:val="1"/>
                <w:color w:val="auto"/>
                <w:w w:val="99"/>
              </w:rPr>
              <w:t>($)(2)</w:t>
            </w:r>
          </w:p>
        </w:tc>
        <w:tc>
          <w:tcPr>
            <w:tcW w:w="1220" w:type="dxa"/>
            <w:vAlign w:val="bottom"/>
            <w:gridSpan w:val="2"/>
          </w:tcPr>
          <w:p>
            <w:pPr>
              <w:jc w:val="center"/>
              <w:ind w:left="144"/>
              <w:spacing w:after="0" w:line="155" w:lineRule="exact"/>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3"/>
                <w:szCs w:val="13"/>
                <w:color w:val="auto"/>
              </w:rPr>
            </w:pPr>
          </w:p>
        </w:tc>
        <w:tc>
          <w:tcPr>
            <w:tcW w:w="740" w:type="dxa"/>
            <w:vAlign w:val="bottom"/>
          </w:tcPr>
          <w:p>
            <w:pPr>
              <w:jc w:val="right"/>
              <w:ind w:right="238"/>
              <w:spacing w:after="0" w:line="15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Borders>
              <w:top w:val="single" w:sz="8" w:color="auto"/>
            </w:tcBorders>
            <w:vMerge w:val="restart"/>
            <w:shd w:val="clear" w:color="auto" w:fill="CCEEFF"/>
          </w:tcPr>
          <w:p>
            <w:pPr>
              <w:spacing w:after="0" w:line="184" w:lineRule="exact"/>
              <w:rPr>
                <w:sz w:val="20"/>
                <w:szCs w:val="20"/>
                <w:color w:val="auto"/>
              </w:rPr>
            </w:pPr>
            <w:r>
              <w:rPr>
                <w:rFonts w:ascii="Arial" w:cs="Arial" w:eastAsia="Arial" w:hAnsi="Arial"/>
                <w:sz w:val="17"/>
                <w:szCs w:val="17"/>
                <w:color w:val="auto"/>
              </w:rPr>
              <w:t>John Houston, Ph.D.(3)</w:t>
            </w:r>
          </w:p>
        </w:tc>
        <w:tc>
          <w:tcPr>
            <w:tcW w:w="232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1860" w:type="dxa"/>
            <w:vAlign w:val="bottom"/>
            <w:vMerge w:val="continue"/>
            <w:shd w:val="clear" w:color="auto" w:fill="CCEEFF"/>
          </w:tcPr>
          <w:p>
            <w:pPr>
              <w:spacing w:after="0"/>
              <w:rPr>
                <w:sz w:val="14"/>
                <w:szCs w:val="14"/>
                <w:color w:val="auto"/>
              </w:rPr>
            </w:pPr>
          </w:p>
        </w:tc>
        <w:tc>
          <w:tcPr>
            <w:tcW w:w="232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440" w:type="dxa"/>
            <w:vAlign w:val="bottom"/>
            <w:shd w:val="clear" w:color="auto" w:fill="CCEEFF"/>
          </w:tcPr>
          <w:p>
            <w:pPr>
              <w:ind w:left="40"/>
              <w:spacing w:after="0" w:line="164" w:lineRule="exact"/>
              <w:rPr>
                <w:sz w:val="20"/>
                <w:szCs w:val="20"/>
                <w:color w:val="auto"/>
              </w:rPr>
            </w:pPr>
            <w:r>
              <w:rPr>
                <w:rFonts w:ascii="Arial" w:cs="Arial" w:eastAsia="Arial" w:hAnsi="Arial"/>
                <w:sz w:val="17"/>
                <w:szCs w:val="17"/>
                <w:color w:val="auto"/>
              </w:rPr>
              <w:t>2017</w:t>
            </w:r>
          </w:p>
        </w:tc>
        <w:tc>
          <w:tcPr>
            <w:tcW w:w="240" w:type="dxa"/>
            <w:vAlign w:val="bottom"/>
            <w:vMerge w:val="continue"/>
            <w:shd w:val="clear" w:color="auto" w:fill="CCEEFF"/>
          </w:tcPr>
          <w:p>
            <w:pPr>
              <w:spacing w:after="0"/>
              <w:rPr>
                <w:sz w:val="14"/>
                <w:szCs w:val="14"/>
                <w:color w:val="auto"/>
              </w:rPr>
            </w:pPr>
          </w:p>
        </w:tc>
        <w:tc>
          <w:tcPr>
            <w:tcW w:w="700" w:type="dxa"/>
            <w:vAlign w:val="bottom"/>
            <w:shd w:val="clear" w:color="auto" w:fill="CCEEFF"/>
          </w:tcPr>
          <w:p>
            <w:pPr>
              <w:jc w:val="right"/>
              <w:spacing w:after="0" w:line="164" w:lineRule="exact"/>
              <w:rPr>
                <w:sz w:val="20"/>
                <w:szCs w:val="20"/>
                <w:color w:val="auto"/>
              </w:rPr>
            </w:pPr>
            <w:r>
              <w:rPr>
                <w:rFonts w:ascii="Arial" w:cs="Arial" w:eastAsia="Arial" w:hAnsi="Arial"/>
                <w:sz w:val="17"/>
                <w:szCs w:val="17"/>
                <w:color w:val="auto"/>
              </w:rPr>
              <w:t>370,778</w:t>
            </w:r>
          </w:p>
        </w:tc>
        <w:tc>
          <w:tcPr>
            <w:tcW w:w="220" w:type="dxa"/>
            <w:vAlign w:val="bottom"/>
            <w:vMerge w:val="continue"/>
            <w:shd w:val="clear" w:color="auto" w:fill="CCEEFF"/>
          </w:tcPr>
          <w:p>
            <w:pPr>
              <w:spacing w:after="0"/>
              <w:rPr>
                <w:sz w:val="14"/>
                <w:szCs w:val="14"/>
                <w:color w:val="auto"/>
              </w:rPr>
            </w:pPr>
          </w:p>
        </w:tc>
        <w:tc>
          <w:tcPr>
            <w:tcW w:w="1100" w:type="dxa"/>
            <w:vAlign w:val="bottom"/>
            <w:shd w:val="clear" w:color="auto" w:fill="CCEEFF"/>
          </w:tcPr>
          <w:p>
            <w:pPr>
              <w:jc w:val="right"/>
              <w:spacing w:after="0" w:line="164" w:lineRule="exact"/>
              <w:rPr>
                <w:sz w:val="20"/>
                <w:szCs w:val="20"/>
                <w:color w:val="auto"/>
              </w:rPr>
            </w:pPr>
            <w:r>
              <w:rPr>
                <w:rFonts w:ascii="Arial" w:cs="Arial" w:eastAsia="Arial" w:hAnsi="Arial"/>
                <w:sz w:val="17"/>
                <w:szCs w:val="17"/>
                <w:color w:val="auto"/>
              </w:rPr>
              <w:t>373,651</w:t>
            </w:r>
          </w:p>
        </w:tc>
        <w:tc>
          <w:tcPr>
            <w:tcW w:w="240" w:type="dxa"/>
            <w:vAlign w:val="bottom"/>
            <w:vMerge w:val="continue"/>
            <w:shd w:val="clear" w:color="auto" w:fill="CCEEFF"/>
          </w:tcPr>
          <w:p>
            <w:pPr>
              <w:spacing w:after="0"/>
              <w:rPr>
                <w:sz w:val="14"/>
                <w:szCs w:val="14"/>
                <w:color w:val="auto"/>
              </w:rPr>
            </w:pPr>
          </w:p>
        </w:tc>
        <w:tc>
          <w:tcPr>
            <w:tcW w:w="980" w:type="dxa"/>
            <w:vAlign w:val="bottom"/>
            <w:shd w:val="clear" w:color="auto" w:fill="CCEEFF"/>
          </w:tcPr>
          <w:p>
            <w:pPr>
              <w:jc w:val="right"/>
              <w:spacing w:after="0" w:line="164" w:lineRule="exact"/>
              <w:rPr>
                <w:sz w:val="20"/>
                <w:szCs w:val="20"/>
                <w:color w:val="auto"/>
              </w:rPr>
            </w:pPr>
            <w:r>
              <w:rPr>
                <w:rFonts w:ascii="Arial" w:cs="Arial" w:eastAsia="Arial" w:hAnsi="Arial"/>
                <w:sz w:val="17"/>
                <w:szCs w:val="17"/>
                <w:color w:val="auto"/>
              </w:rPr>
              <w:t>160,000</w:t>
            </w:r>
          </w:p>
        </w:tc>
        <w:tc>
          <w:tcPr>
            <w:tcW w:w="240" w:type="dxa"/>
            <w:vAlign w:val="bottom"/>
            <w:vMerge w:val="continue"/>
            <w:shd w:val="clear" w:color="auto" w:fill="CCEEFF"/>
          </w:tcPr>
          <w:p>
            <w:pPr>
              <w:spacing w:after="0"/>
              <w:rPr>
                <w:sz w:val="14"/>
                <w:szCs w:val="14"/>
                <w:color w:val="auto"/>
              </w:rPr>
            </w:pPr>
          </w:p>
        </w:tc>
        <w:tc>
          <w:tcPr>
            <w:tcW w:w="1420" w:type="dxa"/>
            <w:vAlign w:val="bottom"/>
            <w:gridSpan w:val="2"/>
            <w:shd w:val="clear" w:color="auto" w:fill="CCEEFF"/>
          </w:tcPr>
          <w:p>
            <w:pPr>
              <w:jc w:val="right"/>
              <w:ind w:right="240"/>
              <w:spacing w:after="0" w:line="164" w:lineRule="exact"/>
              <w:rPr>
                <w:sz w:val="20"/>
                <w:szCs w:val="20"/>
                <w:color w:val="auto"/>
              </w:rPr>
            </w:pPr>
            <w:r>
              <w:rPr>
                <w:rFonts w:ascii="Arial" w:cs="Arial" w:eastAsia="Arial" w:hAnsi="Arial"/>
                <w:sz w:val="17"/>
                <w:szCs w:val="17"/>
                <w:color w:val="auto"/>
              </w:rPr>
              <w:t>50,000(4)</w:t>
            </w:r>
          </w:p>
        </w:tc>
        <w:tc>
          <w:tcPr>
            <w:tcW w:w="740" w:type="dxa"/>
            <w:vAlign w:val="bottom"/>
            <w:tcBorders>
              <w:right w:val="single" w:sz="8" w:color="CCEEFF"/>
            </w:tcBorders>
            <w:shd w:val="clear" w:color="auto" w:fill="CCEEFF"/>
          </w:tcPr>
          <w:p>
            <w:pPr>
              <w:jc w:val="right"/>
              <w:spacing w:after="0" w:line="164" w:lineRule="exact"/>
              <w:rPr>
                <w:sz w:val="20"/>
                <w:szCs w:val="20"/>
                <w:color w:val="auto"/>
              </w:rPr>
            </w:pPr>
            <w:r>
              <w:rPr>
                <w:rFonts w:ascii="Arial" w:cs="Arial" w:eastAsia="Arial" w:hAnsi="Arial"/>
                <w:sz w:val="17"/>
                <w:szCs w:val="17"/>
                <w:color w:val="auto"/>
              </w:rPr>
              <w:t>954,429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80" w:type="dxa"/>
            <w:vAlign w:val="bottom"/>
            <w:gridSpan w:val="2"/>
            <w:shd w:val="clear" w:color="auto" w:fill="CCEEFF"/>
          </w:tcPr>
          <w:p>
            <w:pPr>
              <w:ind w:left="160"/>
              <w:spacing w:after="0"/>
              <w:rPr>
                <w:sz w:val="20"/>
                <w:szCs w:val="20"/>
                <w:color w:val="auto"/>
              </w:rPr>
            </w:pPr>
            <w:r>
              <w:rPr>
                <w:rFonts w:ascii="Arial" w:cs="Arial" w:eastAsia="Arial" w:hAnsi="Arial"/>
                <w:sz w:val="17"/>
                <w:szCs w:val="17"/>
                <w:i w:val="1"/>
                <w:iCs w:val="1"/>
                <w:color w:val="auto"/>
              </w:rPr>
              <w:t>President and Chief Executive Officer</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200" w:type="dxa"/>
            <w:vAlign w:val="bottom"/>
            <w:gridSpan w:val="3"/>
          </w:tcPr>
          <w:p>
            <w:pPr>
              <w:spacing w:after="0"/>
              <w:rPr>
                <w:sz w:val="20"/>
                <w:szCs w:val="20"/>
                <w:color w:val="auto"/>
              </w:rPr>
            </w:pPr>
            <w:r>
              <w:rPr>
                <w:rFonts w:ascii="Arial" w:cs="Arial" w:eastAsia="Arial" w:hAnsi="Arial"/>
                <w:sz w:val="17"/>
                <w:szCs w:val="17"/>
                <w:color w:val="auto"/>
              </w:rPr>
              <w:t>Manuel Litchman, M.D.</w:t>
            </w:r>
          </w:p>
        </w:tc>
        <w:tc>
          <w:tcPr>
            <w:tcW w:w="620" w:type="dxa"/>
            <w:vAlign w:val="bottom"/>
            <w:gridSpan w:val="2"/>
          </w:tcPr>
          <w:p>
            <w:pPr>
              <w:ind w:left="220"/>
              <w:spacing w:after="0"/>
              <w:rPr>
                <w:sz w:val="20"/>
                <w:szCs w:val="20"/>
                <w:color w:val="auto"/>
              </w:rPr>
            </w:pPr>
            <w:r>
              <w:rPr>
                <w:rFonts w:ascii="Arial" w:cs="Arial" w:eastAsia="Arial" w:hAnsi="Arial"/>
                <w:sz w:val="17"/>
                <w:szCs w:val="17"/>
                <w:color w:val="auto"/>
              </w:rPr>
              <w:t>2017</w:t>
            </w: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54,907</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660" w:type="dxa"/>
            <w:vAlign w:val="bottom"/>
            <w:gridSpan w:val="3"/>
          </w:tcPr>
          <w:p>
            <w:pPr>
              <w:jc w:val="right"/>
              <w:ind w:right="240"/>
              <w:spacing w:after="0"/>
              <w:rPr>
                <w:sz w:val="20"/>
                <w:szCs w:val="20"/>
                <w:color w:val="auto"/>
              </w:rPr>
            </w:pPr>
            <w:r>
              <w:rPr>
                <w:rFonts w:ascii="Arial" w:cs="Arial" w:eastAsia="Arial" w:hAnsi="Arial"/>
                <w:sz w:val="17"/>
                <w:szCs w:val="17"/>
                <w:color w:val="auto"/>
              </w:rPr>
              <w:t>308,502(5)</w:t>
            </w:r>
          </w:p>
        </w:tc>
        <w:tc>
          <w:tcPr>
            <w:tcW w:w="740" w:type="dxa"/>
            <w:vAlign w:val="bottom"/>
          </w:tcPr>
          <w:p>
            <w:pPr>
              <w:jc w:val="right"/>
              <w:spacing w:after="0"/>
              <w:rPr>
                <w:sz w:val="20"/>
                <w:szCs w:val="20"/>
                <w:color w:val="auto"/>
              </w:rPr>
            </w:pPr>
            <w:r>
              <w:rPr>
                <w:rFonts w:ascii="Arial" w:cs="Arial" w:eastAsia="Arial" w:hAnsi="Arial"/>
                <w:sz w:val="17"/>
                <w:szCs w:val="17"/>
                <w:color w:val="auto"/>
              </w:rPr>
              <w:t>363,409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80" w:type="dxa"/>
            <w:vAlign w:val="bottom"/>
            <w:gridSpan w:val="2"/>
          </w:tcPr>
          <w:p>
            <w:pPr>
              <w:ind w:left="160"/>
              <w:spacing w:after="0"/>
              <w:rPr>
                <w:sz w:val="20"/>
                <w:szCs w:val="20"/>
                <w:color w:val="auto"/>
              </w:rPr>
            </w:pPr>
            <w:r>
              <w:rPr>
                <w:rFonts w:ascii="Arial" w:cs="Arial" w:eastAsia="Arial" w:hAnsi="Arial"/>
                <w:sz w:val="17"/>
                <w:szCs w:val="17"/>
                <w:i w:val="1"/>
                <w:iCs w:val="1"/>
                <w:color w:val="auto"/>
              </w:rPr>
              <w:t>Former President and Chief Executive Officer</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vMerge w:val="restart"/>
          </w:tcPr>
          <w:p>
            <w:pPr>
              <w:spacing w:after="0"/>
              <w:rPr>
                <w:sz w:val="8"/>
                <w:szCs w:val="8"/>
                <w:color w:val="auto"/>
              </w:rPr>
            </w:pPr>
          </w:p>
        </w:tc>
        <w:tc>
          <w:tcPr>
            <w:tcW w:w="18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4180" w:type="dxa"/>
            <w:vAlign w:val="bottom"/>
            <w:gridSpan w:val="2"/>
            <w:shd w:val="clear" w:color="auto" w:fill="CCEEFF"/>
          </w:tcPr>
          <w:p>
            <w:pPr>
              <w:spacing w:after="0" w:line="178" w:lineRule="exact"/>
              <w:rPr>
                <w:sz w:val="20"/>
                <w:szCs w:val="20"/>
                <w:color w:val="auto"/>
              </w:rPr>
            </w:pPr>
            <w:r>
              <w:rPr>
                <w:rFonts w:ascii="Arial" w:cs="Arial" w:eastAsia="Arial" w:hAnsi="Arial"/>
                <w:sz w:val="17"/>
                <w:szCs w:val="17"/>
                <w:color w:val="auto"/>
              </w:rPr>
              <w:t>Sean Cassidy</w:t>
            </w:r>
          </w:p>
        </w:tc>
        <w:tc>
          <w:tcPr>
            <w:tcW w:w="620" w:type="dxa"/>
            <w:vAlign w:val="bottom"/>
            <w:gridSpan w:val="2"/>
            <w:shd w:val="clear" w:color="auto" w:fill="CCEEFF"/>
          </w:tcPr>
          <w:p>
            <w:pPr>
              <w:ind w:left="220"/>
              <w:spacing w:after="0" w:line="178" w:lineRule="exact"/>
              <w:rPr>
                <w:sz w:val="20"/>
                <w:szCs w:val="20"/>
                <w:color w:val="auto"/>
              </w:rPr>
            </w:pPr>
            <w:r>
              <w:rPr>
                <w:rFonts w:ascii="Arial" w:cs="Arial" w:eastAsia="Arial" w:hAnsi="Arial"/>
                <w:sz w:val="17"/>
                <w:szCs w:val="17"/>
                <w:color w:val="auto"/>
              </w:rPr>
              <w:t>2017</w:t>
            </w: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8" w:lineRule="exact"/>
              <w:rPr>
                <w:sz w:val="20"/>
                <w:szCs w:val="20"/>
                <w:color w:val="auto"/>
              </w:rPr>
            </w:pPr>
            <w:r>
              <w:rPr>
                <w:rFonts w:ascii="Arial" w:cs="Arial" w:eastAsia="Arial" w:hAnsi="Arial"/>
                <w:sz w:val="17"/>
                <w:szCs w:val="17"/>
                <w:color w:val="auto"/>
              </w:rPr>
              <w:t>255,470</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8" w:lineRule="exact"/>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7"/>
                <w:szCs w:val="17"/>
                <w:color w:val="auto"/>
              </w:rPr>
              <w:t>91,639</w:t>
            </w:r>
          </w:p>
        </w:tc>
        <w:tc>
          <w:tcPr>
            <w:tcW w:w="24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460"/>
              <w:spacing w:after="0" w:line="178" w:lineRule="exact"/>
              <w:rPr>
                <w:sz w:val="20"/>
                <w:szCs w:val="20"/>
                <w:color w:val="auto"/>
              </w:rPr>
            </w:pPr>
            <w:r>
              <w:rPr>
                <w:rFonts w:ascii="Arial" w:cs="Arial" w:eastAsia="Arial" w:hAnsi="Arial"/>
                <w:sz w:val="17"/>
                <w:szCs w:val="17"/>
                <w:color w:val="auto"/>
              </w:rPr>
              <w:t>—</w:t>
            </w:r>
          </w:p>
        </w:tc>
        <w:tc>
          <w:tcPr>
            <w:tcW w:w="740" w:type="dxa"/>
            <w:vAlign w:val="bottom"/>
            <w:tcBorders>
              <w:right w:val="single" w:sz="8" w:color="CCEEFF"/>
            </w:tcBorders>
            <w:shd w:val="clear" w:color="auto" w:fill="CCEEFF"/>
          </w:tcPr>
          <w:p>
            <w:pPr>
              <w:jc w:val="right"/>
              <w:spacing w:after="0" w:line="178" w:lineRule="exact"/>
              <w:rPr>
                <w:sz w:val="20"/>
                <w:szCs w:val="20"/>
                <w:color w:val="auto"/>
              </w:rPr>
            </w:pPr>
            <w:r>
              <w:rPr>
                <w:rFonts w:ascii="Arial" w:cs="Arial" w:eastAsia="Arial" w:hAnsi="Arial"/>
                <w:sz w:val="17"/>
                <w:szCs w:val="17"/>
                <w:color w:val="auto"/>
              </w:rPr>
              <w:t>347,109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80" w:type="dxa"/>
            <w:vAlign w:val="bottom"/>
            <w:gridSpan w:val="2"/>
            <w:shd w:val="clear" w:color="auto" w:fill="CCEEFF"/>
          </w:tcPr>
          <w:p>
            <w:pPr>
              <w:ind w:left="160"/>
              <w:spacing w:after="0"/>
              <w:rPr>
                <w:sz w:val="20"/>
                <w:szCs w:val="20"/>
                <w:color w:val="auto"/>
              </w:rPr>
            </w:pPr>
            <w:r>
              <w:rPr>
                <w:rFonts w:ascii="Arial" w:cs="Arial" w:eastAsia="Arial" w:hAnsi="Arial"/>
                <w:sz w:val="17"/>
                <w:szCs w:val="17"/>
                <w:i w:val="1"/>
                <w:iCs w:val="1"/>
                <w:color w:val="auto"/>
              </w:rPr>
              <w:t>Chief Financial Officer</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200" w:type="dxa"/>
            <w:vAlign w:val="bottom"/>
            <w:gridSpan w:val="3"/>
          </w:tcPr>
          <w:p>
            <w:pPr>
              <w:spacing w:after="0"/>
              <w:rPr>
                <w:sz w:val="20"/>
                <w:szCs w:val="20"/>
                <w:color w:val="auto"/>
              </w:rPr>
            </w:pPr>
            <w:r>
              <w:rPr>
                <w:rFonts w:ascii="Arial" w:cs="Arial" w:eastAsia="Arial" w:hAnsi="Arial"/>
                <w:sz w:val="17"/>
                <w:szCs w:val="17"/>
                <w:color w:val="auto"/>
              </w:rPr>
              <w:t>Ian Taylor, Ph.D.</w:t>
            </w:r>
          </w:p>
        </w:tc>
        <w:tc>
          <w:tcPr>
            <w:tcW w:w="620" w:type="dxa"/>
            <w:vAlign w:val="bottom"/>
            <w:gridSpan w:val="2"/>
          </w:tcPr>
          <w:p>
            <w:pPr>
              <w:ind w:left="220"/>
              <w:spacing w:after="0"/>
              <w:rPr>
                <w:sz w:val="20"/>
                <w:szCs w:val="20"/>
                <w:color w:val="auto"/>
              </w:rPr>
            </w:pPr>
            <w:r>
              <w:rPr>
                <w:rFonts w:ascii="Arial" w:cs="Arial" w:eastAsia="Arial" w:hAnsi="Arial"/>
                <w:sz w:val="17"/>
                <w:szCs w:val="17"/>
                <w:color w:val="auto"/>
              </w:rPr>
              <w:t>2017</w:t>
            </w: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271,183</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64,298</w:t>
            </w:r>
          </w:p>
        </w:tc>
        <w:tc>
          <w:tcPr>
            <w:tcW w:w="240" w:type="dxa"/>
            <w:vAlign w:val="bottom"/>
          </w:tcPr>
          <w:p>
            <w:pPr>
              <w:spacing w:after="0"/>
              <w:rPr>
                <w:sz w:val="24"/>
                <w:szCs w:val="24"/>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335,481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80" w:type="dxa"/>
            <w:vAlign w:val="bottom"/>
            <w:gridSpan w:val="2"/>
          </w:tcPr>
          <w:p>
            <w:pPr>
              <w:ind w:left="160"/>
              <w:spacing w:after="0"/>
              <w:rPr>
                <w:sz w:val="20"/>
                <w:szCs w:val="20"/>
                <w:color w:val="auto"/>
              </w:rPr>
            </w:pPr>
            <w:r>
              <w:rPr>
                <w:rFonts w:ascii="Arial" w:cs="Arial" w:eastAsia="Arial" w:hAnsi="Arial"/>
                <w:sz w:val="17"/>
                <w:szCs w:val="17"/>
                <w:i w:val="1"/>
                <w:iCs w:val="1"/>
                <w:color w:val="auto"/>
              </w:rPr>
              <w:t>Senior Vice President, Biology</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74930</wp:posOffset>
            </wp:positionV>
            <wp:extent cx="6743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74370" cy="8255"/>
                    </a:xfrm>
                    <a:prstGeom prst="rect">
                      <a:avLst/>
                    </a:prstGeom>
                    <a:noFill/>
                  </pic:spPr>
                </pic:pic>
              </a:graphicData>
            </a:graphic>
          </wp:anchor>
        </w:drawing>
      </w:r>
    </w:p>
    <w:p>
      <w:pPr>
        <w:spacing w:after="0" w:line="150" w:lineRule="exact"/>
        <w:rPr>
          <w:sz w:val="20"/>
          <w:szCs w:val="20"/>
          <w:color w:val="auto"/>
        </w:rPr>
      </w:pPr>
    </w:p>
    <w:p>
      <w:pPr>
        <w:ind w:left="880" w:right="280" w:hanging="515"/>
        <w:spacing w:after="0" w:line="241" w:lineRule="auto"/>
        <w:tabs>
          <w:tab w:leader="none" w:pos="8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Amounts reflect the full grant date fair value of incentive units granted during 2017 computed in accordance with ASC Topic 718, rather than the amounts paid to or realized by the named individual. We provide information regarding the assumptions used to calculate the value of the awards in Note 10 to our audited consolidated financial statements appearing at the end of this prospectus.</w:t>
      </w:r>
    </w:p>
    <w:p>
      <w:pPr>
        <w:spacing w:after="0" w:line="1" w:lineRule="exact"/>
        <w:rPr>
          <w:rFonts w:ascii="Arial" w:cs="Arial" w:eastAsia="Arial" w:hAnsi="Arial"/>
          <w:sz w:val="17"/>
          <w:szCs w:val="17"/>
          <w:color w:val="auto"/>
        </w:rPr>
      </w:pPr>
    </w:p>
    <w:p>
      <w:pPr>
        <w:ind w:left="880" w:right="140" w:hanging="515"/>
        <w:spacing w:after="0" w:line="241" w:lineRule="auto"/>
        <w:tabs>
          <w:tab w:leader="none" w:pos="8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amounts reported in the “Non-Equity Incentive Plan Compensation” column represent awards to our named executive officers under our annual performance-based cash bonus program. See “—Annual Performance-Based Bonus” for a description of this program. Annual performance-based bonus compensation was earned in 2017 and paid in 2018.</w:t>
      </w:r>
    </w:p>
    <w:p>
      <w:pPr>
        <w:spacing w:after="0" w:line="1" w:lineRule="exact"/>
        <w:rPr>
          <w:rFonts w:ascii="Arial" w:cs="Arial" w:eastAsia="Arial" w:hAnsi="Arial"/>
          <w:sz w:val="17"/>
          <w:szCs w:val="17"/>
          <w:color w:val="auto"/>
        </w:rPr>
      </w:pPr>
    </w:p>
    <w:p>
      <w:pPr>
        <w:jc w:val="both"/>
        <w:ind w:left="880" w:right="420" w:hanging="515"/>
        <w:spacing w:after="0" w:line="241" w:lineRule="auto"/>
        <w:tabs>
          <w:tab w:leader="none" w:pos="8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Dr. Houston joined Arvinas in January 2017 as our Chief Scientific Officer and President, Research and Development. He has functioned as our principal executive officer since February 2017. Dr. Houston was promoted to President and Chief Executive Officer in September 2017. The amount reported represents the base salary that he earned for the portion of 2017 that he was employed.</w:t>
      </w:r>
    </w:p>
    <w:p>
      <w:pPr>
        <w:spacing w:after="0" w:line="1" w:lineRule="exact"/>
        <w:rPr>
          <w:rFonts w:ascii="Arial" w:cs="Arial" w:eastAsia="Arial" w:hAnsi="Arial"/>
          <w:sz w:val="17"/>
          <w:szCs w:val="17"/>
          <w:color w:val="auto"/>
        </w:rPr>
      </w:pPr>
    </w:p>
    <w:p>
      <w:pPr>
        <w:ind w:left="880" w:right="180" w:hanging="515"/>
        <w:spacing w:after="0" w:line="241" w:lineRule="auto"/>
        <w:tabs>
          <w:tab w:leader="none" w:pos="8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amount reported represents a signing bonus paid to Dr. Houston in connection with the commencement of his employment in January 2017.</w:t>
      </w:r>
    </w:p>
    <w:p>
      <w:pPr>
        <w:ind w:left="880" w:right="880" w:hanging="515"/>
        <w:spacing w:after="0" w:line="259" w:lineRule="auto"/>
        <w:tabs>
          <w:tab w:leader="none" w:pos="8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Dr. Litchman served as our President and Chief Executive Officer until February 2017. The amount reported in “All Other Compensation” includes $3,692 in housing allowances and</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153</w:t>
      </w:r>
    </w:p>
    <w:p>
      <w:pPr>
        <w:sectPr>
          <w:pgSz w:w="11900" w:h="16838" w:orient="portrait"/>
          <w:cols w:equalWidth="0" w:num="1">
            <w:col w:w="11060"/>
          </w:cols>
          <w:pgMar w:left="240" w:top="450" w:right="599" w:bottom="1440" w:gutter="0" w:footer="0" w:header="0"/>
        </w:sectPr>
      </w:pPr>
    </w:p>
    <w:bookmarkStart w:id="155" w:name="page156"/>
    <w:bookmarkEnd w:id="1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880" w:right="60"/>
        <w:spacing w:after="0" w:line="250" w:lineRule="auto"/>
        <w:rPr>
          <w:sz w:val="20"/>
          <w:szCs w:val="20"/>
          <w:color w:val="auto"/>
        </w:rPr>
      </w:pPr>
      <w:r>
        <w:rPr>
          <w:rFonts w:ascii="Arial" w:cs="Arial" w:eastAsia="Arial" w:hAnsi="Arial"/>
          <w:sz w:val="17"/>
          <w:szCs w:val="17"/>
          <w:color w:val="auto"/>
        </w:rPr>
        <w:t>$304,810 in severance payments. Dr. Litchman’s severance payments included, consistent with his employment agreement, approximately nine months’ base salary, a prorated bonus for 2017, approximately 4.5 months in additional housing allowances, up to nine months’ medical, dental and vision insurance and accrued vacation payout.</w:t>
      </w:r>
    </w:p>
    <w:p>
      <w:pPr>
        <w:spacing w:after="0" w:line="272"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Narrative to Summary Compensation Table</w:t>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Base Salary</w:t>
      </w:r>
    </w:p>
    <w:p>
      <w:pPr>
        <w:spacing w:after="0" w:line="126" w:lineRule="exact"/>
        <w:rPr>
          <w:sz w:val="20"/>
          <w:szCs w:val="20"/>
          <w:color w:val="auto"/>
        </w:rPr>
      </w:pPr>
    </w:p>
    <w:p>
      <w:pPr>
        <w:ind w:left="360" w:right="80" w:firstLine="535"/>
        <w:spacing w:after="0" w:line="253" w:lineRule="auto"/>
        <w:rPr>
          <w:sz w:val="20"/>
          <w:szCs w:val="20"/>
          <w:color w:val="auto"/>
        </w:rPr>
      </w:pPr>
      <w:r>
        <w:rPr>
          <w:rFonts w:ascii="Arial" w:cs="Arial" w:eastAsia="Arial" w:hAnsi="Arial"/>
          <w:sz w:val="17"/>
          <w:szCs w:val="17"/>
          <w:color w:val="auto"/>
        </w:rPr>
        <w:t>The named executive officers receive base salary to provide a fixed component of compensation reflecting the executive’s skill set, experience, role and responsibilities. The following table shows the annual base salaries for 2017 and 2018 of our named executive officers:</w:t>
      </w:r>
    </w:p>
    <w:p>
      <w:pPr>
        <w:spacing w:after="0" w:line="400"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4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940" w:type="dxa"/>
            <w:vAlign w:val="bottom"/>
          </w:tcPr>
          <w:p>
            <w:pPr>
              <w:spacing w:after="0"/>
              <w:rPr>
                <w:sz w:val="14"/>
                <w:szCs w:val="14"/>
                <w:color w:val="auto"/>
              </w:rPr>
            </w:pPr>
          </w:p>
        </w:tc>
        <w:tc>
          <w:tcPr>
            <w:tcW w:w="1000" w:type="dxa"/>
            <w:vAlign w:val="bottom"/>
          </w:tcPr>
          <w:p>
            <w:pPr>
              <w:jc w:val="right"/>
              <w:ind w:right="21"/>
              <w:spacing w:after="0"/>
              <w:rPr>
                <w:sz w:val="20"/>
                <w:szCs w:val="20"/>
                <w:color w:val="auto"/>
              </w:rPr>
            </w:pPr>
            <w:r>
              <w:rPr>
                <w:rFonts w:ascii="Arial" w:cs="Arial" w:eastAsia="Arial" w:hAnsi="Arial"/>
                <w:sz w:val="14"/>
                <w:szCs w:val="14"/>
                <w:b w:val="1"/>
                <w:bCs w:val="1"/>
                <w:color w:val="auto"/>
              </w:rPr>
              <w:t>2017 Annual</w:t>
            </w:r>
          </w:p>
        </w:tc>
        <w:tc>
          <w:tcPr>
            <w:tcW w:w="760" w:type="dxa"/>
            <w:vAlign w:val="bottom"/>
          </w:tcPr>
          <w:p>
            <w:pPr>
              <w:spacing w:after="0"/>
              <w:rPr>
                <w:sz w:val="14"/>
                <w:szCs w:val="14"/>
                <w:color w:val="auto"/>
              </w:rPr>
            </w:pPr>
          </w:p>
        </w:tc>
        <w:tc>
          <w:tcPr>
            <w:tcW w:w="10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9"/>
              </w:rPr>
              <w:t>2018 Annual</w:t>
            </w:r>
          </w:p>
        </w:tc>
        <w:tc>
          <w:tcPr>
            <w:tcW w:w="0" w:type="dxa"/>
            <w:vAlign w:val="bottom"/>
          </w:tcPr>
          <w:p>
            <w:pPr>
              <w:spacing w:after="0"/>
              <w:rPr>
                <w:sz w:val="1"/>
                <w:szCs w:val="1"/>
                <w:color w:val="auto"/>
              </w:rPr>
            </w:pPr>
          </w:p>
        </w:tc>
      </w:tr>
      <w:tr>
        <w:trPr>
          <w:trHeight w:val="156"/>
        </w:trPr>
        <w:tc>
          <w:tcPr>
            <w:tcW w:w="4940" w:type="dxa"/>
            <w:vAlign w:val="bottom"/>
            <w:gridSpan w:val="3"/>
            <w:vMerge w:val="continue"/>
          </w:tcPr>
          <w:p>
            <w:pPr>
              <w:spacing w:after="0"/>
              <w:rPr>
                <w:sz w:val="13"/>
                <w:szCs w:val="13"/>
                <w:color w:val="auto"/>
              </w:rPr>
            </w:pPr>
          </w:p>
        </w:tc>
        <w:tc>
          <w:tcPr>
            <w:tcW w:w="39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 xml:space="preserve">Base Salary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820" w:type="dxa"/>
            <w:vAlign w:val="bottom"/>
            <w:gridSpan w:val="3"/>
          </w:tcPr>
          <w:p>
            <w:pPr>
              <w:jc w:val="center"/>
              <w:ind w:left="618"/>
              <w:spacing w:after="0" w:line="155" w:lineRule="exact"/>
              <w:rPr>
                <w:sz w:val="20"/>
                <w:szCs w:val="20"/>
                <w:color w:val="auto"/>
              </w:rPr>
            </w:pPr>
            <w:r>
              <w:rPr>
                <w:rFonts w:ascii="Arial" w:cs="Arial" w:eastAsia="Arial" w:hAnsi="Arial"/>
                <w:sz w:val="14"/>
                <w:szCs w:val="14"/>
                <w:b w:val="1"/>
                <w:bCs w:val="1"/>
                <w:color w:val="auto"/>
                <w:w w:val="99"/>
              </w:rPr>
              <w:t xml:space="preserve">Base Salary </w:t>
            </w:r>
            <w:r>
              <w:rPr>
                <w:rFonts w:ascii="Arial" w:cs="Arial" w:eastAsia="Arial" w:hAnsi="Arial"/>
                <w:sz w:val="14"/>
                <w:szCs w:val="14"/>
                <w:b w:val="1"/>
                <w:bCs w:val="1"/>
                <w:u w:val="single" w:color="auto"/>
                <w:color w:val="auto"/>
                <w:w w:val="99"/>
              </w:rPr>
              <w:t>($</w:t>
            </w:r>
            <w:r>
              <w:rPr>
                <w:rFonts w:ascii="Arial" w:cs="Arial" w:eastAsia="Arial" w:hAnsi="Arial"/>
                <w:sz w:val="14"/>
                <w:szCs w:val="14"/>
                <w:b w:val="1"/>
                <w:bCs w:val="1"/>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92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John G. Houston, Ph.D.</w:t>
            </w:r>
          </w:p>
        </w:tc>
        <w:tc>
          <w:tcPr>
            <w:tcW w:w="29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400,000</w:t>
            </w:r>
          </w:p>
        </w:tc>
        <w:tc>
          <w:tcPr>
            <w:tcW w:w="7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412,000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20" w:type="dxa"/>
            <w:vAlign w:val="bottom"/>
            <w:gridSpan w:val="2"/>
          </w:tcPr>
          <w:p>
            <w:pPr>
              <w:spacing w:after="0"/>
              <w:rPr>
                <w:sz w:val="20"/>
                <w:szCs w:val="20"/>
                <w:color w:val="auto"/>
              </w:rPr>
            </w:pPr>
            <w:r>
              <w:rPr>
                <w:rFonts w:ascii="Arial" w:cs="Arial" w:eastAsia="Arial" w:hAnsi="Arial"/>
                <w:sz w:val="17"/>
                <w:szCs w:val="17"/>
                <w:color w:val="auto"/>
              </w:rPr>
              <w:t>Manuel Litchman, M.D.(1)</w:t>
            </w:r>
          </w:p>
        </w:tc>
        <w:tc>
          <w:tcPr>
            <w:tcW w:w="3940" w:type="dxa"/>
            <w:vAlign w:val="bottom"/>
            <w:gridSpan w:val="2"/>
          </w:tcPr>
          <w:p>
            <w:pPr>
              <w:jc w:val="right"/>
              <w:spacing w:after="0"/>
              <w:rPr>
                <w:sz w:val="20"/>
                <w:szCs w:val="20"/>
                <w:color w:val="auto"/>
              </w:rPr>
            </w:pPr>
            <w:r>
              <w:rPr>
                <w:rFonts w:ascii="Arial" w:cs="Arial" w:eastAsia="Arial" w:hAnsi="Arial"/>
                <w:sz w:val="17"/>
                <w:szCs w:val="17"/>
                <w:color w:val="auto"/>
              </w:rPr>
              <w:t>357,000</w:t>
            </w:r>
          </w:p>
        </w:tc>
        <w:tc>
          <w:tcPr>
            <w:tcW w:w="76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Sean Cassidy</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246,840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254,245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7"/>
                <w:szCs w:val="17"/>
                <w:color w:val="auto"/>
              </w:rPr>
              <w:t>Ian Taylor, Ph.D</w:t>
            </w:r>
          </w:p>
        </w:tc>
        <w:tc>
          <w:tcPr>
            <w:tcW w:w="3940" w:type="dxa"/>
            <w:vAlign w:val="bottom"/>
            <w:gridSpan w:val="2"/>
          </w:tcPr>
          <w:p>
            <w:pPr>
              <w:jc w:val="right"/>
              <w:spacing w:after="0"/>
              <w:rPr>
                <w:sz w:val="20"/>
                <w:szCs w:val="20"/>
                <w:color w:val="auto"/>
              </w:rPr>
            </w:pPr>
            <w:r>
              <w:rPr>
                <w:rFonts w:ascii="Arial" w:cs="Arial" w:eastAsia="Arial" w:hAnsi="Arial"/>
                <w:sz w:val="17"/>
                <w:szCs w:val="17"/>
                <w:color w:val="auto"/>
              </w:rPr>
              <w:t>261,375</w:t>
            </w: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282,285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74930</wp:posOffset>
            </wp:positionV>
            <wp:extent cx="6743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74370" cy="8255"/>
                    </a:xfrm>
                    <a:prstGeom prst="rect">
                      <a:avLst/>
                    </a:prstGeom>
                    <a:noFill/>
                  </pic:spPr>
                </pic:pic>
              </a:graphicData>
            </a:graphic>
          </wp:anchor>
        </w:drawing>
      </w:r>
    </w:p>
    <w:p>
      <w:pPr>
        <w:spacing w:after="0" w:line="149" w:lineRule="exact"/>
        <w:rPr>
          <w:sz w:val="20"/>
          <w:szCs w:val="20"/>
          <w:color w:val="auto"/>
        </w:rPr>
      </w:pPr>
    </w:p>
    <w:p>
      <w:pPr>
        <w:ind w:left="880" w:hanging="515"/>
        <w:spacing w:after="0"/>
        <w:tabs>
          <w:tab w:leader="none" w:pos="8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Dr. Litchman resigned as President and Chief Executive Officer in February 2017.</w:t>
      </w:r>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Annual Performance-Based Bonus</w:t>
      </w:r>
    </w:p>
    <w:p>
      <w:pPr>
        <w:spacing w:after="0" w:line="126" w:lineRule="exact"/>
        <w:rPr>
          <w:sz w:val="20"/>
          <w:szCs w:val="20"/>
          <w:color w:val="auto"/>
        </w:rPr>
      </w:pPr>
    </w:p>
    <w:p>
      <w:pPr>
        <w:ind w:left="360" w:right="120" w:firstLine="535"/>
        <w:spacing w:after="0" w:line="245" w:lineRule="auto"/>
        <w:rPr>
          <w:sz w:val="20"/>
          <w:szCs w:val="20"/>
          <w:color w:val="auto"/>
        </w:rPr>
      </w:pPr>
      <w:r>
        <w:rPr>
          <w:rFonts w:ascii="Arial" w:cs="Arial" w:eastAsia="Arial" w:hAnsi="Arial"/>
          <w:sz w:val="17"/>
          <w:szCs w:val="17"/>
          <w:color w:val="auto"/>
        </w:rPr>
        <w:t>We offer our named executive officers the opportunity to earn annual cash bonuses to compensate them for attaining short-term company and individual goals as approved by our board of directors. For 2017, bonuses were based on attaining corporate goals relating to research and program development, establishment of strategic partnerships and individual goals related to each named executive officer’s area of responsibility within our company. The 2017 target bonus amounts, expressed as a percentage of annual base salary, for our named executive officers were 40% for Dr. Houston, 30% for Mr. Cassidy and 20% for Dr. Taylor. Pursuant to his severance arrangement, Dr. Litchman received a pro rata percentage of his 2017 target bonus of 35%.</w:t>
      </w:r>
    </w:p>
    <w:p>
      <w:pPr>
        <w:spacing w:after="0" w:line="192" w:lineRule="exact"/>
        <w:rPr>
          <w:sz w:val="20"/>
          <w:szCs w:val="20"/>
          <w:color w:val="auto"/>
        </w:rPr>
      </w:pPr>
    </w:p>
    <w:p>
      <w:pPr>
        <w:ind w:left="360" w:right="200" w:firstLine="535"/>
        <w:spacing w:after="0" w:line="250" w:lineRule="auto"/>
        <w:rPr>
          <w:sz w:val="20"/>
          <w:szCs w:val="20"/>
          <w:color w:val="auto"/>
        </w:rPr>
      </w:pPr>
      <w:r>
        <w:rPr>
          <w:rFonts w:ascii="Arial" w:cs="Arial" w:eastAsia="Arial" w:hAnsi="Arial"/>
          <w:sz w:val="17"/>
          <w:szCs w:val="17"/>
          <w:color w:val="auto"/>
        </w:rPr>
        <w:t>In January 2018, our board of directors met to review performance against the 2017 bonus goals and approved cash bonuses for the named executive officers in the amounts set forth in the “Non-Equity Incentive Compensation” column of the 2017 “Summary Compensation Table” above.</w:t>
      </w:r>
    </w:p>
    <w:p>
      <w:pPr>
        <w:spacing w:after="0" w:line="274"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Equity Incentives</w:t>
      </w:r>
    </w:p>
    <w:p>
      <w:pPr>
        <w:spacing w:after="0" w:line="126" w:lineRule="exact"/>
        <w:rPr>
          <w:sz w:val="20"/>
          <w:szCs w:val="20"/>
          <w:color w:val="auto"/>
        </w:rPr>
      </w:pPr>
    </w:p>
    <w:p>
      <w:pPr>
        <w:ind w:left="360" w:right="80" w:firstLine="535"/>
        <w:spacing w:after="0" w:line="244" w:lineRule="auto"/>
        <w:rPr>
          <w:sz w:val="20"/>
          <w:szCs w:val="20"/>
          <w:color w:val="auto"/>
        </w:rPr>
      </w:pPr>
      <w:r>
        <w:rPr>
          <w:rFonts w:ascii="Arial" w:cs="Arial" w:eastAsia="Arial" w:hAnsi="Arial"/>
          <w:sz w:val="17"/>
          <w:szCs w:val="17"/>
          <w:color w:val="auto"/>
        </w:rPr>
        <w:t>Although we do not have a formal policy with respect to the grant of equity incentive awards to our executive officers, or any formal equity ownership guidelines applicable to them,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incents our executive officers to remain in our employment during the vesting period. Equity awards with performance-based vesting criteria relating to specific regulatory milestones for our product candidates further align the interests of our executives and our equityholders. Accordingly, our board of directors periodically reviews the equity incentive compensation of our named executive officers and from time to time has granted equity incentive awards to them in the form of incentive unit awards.</w:t>
      </w:r>
    </w:p>
    <w:p>
      <w:pPr>
        <w:spacing w:after="0" w:line="193" w:lineRule="exact"/>
        <w:rPr>
          <w:sz w:val="20"/>
          <w:szCs w:val="20"/>
          <w:color w:val="auto"/>
        </w:rPr>
      </w:pPr>
    </w:p>
    <w:p>
      <w:pPr>
        <w:jc w:val="both"/>
        <w:ind w:left="360" w:right="220" w:firstLine="535"/>
        <w:spacing w:after="0" w:line="250" w:lineRule="auto"/>
        <w:rPr>
          <w:sz w:val="20"/>
          <w:szCs w:val="20"/>
          <w:color w:val="auto"/>
        </w:rPr>
      </w:pPr>
      <w:r>
        <w:rPr>
          <w:rFonts w:ascii="Arial" w:cs="Arial" w:eastAsia="Arial" w:hAnsi="Arial"/>
          <w:sz w:val="17"/>
          <w:szCs w:val="17"/>
          <w:color w:val="auto"/>
        </w:rPr>
        <w:t>We typically grant incentive unit awards at the start of employment to each executive and our other employees. To date, we have not maintained a practice of granting additional equity on an annual basis, but we have retained discretion to provide additional targeted grants in certain circumstances.</w:t>
      </w:r>
    </w:p>
    <w:p>
      <w:pPr>
        <w:spacing w:after="0" w:line="12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154</w:t>
      </w:r>
    </w:p>
    <w:p>
      <w:pPr>
        <w:sectPr>
          <w:pgSz w:w="11900" w:h="16838" w:orient="portrait"/>
          <w:cols w:equalWidth="0" w:num="1">
            <w:col w:w="11060"/>
          </w:cols>
          <w:pgMar w:left="240" w:top="450" w:right="599" w:bottom="1440" w:gutter="0" w:footer="0" w:header="0"/>
        </w:sectPr>
      </w:pPr>
    </w:p>
    <w:bookmarkStart w:id="156" w:name="page157"/>
    <w:bookmarkEnd w:id="1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jc w:val="both"/>
        <w:ind w:left="360" w:right="240" w:firstLine="535"/>
        <w:spacing w:after="0" w:line="250" w:lineRule="auto"/>
        <w:rPr>
          <w:sz w:val="20"/>
          <w:szCs w:val="20"/>
          <w:color w:val="auto"/>
        </w:rPr>
      </w:pPr>
      <w:r>
        <w:rPr>
          <w:rFonts w:ascii="Arial" w:cs="Arial" w:eastAsia="Arial" w:hAnsi="Arial"/>
          <w:sz w:val="17"/>
          <w:szCs w:val="17"/>
          <w:color w:val="auto"/>
        </w:rPr>
        <w:t>We award our incentive unit grants on the date our board of directors approves the grant. Our incentive units generally vest as to 25% of the underlying shares on the first anniversary of a specified vesting commencement date and in equal monthly installments over the following 36 months, subject to the holder’s continued service with us.</w:t>
      </w:r>
    </w:p>
    <w:p>
      <w:pPr>
        <w:spacing w:after="0" w:line="189" w:lineRule="exact"/>
        <w:rPr>
          <w:sz w:val="20"/>
          <w:szCs w:val="20"/>
          <w:color w:val="auto"/>
        </w:rPr>
      </w:pPr>
    </w:p>
    <w:p>
      <w:pPr>
        <w:ind w:left="360" w:right="140" w:firstLine="535"/>
        <w:spacing w:after="0" w:line="250" w:lineRule="auto"/>
        <w:rPr>
          <w:sz w:val="20"/>
          <w:szCs w:val="20"/>
          <w:color w:val="auto"/>
        </w:rPr>
      </w:pPr>
      <w:r>
        <w:rPr>
          <w:rFonts w:ascii="Arial" w:cs="Arial" w:eastAsia="Arial" w:hAnsi="Arial"/>
          <w:sz w:val="17"/>
          <w:szCs w:val="17"/>
          <w:color w:val="auto"/>
        </w:rPr>
        <w:t>During 2017, we granted incentive units to John Houston, Ph.D., our President and Chief Executive Officer, pursuant to our Incentive Share Plan, as set forth in the table below. These incentive units will convert into shares of common stock upon the Conversion as described under “Effects of Conversion” below:</w:t>
      </w:r>
    </w:p>
    <w:p>
      <w:pPr>
        <w:spacing w:after="0" w:line="204" w:lineRule="exact"/>
        <w:rPr>
          <w:sz w:val="20"/>
          <w:szCs w:val="20"/>
          <w:color w:val="auto"/>
        </w:rPr>
      </w:pPr>
    </w:p>
    <w:tbl>
      <w:tblPr>
        <w:tblLayout w:type="fixed"/>
        <w:tblInd w:w="360" w:type="dxa"/>
        <w:tblCellMar>
          <w:top w:w="0" w:type="dxa"/>
          <w:left w:w="0" w:type="dxa"/>
          <w:bottom w:w="0" w:type="dxa"/>
          <w:right w:w="0" w:type="dxa"/>
        </w:tblCellMar>
      </w:tblPr>
      <w:tr>
        <w:trPr>
          <w:trHeight w:val="169"/>
        </w:trPr>
        <w:tc>
          <w:tcPr>
            <w:tcW w:w="73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540" w:type="dxa"/>
            <w:vAlign w:val="bottom"/>
            <w:gridSpan w:val="2"/>
          </w:tcPr>
          <w:p>
            <w:pPr>
              <w:jc w:val="right"/>
              <w:ind w:right="333"/>
              <w:spacing w:after="0"/>
              <w:rPr>
                <w:sz w:val="20"/>
                <w:szCs w:val="20"/>
                <w:color w:val="auto"/>
              </w:rPr>
            </w:pPr>
            <w:r>
              <w:rPr>
                <w:rFonts w:ascii="Arial" w:cs="Arial" w:eastAsia="Arial" w:hAnsi="Arial"/>
                <w:sz w:val="14"/>
                <w:szCs w:val="14"/>
                <w:b w:val="1"/>
                <w:bCs w:val="1"/>
                <w:color w:val="auto"/>
              </w:rPr>
              <w:t>Grant Date</w:t>
            </w:r>
          </w:p>
        </w:tc>
        <w:tc>
          <w:tcPr>
            <w:tcW w:w="18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Incentive Units</w:t>
            </w: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69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32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John Houston, Ph.D.</w:t>
            </w:r>
          </w:p>
        </w:tc>
        <w:tc>
          <w:tcPr>
            <w:tcW w:w="154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March 23, 2017</w:t>
            </w:r>
          </w:p>
        </w:tc>
        <w:tc>
          <w:tcPr>
            <w:tcW w:w="5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323,139(1)</w:t>
            </w:r>
          </w:p>
        </w:tc>
        <w:tc>
          <w:tcPr>
            <w:tcW w:w="260" w:type="dxa"/>
            <w:vAlign w:val="bottom"/>
            <w:shd w:val="clear" w:color="auto" w:fill="CCEEFF"/>
          </w:tcPr>
          <w:p>
            <w:pPr>
              <w:spacing w:after="0"/>
              <w:rPr>
                <w:sz w:val="15"/>
                <w:szCs w:val="15"/>
                <w:color w:val="auto"/>
              </w:rPr>
            </w:pPr>
          </w:p>
        </w:tc>
      </w:tr>
      <w:tr>
        <w:trPr>
          <w:trHeight w:val="197"/>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940" w:type="dxa"/>
            <w:vAlign w:val="bottom"/>
          </w:tcPr>
          <w:p>
            <w:pPr>
              <w:spacing w:after="0"/>
              <w:rPr>
                <w:sz w:val="17"/>
                <w:szCs w:val="17"/>
                <w:color w:val="auto"/>
              </w:rPr>
            </w:pPr>
          </w:p>
        </w:tc>
        <w:tc>
          <w:tcPr>
            <w:tcW w:w="1540" w:type="dxa"/>
            <w:vAlign w:val="bottom"/>
            <w:gridSpan w:val="2"/>
          </w:tcPr>
          <w:p>
            <w:pPr>
              <w:jc w:val="right"/>
              <w:spacing w:after="0"/>
              <w:rPr>
                <w:sz w:val="20"/>
                <w:szCs w:val="20"/>
                <w:color w:val="auto"/>
              </w:rPr>
            </w:pPr>
            <w:r>
              <w:rPr>
                <w:rFonts w:ascii="Arial" w:cs="Arial" w:eastAsia="Arial" w:hAnsi="Arial"/>
                <w:sz w:val="17"/>
                <w:szCs w:val="17"/>
                <w:color w:val="auto"/>
              </w:rPr>
              <w:t>March 23, 2017</w:t>
            </w:r>
          </w:p>
        </w:tc>
        <w:tc>
          <w:tcPr>
            <w:tcW w:w="1820" w:type="dxa"/>
            <w:vAlign w:val="bottom"/>
            <w:gridSpan w:val="3"/>
          </w:tcPr>
          <w:p>
            <w:pPr>
              <w:jc w:val="right"/>
              <w:ind w:right="40"/>
              <w:spacing w:after="0"/>
              <w:rPr>
                <w:sz w:val="20"/>
                <w:szCs w:val="20"/>
                <w:color w:val="auto"/>
              </w:rPr>
            </w:pPr>
            <w:r>
              <w:rPr>
                <w:rFonts w:ascii="Arial" w:cs="Arial" w:eastAsia="Arial" w:hAnsi="Arial"/>
                <w:sz w:val="17"/>
                <w:szCs w:val="17"/>
                <w:color w:val="auto"/>
              </w:rPr>
              <w:t>40,392(2)</w:t>
            </w:r>
          </w:p>
        </w:tc>
      </w:tr>
      <w:tr>
        <w:trPr>
          <w:trHeight w:val="197"/>
        </w:trPr>
        <w:tc>
          <w:tcPr>
            <w:tcW w:w="20" w:type="dxa"/>
            <w:vAlign w:val="bottom"/>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9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March 23,</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2017</w:t>
            </w:r>
          </w:p>
        </w:tc>
        <w:tc>
          <w:tcPr>
            <w:tcW w:w="18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40,392(3)</w:t>
            </w: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September 8,</w:t>
            </w:r>
          </w:p>
        </w:tc>
        <w:tc>
          <w:tcPr>
            <w:tcW w:w="420" w:type="dxa"/>
            <w:vAlign w:val="bottom"/>
          </w:tcPr>
          <w:p>
            <w:pPr>
              <w:jc w:val="right"/>
              <w:spacing w:after="0"/>
              <w:rPr>
                <w:sz w:val="20"/>
                <w:szCs w:val="20"/>
                <w:color w:val="auto"/>
              </w:rPr>
            </w:pPr>
            <w:r>
              <w:rPr>
                <w:rFonts w:ascii="Arial" w:cs="Arial" w:eastAsia="Arial" w:hAnsi="Arial"/>
                <w:sz w:val="17"/>
                <w:szCs w:val="17"/>
                <w:color w:val="auto"/>
              </w:rPr>
              <w:t>2017</w:t>
            </w:r>
          </w:p>
        </w:tc>
        <w:tc>
          <w:tcPr>
            <w:tcW w:w="1820" w:type="dxa"/>
            <w:vAlign w:val="bottom"/>
            <w:gridSpan w:val="3"/>
          </w:tcPr>
          <w:p>
            <w:pPr>
              <w:jc w:val="right"/>
              <w:ind w:right="40"/>
              <w:spacing w:after="0"/>
              <w:rPr>
                <w:sz w:val="20"/>
                <w:szCs w:val="20"/>
                <w:color w:val="auto"/>
              </w:rPr>
            </w:pPr>
            <w:r>
              <w:rPr>
                <w:rFonts w:ascii="Arial" w:cs="Arial" w:eastAsia="Arial" w:hAnsi="Arial"/>
                <w:sz w:val="17"/>
                <w:szCs w:val="17"/>
                <w:color w:val="auto"/>
              </w:rPr>
              <w:t>605,885(4)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74930</wp:posOffset>
            </wp:positionV>
            <wp:extent cx="6743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74370" cy="8255"/>
                    </a:xfrm>
                    <a:prstGeom prst="rect">
                      <a:avLst/>
                    </a:prstGeom>
                    <a:noFill/>
                  </pic:spPr>
                </pic:pic>
              </a:graphicData>
            </a:graphic>
          </wp:anchor>
        </w:drawing>
      </w:r>
    </w:p>
    <w:p>
      <w:pPr>
        <w:spacing w:after="0" w:line="149" w:lineRule="exact"/>
        <w:rPr>
          <w:sz w:val="20"/>
          <w:szCs w:val="20"/>
          <w:color w:val="auto"/>
        </w:rPr>
      </w:pPr>
    </w:p>
    <w:p>
      <w:pPr>
        <w:ind w:left="880" w:hanging="515"/>
        <w:spacing w:after="0"/>
        <w:tabs>
          <w:tab w:leader="none" w:pos="8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25% of such shares vested on January 5, 2018, and the remainder vest in equal monthly increments until January 5, 2021.</w:t>
      </w:r>
    </w:p>
    <w:p>
      <w:pPr>
        <w:spacing w:after="0" w:line="1" w:lineRule="exact"/>
        <w:rPr>
          <w:rFonts w:ascii="Arial" w:cs="Arial" w:eastAsia="Arial" w:hAnsi="Arial"/>
          <w:sz w:val="17"/>
          <w:szCs w:val="17"/>
          <w:color w:val="auto"/>
        </w:rPr>
      </w:pPr>
    </w:p>
    <w:p>
      <w:pPr>
        <w:ind w:left="880" w:hanging="515"/>
        <w:spacing w:after="0"/>
        <w:tabs>
          <w:tab w:leader="none" w:pos="8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Such shares will vest upon achievement of a regulatory milestone for our androgen receptor program.</w:t>
      </w:r>
    </w:p>
    <w:p>
      <w:pPr>
        <w:spacing w:after="0" w:line="1" w:lineRule="exact"/>
        <w:rPr>
          <w:rFonts w:ascii="Arial" w:cs="Arial" w:eastAsia="Arial" w:hAnsi="Arial"/>
          <w:sz w:val="17"/>
          <w:szCs w:val="17"/>
          <w:color w:val="auto"/>
        </w:rPr>
      </w:pPr>
    </w:p>
    <w:p>
      <w:pPr>
        <w:ind w:left="880" w:hanging="515"/>
        <w:spacing w:after="0"/>
        <w:tabs>
          <w:tab w:leader="none" w:pos="8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Such shares will vest upon achievement of a regulatory milestone for our estrogen receptor program.</w:t>
      </w:r>
    </w:p>
    <w:p>
      <w:pPr>
        <w:spacing w:after="0" w:line="1" w:lineRule="exact"/>
        <w:rPr>
          <w:rFonts w:ascii="Arial" w:cs="Arial" w:eastAsia="Arial" w:hAnsi="Arial"/>
          <w:sz w:val="17"/>
          <w:szCs w:val="17"/>
          <w:color w:val="auto"/>
        </w:rPr>
      </w:pPr>
    </w:p>
    <w:p>
      <w:pPr>
        <w:ind w:left="880" w:hanging="515"/>
        <w:spacing w:after="0"/>
        <w:tabs>
          <w:tab w:leader="none" w:pos="8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25% of such shares vested on September 15, 2018, and the remainder vest in equal monthly increments until September 15, 2021.</w:t>
      </w:r>
    </w:p>
    <w:p>
      <w:pPr>
        <w:spacing w:after="0" w:line="145"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155</w:t>
      </w:r>
    </w:p>
    <w:p>
      <w:pPr>
        <w:sectPr>
          <w:pgSz w:w="11900" w:h="16838" w:orient="portrait"/>
          <w:cols w:equalWidth="0" w:num="1">
            <w:col w:w="11060"/>
          </w:cols>
          <w:pgMar w:left="240" w:top="450" w:right="599" w:bottom="1440" w:gutter="0" w:footer="0" w:header="0"/>
        </w:sectPr>
      </w:pPr>
    </w:p>
    <w:bookmarkStart w:id="157" w:name="page158"/>
    <w:bookmarkEnd w:id="1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ind w:left="3520"/>
        <w:spacing w:after="0"/>
        <w:rPr>
          <w:sz w:val="20"/>
          <w:szCs w:val="20"/>
          <w:color w:val="auto"/>
        </w:rPr>
      </w:pPr>
      <w:r>
        <w:rPr>
          <w:rFonts w:ascii="Arial" w:cs="Arial" w:eastAsia="Arial" w:hAnsi="Arial"/>
          <w:sz w:val="17"/>
          <w:szCs w:val="17"/>
          <w:b w:val="1"/>
          <w:bCs w:val="1"/>
          <w:color w:val="auto"/>
        </w:rPr>
        <w:t>Outstanding Equity Awards As of December 31, 2017</w:t>
      </w:r>
    </w:p>
    <w:p>
      <w:pPr>
        <w:spacing w:after="0" w:line="233" w:lineRule="exact"/>
        <w:rPr>
          <w:sz w:val="20"/>
          <w:szCs w:val="20"/>
          <w:color w:val="auto"/>
        </w:rPr>
      </w:pPr>
    </w:p>
    <w:p>
      <w:pPr>
        <w:ind w:left="360" w:right="20" w:firstLine="535"/>
        <w:spacing w:after="0" w:line="247" w:lineRule="auto"/>
        <w:rPr>
          <w:sz w:val="20"/>
          <w:szCs w:val="20"/>
          <w:color w:val="auto"/>
        </w:rPr>
      </w:pPr>
      <w:r>
        <w:rPr>
          <w:rFonts w:ascii="Arial" w:cs="Arial" w:eastAsia="Arial" w:hAnsi="Arial"/>
          <w:sz w:val="17"/>
          <w:szCs w:val="17"/>
          <w:color w:val="auto"/>
        </w:rPr>
        <w:t>The following table sets forth information regarding outstanding incentive units that have not fully vested held as of December 31, 2017 by our named executive officers. The figures set forth below do not give effect to the Conversion. All of these incentive units were converted into shares of common stock upon the Conversion; see “Effects of Conversion” below for information on the conversion of these incentive units to shares of common stock.</w:t>
      </w:r>
    </w:p>
    <w:p>
      <w:pPr>
        <w:spacing w:after="0" w:line="207" w:lineRule="exact"/>
        <w:rPr>
          <w:sz w:val="20"/>
          <w:szCs w:val="20"/>
          <w:color w:val="auto"/>
        </w:rPr>
      </w:pPr>
    </w:p>
    <w:tbl>
      <w:tblPr>
        <w:tblLayout w:type="fixed"/>
        <w:tblInd w:w="36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380" w:type="dxa"/>
            <w:vAlign w:val="bottom"/>
            <w:tcBorders>
              <w:bottom w:val="single" w:sz="8" w:color="auto"/>
            </w:tcBorders>
            <w:gridSpan w:val="4"/>
          </w:tcPr>
          <w:p>
            <w:pPr>
              <w:jc w:val="right"/>
              <w:ind w:right="324"/>
              <w:spacing w:after="0"/>
              <w:rPr>
                <w:sz w:val="20"/>
                <w:szCs w:val="20"/>
                <w:color w:val="auto"/>
              </w:rPr>
            </w:pPr>
            <w:r>
              <w:rPr>
                <w:rFonts w:ascii="Arial" w:cs="Arial" w:eastAsia="Arial" w:hAnsi="Arial"/>
                <w:sz w:val="14"/>
                <w:szCs w:val="14"/>
                <w:b w:val="1"/>
                <w:bCs w:val="1"/>
                <w:color w:val="auto"/>
              </w:rPr>
              <w:t>Incentive Unit Awards</w:t>
            </w:r>
          </w:p>
        </w:tc>
        <w:tc>
          <w:tcPr>
            <w:tcW w:w="11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380" w:type="dxa"/>
            <w:vAlign w:val="bottom"/>
            <w:gridSpan w:val="2"/>
          </w:tcPr>
          <w:p>
            <w:pPr>
              <w:jc w:val="center"/>
              <w:ind w:right="780"/>
              <w:spacing w:after="0" w:line="139" w:lineRule="exact"/>
              <w:rPr>
                <w:sz w:val="20"/>
                <w:szCs w:val="20"/>
                <w:color w:val="auto"/>
              </w:rPr>
            </w:pPr>
            <w:r>
              <w:rPr>
                <w:rFonts w:ascii="Arial" w:cs="Arial" w:eastAsia="Arial" w:hAnsi="Arial"/>
                <w:sz w:val="14"/>
                <w:szCs w:val="14"/>
                <w:b w:val="1"/>
                <w:bCs w:val="1"/>
                <w:color w:val="auto"/>
              </w:rPr>
              <w:t>Number of Shares or</w:t>
            </w:r>
          </w:p>
        </w:tc>
        <w:tc>
          <w:tcPr>
            <w:tcW w:w="2120" w:type="dxa"/>
            <w:vAlign w:val="bottom"/>
            <w:gridSpan w:val="3"/>
          </w:tcPr>
          <w:p>
            <w:pPr>
              <w:jc w:val="center"/>
              <w:ind w:left="490"/>
              <w:spacing w:after="0" w:line="139" w:lineRule="exact"/>
              <w:rPr>
                <w:sz w:val="20"/>
                <w:szCs w:val="20"/>
                <w:color w:val="auto"/>
              </w:rPr>
            </w:pPr>
            <w:r>
              <w:rPr>
                <w:rFonts w:ascii="Arial" w:cs="Arial" w:eastAsia="Arial" w:hAnsi="Arial"/>
                <w:sz w:val="14"/>
                <w:szCs w:val="14"/>
                <w:b w:val="1"/>
                <w:bCs w:val="1"/>
                <w:color w:val="auto"/>
                <w:w w:val="98"/>
              </w:rPr>
              <w:t>Market Value of Shares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4660" w:type="dxa"/>
            <w:vAlign w:val="bottom"/>
            <w:gridSpan w:val="3"/>
          </w:tcPr>
          <w:p>
            <w:pPr>
              <w:jc w:val="center"/>
              <w:ind w:left="1415"/>
              <w:spacing w:after="0" w:line="157" w:lineRule="exact"/>
              <w:rPr>
                <w:sz w:val="20"/>
                <w:szCs w:val="20"/>
                <w:color w:val="auto"/>
              </w:rPr>
            </w:pPr>
            <w:r>
              <w:rPr>
                <w:rFonts w:ascii="Arial" w:cs="Arial" w:eastAsia="Arial" w:hAnsi="Arial"/>
                <w:sz w:val="14"/>
                <w:szCs w:val="14"/>
                <w:b w:val="1"/>
                <w:bCs w:val="1"/>
                <w:color w:val="auto"/>
                <w:w w:val="99"/>
              </w:rPr>
              <w:t>Units of Stock that Have</w:t>
            </w:r>
          </w:p>
        </w:tc>
        <w:tc>
          <w:tcPr>
            <w:tcW w:w="580" w:type="dxa"/>
            <w:vAlign w:val="bottom"/>
          </w:tcPr>
          <w:p>
            <w:pPr>
              <w:spacing w:after="0"/>
              <w:rPr>
                <w:sz w:val="13"/>
                <w:szCs w:val="13"/>
                <w:color w:val="auto"/>
              </w:rPr>
            </w:pPr>
          </w:p>
        </w:tc>
        <w:tc>
          <w:tcPr>
            <w:tcW w:w="1580" w:type="dxa"/>
            <w:vAlign w:val="bottom"/>
            <w:gridSpan w:val="3"/>
          </w:tcPr>
          <w:p>
            <w:pPr>
              <w:jc w:val="center"/>
              <w:ind w:right="60"/>
              <w:spacing w:after="0" w:line="157" w:lineRule="exact"/>
              <w:rPr>
                <w:sz w:val="20"/>
                <w:szCs w:val="20"/>
                <w:color w:val="auto"/>
              </w:rPr>
            </w:pPr>
            <w:r>
              <w:rPr>
                <w:rFonts w:ascii="Arial" w:cs="Arial" w:eastAsia="Arial" w:hAnsi="Arial"/>
                <w:sz w:val="14"/>
                <w:szCs w:val="14"/>
                <w:b w:val="1"/>
                <w:bCs w:val="1"/>
                <w:color w:val="auto"/>
                <w:w w:val="98"/>
              </w:rPr>
              <w:t>or Units of Stock that</w:t>
            </w:r>
          </w:p>
        </w:tc>
        <w:tc>
          <w:tcPr>
            <w:tcW w:w="0" w:type="dxa"/>
            <w:vAlign w:val="bottom"/>
          </w:tcPr>
          <w:p>
            <w:pPr>
              <w:spacing w:after="0"/>
              <w:rPr>
                <w:sz w:val="1"/>
                <w:szCs w:val="1"/>
                <w:color w:val="auto"/>
              </w:rPr>
            </w:pPr>
          </w:p>
        </w:tc>
      </w:tr>
      <w:tr>
        <w:trPr>
          <w:trHeight w:val="156"/>
        </w:trPr>
        <w:tc>
          <w:tcPr>
            <w:tcW w:w="3880" w:type="dxa"/>
            <w:vAlign w:val="bottom"/>
            <w:gridSpan w:val="3"/>
            <w:vMerge w:val="continue"/>
          </w:tcPr>
          <w:p>
            <w:pPr>
              <w:spacing w:after="0"/>
              <w:rPr>
                <w:sz w:val="13"/>
                <w:szCs w:val="13"/>
                <w:color w:val="auto"/>
              </w:rPr>
            </w:pPr>
          </w:p>
        </w:tc>
        <w:tc>
          <w:tcPr>
            <w:tcW w:w="2280" w:type="dxa"/>
            <w:vAlign w:val="bottom"/>
          </w:tcPr>
          <w:p>
            <w:pPr>
              <w:spacing w:after="0"/>
              <w:rPr>
                <w:sz w:val="13"/>
                <w:szCs w:val="13"/>
                <w:color w:val="auto"/>
              </w:rPr>
            </w:pPr>
          </w:p>
        </w:tc>
        <w:tc>
          <w:tcPr>
            <w:tcW w:w="2380" w:type="dxa"/>
            <w:vAlign w:val="bottom"/>
            <w:gridSpan w:val="2"/>
          </w:tcPr>
          <w:p>
            <w:pPr>
              <w:jc w:val="center"/>
              <w:ind w:right="780"/>
              <w:spacing w:after="0" w:line="155" w:lineRule="exact"/>
              <w:rPr>
                <w:sz w:val="20"/>
                <w:szCs w:val="20"/>
                <w:color w:val="auto"/>
              </w:rPr>
            </w:pPr>
            <w:r>
              <w:rPr>
                <w:rFonts w:ascii="Arial" w:cs="Arial" w:eastAsia="Arial" w:hAnsi="Arial"/>
                <w:sz w:val="14"/>
                <w:szCs w:val="14"/>
                <w:b w:val="1"/>
                <w:bCs w:val="1"/>
                <w:color w:val="auto"/>
                <w:w w:val="97"/>
              </w:rPr>
              <w:t>Not Vested (#)</w:t>
            </w:r>
          </w:p>
        </w:tc>
        <w:tc>
          <w:tcPr>
            <w:tcW w:w="580" w:type="dxa"/>
            <w:vAlign w:val="bottom"/>
          </w:tcPr>
          <w:p>
            <w:pPr>
              <w:spacing w:after="0"/>
              <w:rPr>
                <w:sz w:val="13"/>
                <w:szCs w:val="13"/>
                <w:color w:val="auto"/>
              </w:rPr>
            </w:pPr>
          </w:p>
        </w:tc>
        <w:tc>
          <w:tcPr>
            <w:tcW w:w="1580" w:type="dxa"/>
            <w:vAlign w:val="bottom"/>
            <w:gridSpan w:val="3"/>
          </w:tcPr>
          <w:p>
            <w:pPr>
              <w:jc w:val="center"/>
              <w:ind w:right="60"/>
              <w:spacing w:after="0" w:line="155" w:lineRule="exact"/>
              <w:rPr>
                <w:sz w:val="20"/>
                <w:szCs w:val="20"/>
                <w:color w:val="auto"/>
              </w:rPr>
            </w:pPr>
            <w:r>
              <w:rPr>
                <w:rFonts w:ascii="Arial" w:cs="Arial" w:eastAsia="Arial" w:hAnsi="Arial"/>
                <w:sz w:val="14"/>
                <w:szCs w:val="14"/>
                <w:b w:val="1"/>
                <w:bCs w:val="1"/>
                <w:color w:val="auto"/>
                <w:w w:val="99"/>
              </w:rPr>
              <w:t xml:space="preserve">Have Not </w:t>
            </w:r>
            <w:r>
              <w:rPr>
                <w:rFonts w:ascii="Arial" w:cs="Arial" w:eastAsia="Arial" w:hAnsi="Arial"/>
                <w:sz w:val="14"/>
                <w:szCs w:val="14"/>
                <w:b w:val="1"/>
                <w:bCs w:val="1"/>
                <w:u w:val="single" w:color="auto"/>
                <w:color w:val="auto"/>
                <w:w w:val="99"/>
              </w:rPr>
              <w:t>Vested($</w:t>
            </w:r>
            <w:r>
              <w:rPr>
                <w:rFonts w:ascii="Arial" w:cs="Arial" w:eastAsia="Arial" w:hAnsi="Arial"/>
                <w:sz w:val="14"/>
                <w:szCs w:val="14"/>
                <w:b w:val="1"/>
                <w:bCs w:val="1"/>
                <w:color w:val="auto"/>
                <w:w w:val="99"/>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86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John Houston, Ph.D.</w:t>
            </w:r>
          </w:p>
        </w:tc>
        <w:tc>
          <w:tcPr>
            <w:tcW w:w="228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323,139(2)</w:t>
            </w: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44"/>
              <w:spacing w:after="0" w:line="183" w:lineRule="exact"/>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5,170,224</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4660" w:type="dxa"/>
            <w:vAlign w:val="bottom"/>
            <w:gridSpan w:val="3"/>
          </w:tcPr>
          <w:p>
            <w:pPr>
              <w:jc w:val="right"/>
              <w:ind w:right="560"/>
              <w:spacing w:after="0"/>
              <w:rPr>
                <w:sz w:val="20"/>
                <w:szCs w:val="20"/>
                <w:color w:val="auto"/>
              </w:rPr>
            </w:pPr>
            <w:r>
              <w:rPr>
                <w:rFonts w:ascii="Arial" w:cs="Arial" w:eastAsia="Arial" w:hAnsi="Arial"/>
                <w:sz w:val="17"/>
                <w:szCs w:val="17"/>
                <w:color w:val="auto"/>
              </w:rPr>
              <w:t>40,392(3)</w:t>
            </w: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646,272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80" w:type="dxa"/>
            <w:vAlign w:val="bottom"/>
            <w:shd w:val="clear" w:color="auto" w:fill="CCEEFF"/>
          </w:tcPr>
          <w:p>
            <w:pPr>
              <w:spacing w:after="0"/>
              <w:rPr>
                <w:sz w:val="17"/>
                <w:szCs w:val="17"/>
                <w:color w:val="auto"/>
              </w:rPr>
            </w:pPr>
          </w:p>
        </w:tc>
        <w:tc>
          <w:tcPr>
            <w:tcW w:w="4660" w:type="dxa"/>
            <w:vAlign w:val="bottom"/>
            <w:gridSpan w:val="3"/>
            <w:shd w:val="clear" w:color="auto" w:fill="CCEEFF"/>
          </w:tcPr>
          <w:p>
            <w:pPr>
              <w:jc w:val="right"/>
              <w:ind w:right="560"/>
              <w:spacing w:after="0"/>
              <w:rPr>
                <w:sz w:val="20"/>
                <w:szCs w:val="20"/>
                <w:color w:val="auto"/>
              </w:rPr>
            </w:pPr>
            <w:r>
              <w:rPr>
                <w:rFonts w:ascii="Arial" w:cs="Arial" w:eastAsia="Arial" w:hAnsi="Arial"/>
                <w:sz w:val="17"/>
                <w:szCs w:val="17"/>
                <w:color w:val="auto"/>
              </w:rPr>
              <w:t>40,392(4)</w:t>
            </w: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646,272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4660" w:type="dxa"/>
            <w:vAlign w:val="bottom"/>
            <w:gridSpan w:val="3"/>
          </w:tcPr>
          <w:p>
            <w:pPr>
              <w:jc w:val="right"/>
              <w:ind w:right="560"/>
              <w:spacing w:after="0"/>
              <w:rPr>
                <w:sz w:val="20"/>
                <w:szCs w:val="20"/>
                <w:color w:val="auto"/>
              </w:rPr>
            </w:pPr>
            <w:r>
              <w:rPr>
                <w:rFonts w:ascii="Arial" w:cs="Arial" w:eastAsia="Arial" w:hAnsi="Arial"/>
                <w:sz w:val="17"/>
                <w:szCs w:val="17"/>
                <w:color w:val="auto"/>
              </w:rPr>
              <w:t>605,885(5)</w:t>
            </w: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9,694,160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Sean Cassidy.</w:t>
            </w:r>
          </w:p>
        </w:tc>
        <w:tc>
          <w:tcPr>
            <w:tcW w:w="4660" w:type="dxa"/>
            <w:vAlign w:val="bottom"/>
            <w:gridSpan w:val="3"/>
            <w:shd w:val="clear" w:color="auto" w:fill="CCEEFF"/>
          </w:tcPr>
          <w:p>
            <w:pPr>
              <w:jc w:val="right"/>
              <w:ind w:right="560"/>
              <w:spacing w:after="0"/>
              <w:rPr>
                <w:sz w:val="20"/>
                <w:szCs w:val="20"/>
                <w:color w:val="auto"/>
              </w:rPr>
            </w:pPr>
            <w:r>
              <w:rPr>
                <w:rFonts w:ascii="Arial" w:cs="Arial" w:eastAsia="Arial" w:hAnsi="Arial"/>
                <w:sz w:val="17"/>
                <w:szCs w:val="17"/>
                <w:color w:val="auto"/>
              </w:rPr>
              <w:t>2,141(6)</w:t>
            </w: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34,256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4660" w:type="dxa"/>
            <w:vAlign w:val="bottom"/>
            <w:gridSpan w:val="3"/>
          </w:tcPr>
          <w:p>
            <w:pPr>
              <w:jc w:val="right"/>
              <w:ind w:right="560"/>
              <w:spacing w:after="0"/>
              <w:rPr>
                <w:sz w:val="20"/>
                <w:szCs w:val="20"/>
                <w:color w:val="auto"/>
              </w:rPr>
            </w:pPr>
            <w:r>
              <w:rPr>
                <w:rFonts w:ascii="Arial" w:cs="Arial" w:eastAsia="Arial" w:hAnsi="Arial"/>
                <w:sz w:val="17"/>
                <w:szCs w:val="17"/>
                <w:color w:val="auto"/>
              </w:rPr>
              <w:t>23,379(7)</w:t>
            </w: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374,064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Ian Taylor, Ph.D.</w:t>
            </w:r>
          </w:p>
        </w:tc>
        <w:tc>
          <w:tcPr>
            <w:tcW w:w="4660" w:type="dxa"/>
            <w:vAlign w:val="bottom"/>
            <w:gridSpan w:val="3"/>
            <w:shd w:val="clear" w:color="auto" w:fill="CCEEFF"/>
          </w:tcPr>
          <w:p>
            <w:pPr>
              <w:jc w:val="right"/>
              <w:ind w:right="560"/>
              <w:spacing w:after="0"/>
              <w:rPr>
                <w:sz w:val="20"/>
                <w:szCs w:val="20"/>
                <w:color w:val="auto"/>
              </w:rPr>
            </w:pPr>
            <w:r>
              <w:rPr>
                <w:rFonts w:ascii="Arial" w:cs="Arial" w:eastAsia="Arial" w:hAnsi="Arial"/>
                <w:sz w:val="17"/>
                <w:szCs w:val="17"/>
                <w:color w:val="auto"/>
              </w:rPr>
              <w:t>43,269(8)</w:t>
            </w: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692,304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83185</wp:posOffset>
            </wp:positionV>
            <wp:extent cx="67437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74370" cy="8255"/>
                    </a:xfrm>
                    <a:prstGeom prst="rect">
                      <a:avLst/>
                    </a:prstGeom>
                    <a:noFill/>
                  </pic:spPr>
                </pic:pic>
              </a:graphicData>
            </a:graphic>
          </wp:anchor>
        </w:drawing>
      </w:r>
    </w:p>
    <w:p>
      <w:pPr>
        <w:spacing w:after="0" w:line="163" w:lineRule="exact"/>
        <w:rPr>
          <w:sz w:val="20"/>
          <w:szCs w:val="20"/>
          <w:color w:val="auto"/>
        </w:rPr>
      </w:pPr>
    </w:p>
    <w:p>
      <w:pPr>
        <w:ind w:left="880" w:hanging="515"/>
        <w:spacing w:after="0"/>
        <w:tabs>
          <w:tab w:leader="none" w:pos="8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market value of the unvested incentive unit awards is based on the initial public offering price of $16.00 per share.</w:t>
      </w:r>
    </w:p>
    <w:p>
      <w:pPr>
        <w:spacing w:after="0" w:line="1" w:lineRule="exact"/>
        <w:rPr>
          <w:rFonts w:ascii="Arial" w:cs="Arial" w:eastAsia="Arial" w:hAnsi="Arial"/>
          <w:sz w:val="17"/>
          <w:szCs w:val="17"/>
          <w:color w:val="auto"/>
        </w:rPr>
      </w:pPr>
    </w:p>
    <w:p>
      <w:pPr>
        <w:ind w:left="880" w:right="80" w:hanging="515"/>
        <w:spacing w:after="0" w:line="241" w:lineRule="auto"/>
        <w:tabs>
          <w:tab w:leader="none" w:pos="8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This share incentive grant of 323,139 shares was granted on March 23, 2017. 25% of such shares vested on January 5, 2018, and the remainder vest in equal monthly increments until January 5, 2021.</w:t>
      </w:r>
    </w:p>
    <w:p>
      <w:pPr>
        <w:ind w:left="880" w:right="760" w:hanging="515"/>
        <w:spacing w:after="0" w:line="241" w:lineRule="auto"/>
        <w:tabs>
          <w:tab w:leader="none" w:pos="8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This share incentive grant of 40,392 shares was granted on March 23, 2017. Such shares will vest upon achievement of a regulatory milestone for our androgen receptor program.</w:t>
      </w:r>
    </w:p>
    <w:p>
      <w:pPr>
        <w:ind w:left="880" w:right="760" w:hanging="515"/>
        <w:spacing w:after="0" w:line="241" w:lineRule="auto"/>
        <w:tabs>
          <w:tab w:leader="none" w:pos="8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This share incentive grant of 40,392 shares was granted on March 23, 2017. Such shares will vest upon achievement of a regulatory milestone for our estrogen receptor program.</w:t>
      </w:r>
    </w:p>
    <w:p>
      <w:pPr>
        <w:ind w:left="880" w:right="320" w:hanging="515"/>
        <w:spacing w:after="0" w:line="241" w:lineRule="auto"/>
        <w:tabs>
          <w:tab w:leader="none" w:pos="8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This share incentive grant of 605,885 shares was granted on September 8, 2017. 25% of such shares vested on September 15, 2018, and the remainder vest in equal monthly increments until September 15, 2021.</w:t>
      </w:r>
    </w:p>
    <w:p>
      <w:pPr>
        <w:ind w:left="880" w:right="220" w:hanging="515"/>
        <w:spacing w:after="0" w:line="241" w:lineRule="auto"/>
        <w:tabs>
          <w:tab w:leader="none" w:pos="8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This share incentive grant of 102,796 shares was granted on February 13, 2014. 25% of such shares vested on January 1, 2015, and the remainder vested in equal monthly increments until January 1, 2018.</w:t>
      </w:r>
    </w:p>
    <w:p>
      <w:pPr>
        <w:ind w:left="880" w:right="320" w:hanging="515"/>
        <w:spacing w:after="0" w:line="241" w:lineRule="auto"/>
        <w:tabs>
          <w:tab w:leader="none" w:pos="8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This share incentive grant of 44,887 shares was granted on February 10, 2016. 25% of such shares vested on January 1, 2017, and the remainder vest in equal monthly increments until January 1, 2020.</w:t>
      </w:r>
    </w:p>
    <w:p>
      <w:pPr>
        <w:ind w:left="880" w:right="160" w:hanging="515"/>
        <w:spacing w:after="0" w:line="259" w:lineRule="auto"/>
        <w:tabs>
          <w:tab w:leader="none" w:pos="8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This share incentive grant of 69,230 shares was granted on September 1, 2016. 25% of such shares vested on June 1, 2017, and the remainder vest in equal monthly increments until June 1, 2020.</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156</w:t>
      </w:r>
    </w:p>
    <w:p>
      <w:pPr>
        <w:sectPr>
          <w:pgSz w:w="11900" w:h="16838" w:orient="portrait"/>
          <w:cols w:equalWidth="0" w:num="1">
            <w:col w:w="11060"/>
          </w:cols>
          <w:pgMar w:left="240" w:top="449" w:right="599" w:bottom="1440" w:gutter="0" w:footer="0" w:header="0"/>
        </w:sectPr>
      </w:pPr>
    </w:p>
    <w:bookmarkStart w:id="158" w:name="page159"/>
    <w:bookmarkEnd w:id="1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Effects of Conversion</w:t>
      </w:r>
    </w:p>
    <w:p>
      <w:pPr>
        <w:spacing w:after="0" w:line="233" w:lineRule="exact"/>
        <w:rPr>
          <w:sz w:val="20"/>
          <w:szCs w:val="20"/>
          <w:color w:val="auto"/>
        </w:rPr>
      </w:pPr>
    </w:p>
    <w:p>
      <w:pPr>
        <w:ind w:left="360" w:right="20" w:firstLine="535"/>
        <w:spacing w:after="0" w:line="245" w:lineRule="auto"/>
        <w:rPr>
          <w:sz w:val="20"/>
          <w:szCs w:val="20"/>
          <w:color w:val="auto"/>
        </w:rPr>
      </w:pPr>
      <w:r>
        <w:rPr>
          <w:rFonts w:ascii="Arial" w:cs="Arial" w:eastAsia="Arial" w:hAnsi="Arial"/>
          <w:sz w:val="17"/>
          <w:szCs w:val="17"/>
          <w:color w:val="auto"/>
        </w:rPr>
        <w:t>Upon the Conversion, all outstanding incentive units of Arvinas LLC converted into shares of common stock. In accordance with the plan of conversion, each outstanding incentive unit converted into a number of shares of common stock based upon a conversion price determined by our board immediately prior to the time of Conversion. To the extent an incentive unit award was subject to vesting, the common stock issued upon conversion continues to be subject to the same vesting schedule. The table below shows the number of unrestricted and restricted shares of common stock that were issued upon Conversion for the incentive units held by each named executive officer.</w:t>
      </w:r>
    </w:p>
    <w:p>
      <w:pPr>
        <w:spacing w:after="0" w:line="204"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160" w:type="dxa"/>
            <w:vAlign w:val="bottom"/>
            <w:gridSpan w:val="3"/>
          </w:tcPr>
          <w:p>
            <w:pPr>
              <w:jc w:val="center"/>
              <w:ind w:left="761"/>
              <w:spacing w:after="0"/>
              <w:rPr>
                <w:sz w:val="20"/>
                <w:szCs w:val="20"/>
                <w:color w:val="auto"/>
              </w:rPr>
            </w:pPr>
            <w:r>
              <w:rPr>
                <w:rFonts w:ascii="Arial" w:cs="Arial" w:eastAsia="Arial" w:hAnsi="Arial"/>
                <w:sz w:val="14"/>
                <w:szCs w:val="14"/>
                <w:b w:val="1"/>
                <w:bCs w:val="1"/>
                <w:color w:val="auto"/>
                <w:w w:val="99"/>
              </w:rPr>
              <w:t>Number of Shares</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Number of Shares</w:t>
            </w:r>
          </w:p>
        </w:tc>
        <w:tc>
          <w:tcPr>
            <w:tcW w:w="920" w:type="dxa"/>
            <w:vAlign w:val="bottom"/>
          </w:tcPr>
          <w:p>
            <w:pPr>
              <w:spacing w:after="0"/>
              <w:rPr>
                <w:sz w:val="13"/>
                <w:szCs w:val="13"/>
                <w:color w:val="auto"/>
              </w:rPr>
            </w:pPr>
          </w:p>
        </w:tc>
        <w:tc>
          <w:tcPr>
            <w:tcW w:w="1240" w:type="dxa"/>
            <w:vAlign w:val="bottom"/>
            <w:gridSpan w:val="2"/>
          </w:tcPr>
          <w:p>
            <w:pPr>
              <w:jc w:val="center"/>
              <w:ind w:right="60"/>
              <w:spacing w:after="0" w:line="157" w:lineRule="exact"/>
              <w:rPr>
                <w:sz w:val="20"/>
                <w:szCs w:val="20"/>
                <w:color w:val="auto"/>
              </w:rPr>
            </w:pPr>
            <w:r>
              <w:rPr>
                <w:rFonts w:ascii="Arial" w:cs="Arial" w:eastAsia="Arial" w:hAnsi="Arial"/>
                <w:sz w:val="14"/>
                <w:szCs w:val="14"/>
                <w:b w:val="1"/>
                <w:bCs w:val="1"/>
                <w:color w:val="auto"/>
              </w:rPr>
              <w:t>of Restricted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7"/>
              </w:rPr>
              <w:t>Total Incentive</w:t>
            </w:r>
          </w:p>
        </w:tc>
        <w:tc>
          <w:tcPr>
            <w:tcW w:w="2300" w:type="dxa"/>
            <w:vAlign w:val="bottom"/>
            <w:gridSpan w:val="2"/>
          </w:tcPr>
          <w:p>
            <w:pPr>
              <w:jc w:val="center"/>
              <w:ind w:left="817"/>
              <w:spacing w:after="0" w:line="157" w:lineRule="exact"/>
              <w:rPr>
                <w:sz w:val="20"/>
                <w:szCs w:val="20"/>
                <w:color w:val="auto"/>
              </w:rPr>
            </w:pPr>
            <w:r>
              <w:rPr>
                <w:rFonts w:ascii="Arial" w:cs="Arial" w:eastAsia="Arial" w:hAnsi="Arial"/>
                <w:sz w:val="14"/>
                <w:szCs w:val="14"/>
                <w:b w:val="1"/>
                <w:bCs w:val="1"/>
                <w:color w:val="auto"/>
                <w:w w:val="99"/>
              </w:rPr>
              <w:t>of Common Stock to</w:t>
            </w:r>
          </w:p>
        </w:tc>
        <w:tc>
          <w:tcPr>
            <w:tcW w:w="2160" w:type="dxa"/>
            <w:vAlign w:val="bottom"/>
            <w:gridSpan w:val="3"/>
          </w:tcPr>
          <w:p>
            <w:pPr>
              <w:jc w:val="center"/>
              <w:ind w:left="761"/>
              <w:spacing w:after="0" w:line="157" w:lineRule="exact"/>
              <w:rPr>
                <w:sz w:val="20"/>
                <w:szCs w:val="20"/>
                <w:color w:val="auto"/>
              </w:rPr>
            </w:pPr>
            <w:r>
              <w:rPr>
                <w:rFonts w:ascii="Arial" w:cs="Arial" w:eastAsia="Arial" w:hAnsi="Arial"/>
                <w:sz w:val="14"/>
                <w:szCs w:val="14"/>
                <w:b w:val="1"/>
                <w:bCs w:val="1"/>
                <w:color w:val="auto"/>
              </w:rPr>
              <w:t>Common Stock to</w:t>
            </w:r>
          </w:p>
        </w:tc>
        <w:tc>
          <w:tcPr>
            <w:tcW w:w="0" w:type="dxa"/>
            <w:vAlign w:val="bottom"/>
          </w:tcPr>
          <w:p>
            <w:pPr>
              <w:spacing w:after="0"/>
              <w:rPr>
                <w:sz w:val="1"/>
                <w:szCs w:val="1"/>
                <w:color w:val="auto"/>
              </w:rPr>
            </w:pPr>
          </w:p>
        </w:tc>
      </w:tr>
      <w:tr>
        <w:trPr>
          <w:trHeight w:val="157"/>
        </w:trPr>
        <w:tc>
          <w:tcPr>
            <w:tcW w:w="3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6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Units Held as of</w:t>
            </w:r>
          </w:p>
        </w:tc>
        <w:tc>
          <w:tcPr>
            <w:tcW w:w="920" w:type="dxa"/>
            <w:vAlign w:val="bottom"/>
          </w:tcPr>
          <w:p>
            <w:pPr>
              <w:spacing w:after="0"/>
              <w:rPr>
                <w:sz w:val="13"/>
                <w:szCs w:val="13"/>
                <w:color w:val="auto"/>
              </w:rPr>
            </w:pPr>
          </w:p>
        </w:tc>
        <w:tc>
          <w:tcPr>
            <w:tcW w:w="13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be Issued Upon</w:t>
            </w:r>
          </w:p>
        </w:tc>
        <w:tc>
          <w:tcPr>
            <w:tcW w:w="920" w:type="dxa"/>
            <w:vAlign w:val="bottom"/>
          </w:tcPr>
          <w:p>
            <w:pPr>
              <w:spacing w:after="0"/>
              <w:rPr>
                <w:sz w:val="13"/>
                <w:szCs w:val="13"/>
                <w:color w:val="auto"/>
              </w:rPr>
            </w:pPr>
          </w:p>
        </w:tc>
        <w:tc>
          <w:tcPr>
            <w:tcW w:w="1240" w:type="dxa"/>
            <w:vAlign w:val="bottom"/>
            <w:gridSpan w:val="2"/>
          </w:tcPr>
          <w:p>
            <w:pPr>
              <w:jc w:val="center"/>
              <w:ind w:right="80"/>
              <w:spacing w:after="0" w:line="157" w:lineRule="exact"/>
              <w:rPr>
                <w:sz w:val="20"/>
                <w:szCs w:val="20"/>
                <w:color w:val="auto"/>
              </w:rPr>
            </w:pPr>
            <w:r>
              <w:rPr>
                <w:rFonts w:ascii="Arial" w:cs="Arial" w:eastAsia="Arial" w:hAnsi="Arial"/>
                <w:sz w:val="14"/>
                <w:szCs w:val="14"/>
                <w:b w:val="1"/>
                <w:bCs w:val="1"/>
                <w:color w:val="auto"/>
                <w:w w:val="99"/>
              </w:rPr>
              <w:t>be Issued Upon</w:t>
            </w:r>
          </w:p>
        </w:tc>
        <w:tc>
          <w:tcPr>
            <w:tcW w:w="0" w:type="dxa"/>
            <w:vAlign w:val="bottom"/>
          </w:tcPr>
          <w:p>
            <w:pPr>
              <w:spacing w:after="0"/>
              <w:rPr>
                <w:sz w:val="1"/>
                <w:szCs w:val="1"/>
                <w:color w:val="auto"/>
              </w:rPr>
            </w:pPr>
          </w:p>
        </w:tc>
      </w:tr>
      <w:tr>
        <w:trPr>
          <w:trHeight w:val="156"/>
        </w:trPr>
        <w:tc>
          <w:tcPr>
            <w:tcW w:w="3380" w:type="dxa"/>
            <w:vAlign w:val="bottom"/>
            <w:gridSpan w:val="3"/>
            <w:vMerge w:val="continue"/>
          </w:tcPr>
          <w:p>
            <w:pPr>
              <w:spacing w:after="0"/>
              <w:rPr>
                <w:sz w:val="13"/>
                <w:szCs w:val="13"/>
                <w:color w:val="auto"/>
              </w:rPr>
            </w:pPr>
          </w:p>
        </w:tc>
        <w:tc>
          <w:tcPr>
            <w:tcW w:w="2860" w:type="dxa"/>
            <w:vAlign w:val="bottom"/>
            <w:gridSpan w:val="2"/>
          </w:tcPr>
          <w:p>
            <w:pPr>
              <w:jc w:val="center"/>
              <w:ind w:left="1517"/>
              <w:spacing w:after="0" w:line="155" w:lineRule="exact"/>
              <w:rPr>
                <w:sz w:val="20"/>
                <w:szCs w:val="20"/>
                <w:color w:val="auto"/>
              </w:rPr>
            </w:pPr>
            <w:r>
              <w:rPr>
                <w:rFonts w:ascii="Arial" w:cs="Arial" w:eastAsia="Arial" w:hAnsi="Arial"/>
                <w:sz w:val="14"/>
                <w:szCs w:val="14"/>
                <w:b w:val="1"/>
                <w:bCs w:val="1"/>
                <w:color w:val="auto"/>
                <w:w w:val="99"/>
              </w:rPr>
              <w:t>December 31, 2017</w:t>
            </w:r>
          </w:p>
        </w:tc>
        <w:tc>
          <w:tcPr>
            <w:tcW w:w="920" w:type="dxa"/>
            <w:vAlign w:val="bottom"/>
          </w:tcPr>
          <w:p>
            <w:pPr>
              <w:spacing w:after="0"/>
              <w:rPr>
                <w:sz w:val="13"/>
                <w:szCs w:val="13"/>
                <w:color w:val="auto"/>
              </w:rPr>
            </w:pPr>
          </w:p>
        </w:tc>
        <w:tc>
          <w:tcPr>
            <w:tcW w:w="13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9"/>
              </w:rPr>
              <w:t>Conversion(1)</w:t>
            </w:r>
          </w:p>
        </w:tc>
        <w:tc>
          <w:tcPr>
            <w:tcW w:w="920" w:type="dxa"/>
            <w:vAlign w:val="bottom"/>
          </w:tcPr>
          <w:p>
            <w:pPr>
              <w:spacing w:after="0"/>
              <w:rPr>
                <w:sz w:val="13"/>
                <w:szCs w:val="13"/>
                <w:color w:val="auto"/>
              </w:rPr>
            </w:pPr>
          </w:p>
        </w:tc>
        <w:tc>
          <w:tcPr>
            <w:tcW w:w="1240" w:type="dxa"/>
            <w:vAlign w:val="bottom"/>
            <w:gridSpan w:val="2"/>
          </w:tcPr>
          <w:p>
            <w:pPr>
              <w:jc w:val="center"/>
              <w:ind w:right="60"/>
              <w:spacing w:after="0" w:line="155" w:lineRule="exact"/>
              <w:rPr>
                <w:sz w:val="20"/>
                <w:szCs w:val="20"/>
                <w:color w:val="auto"/>
              </w:rPr>
            </w:pPr>
            <w:r>
              <w:rPr>
                <w:rFonts w:ascii="Arial" w:cs="Arial" w:eastAsia="Arial" w:hAnsi="Arial"/>
                <w:sz w:val="14"/>
                <w:szCs w:val="14"/>
                <w:b w:val="1"/>
                <w:bCs w:val="1"/>
                <w:color w:val="auto"/>
                <w:w w:val="99"/>
              </w:rPr>
              <w:t>Conversion(1)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36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John Houston, Ph.D.</w:t>
            </w:r>
          </w:p>
        </w:tc>
        <w:tc>
          <w:tcPr>
            <w:tcW w:w="16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1,009,808</w:t>
            </w:r>
          </w:p>
        </w:tc>
        <w:tc>
          <w:tcPr>
            <w:tcW w:w="9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191,460</w:t>
            </w:r>
          </w:p>
        </w:tc>
        <w:tc>
          <w:tcPr>
            <w:tcW w:w="9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484,282</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60" w:type="dxa"/>
            <w:vAlign w:val="bottom"/>
            <w:gridSpan w:val="2"/>
          </w:tcPr>
          <w:p>
            <w:pPr>
              <w:spacing w:after="0"/>
              <w:rPr>
                <w:sz w:val="20"/>
                <w:szCs w:val="20"/>
                <w:color w:val="auto"/>
              </w:rPr>
            </w:pPr>
            <w:r>
              <w:rPr>
                <w:rFonts w:ascii="Arial" w:cs="Arial" w:eastAsia="Arial" w:hAnsi="Arial"/>
                <w:sz w:val="17"/>
                <w:szCs w:val="17"/>
                <w:color w:val="auto"/>
              </w:rPr>
              <w:t>Manuel Litchman, M.D.</w:t>
            </w:r>
          </w:p>
        </w:tc>
        <w:tc>
          <w:tcPr>
            <w:tcW w:w="2860" w:type="dxa"/>
            <w:vAlign w:val="bottom"/>
            <w:gridSpan w:val="2"/>
          </w:tcPr>
          <w:p>
            <w:pPr>
              <w:jc w:val="right"/>
              <w:spacing w:after="0"/>
              <w:rPr>
                <w:sz w:val="20"/>
                <w:szCs w:val="20"/>
                <w:color w:val="auto"/>
              </w:rPr>
            </w:pPr>
            <w:r>
              <w:rPr>
                <w:rFonts w:ascii="Arial" w:cs="Arial" w:eastAsia="Arial" w:hAnsi="Arial"/>
                <w:sz w:val="17"/>
                <w:szCs w:val="17"/>
                <w:color w:val="auto"/>
              </w:rPr>
              <w:t>422,306</w:t>
            </w:r>
          </w:p>
        </w:tc>
        <w:tc>
          <w:tcPr>
            <w:tcW w:w="2300" w:type="dxa"/>
            <w:vAlign w:val="bottom"/>
            <w:gridSpan w:val="2"/>
          </w:tcPr>
          <w:p>
            <w:pPr>
              <w:jc w:val="right"/>
              <w:spacing w:after="0"/>
              <w:rPr>
                <w:sz w:val="20"/>
                <w:szCs w:val="20"/>
                <w:color w:val="auto"/>
              </w:rPr>
            </w:pPr>
            <w:r>
              <w:rPr>
                <w:rFonts w:ascii="Arial" w:cs="Arial" w:eastAsia="Arial" w:hAnsi="Arial"/>
                <w:sz w:val="17"/>
                <w:szCs w:val="17"/>
                <w:color w:val="auto"/>
              </w:rPr>
              <w:t>290,420</w:t>
            </w:r>
          </w:p>
        </w:tc>
        <w:tc>
          <w:tcPr>
            <w:tcW w:w="9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Sean Cassidy</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154,107</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95,341</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9,908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7"/>
                <w:szCs w:val="17"/>
                <w:color w:val="auto"/>
              </w:rPr>
              <w:t>Ian Taylor, Ph.D.</w:t>
            </w:r>
          </w:p>
        </w:tc>
        <w:tc>
          <w:tcPr>
            <w:tcW w:w="2860" w:type="dxa"/>
            <w:vAlign w:val="bottom"/>
            <w:gridSpan w:val="2"/>
          </w:tcPr>
          <w:p>
            <w:pPr>
              <w:jc w:val="right"/>
              <w:spacing w:after="0"/>
              <w:rPr>
                <w:sz w:val="20"/>
                <w:szCs w:val="20"/>
                <w:color w:val="auto"/>
              </w:rPr>
            </w:pPr>
            <w:r>
              <w:rPr>
                <w:rFonts w:ascii="Arial" w:cs="Arial" w:eastAsia="Arial" w:hAnsi="Arial"/>
                <w:sz w:val="17"/>
                <w:szCs w:val="17"/>
                <w:color w:val="auto"/>
              </w:rPr>
              <w:t>69,320</w:t>
            </w:r>
          </w:p>
        </w:tc>
        <w:tc>
          <w:tcPr>
            <w:tcW w:w="2300" w:type="dxa"/>
            <w:vAlign w:val="bottom"/>
            <w:gridSpan w:val="2"/>
          </w:tcPr>
          <w:p>
            <w:pPr>
              <w:jc w:val="right"/>
              <w:spacing w:after="0"/>
              <w:rPr>
                <w:sz w:val="20"/>
                <w:szCs w:val="20"/>
                <w:color w:val="auto"/>
              </w:rPr>
            </w:pPr>
            <w:r>
              <w:rPr>
                <w:rFonts w:ascii="Arial" w:cs="Arial" w:eastAsia="Arial" w:hAnsi="Arial"/>
                <w:sz w:val="17"/>
                <w:szCs w:val="17"/>
                <w:color w:val="auto"/>
              </w:rPr>
              <w:t>25,786</w:t>
            </w:r>
          </w:p>
        </w:tc>
        <w:tc>
          <w:tcPr>
            <w:tcW w:w="2120" w:type="dxa"/>
            <w:vAlign w:val="bottom"/>
            <w:gridSpan w:val="2"/>
          </w:tcPr>
          <w:p>
            <w:pPr>
              <w:jc w:val="right"/>
              <w:spacing w:after="0"/>
              <w:rPr>
                <w:sz w:val="20"/>
                <w:szCs w:val="20"/>
                <w:color w:val="auto"/>
              </w:rPr>
            </w:pPr>
            <w:r>
              <w:rPr>
                <w:rFonts w:ascii="Arial" w:cs="Arial" w:eastAsia="Arial" w:hAnsi="Arial"/>
                <w:sz w:val="17"/>
                <w:szCs w:val="17"/>
                <w:color w:val="auto"/>
              </w:rPr>
              <w:t>20,056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74930</wp:posOffset>
            </wp:positionV>
            <wp:extent cx="6743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74370" cy="8255"/>
                    </a:xfrm>
                    <a:prstGeom prst="rect">
                      <a:avLst/>
                    </a:prstGeom>
                    <a:noFill/>
                  </pic:spPr>
                </pic:pic>
              </a:graphicData>
            </a:graphic>
          </wp:anchor>
        </w:drawing>
      </w:r>
    </w:p>
    <w:p>
      <w:pPr>
        <w:spacing w:after="0" w:line="149" w:lineRule="exact"/>
        <w:rPr>
          <w:sz w:val="20"/>
          <w:szCs w:val="20"/>
          <w:color w:val="auto"/>
        </w:rPr>
      </w:pPr>
    </w:p>
    <w:p>
      <w:pPr>
        <w:ind w:left="880" w:right="320" w:hanging="515"/>
        <w:spacing w:after="0" w:line="259" w:lineRule="auto"/>
        <w:tabs>
          <w:tab w:leader="none" w:pos="8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Common stock issued upon conversion of incentive units is based on the determined fair value of $16.00 per common unit. See “Corporate Conversion” for additional information on the Conversion.</w:t>
      </w:r>
    </w:p>
    <w:p>
      <w:pPr>
        <w:spacing w:after="0" w:line="264"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Employment Agreements with Executive Officers</w:t>
      </w:r>
    </w:p>
    <w:p>
      <w:pPr>
        <w:spacing w:after="0" w:line="233" w:lineRule="exact"/>
        <w:rPr>
          <w:sz w:val="20"/>
          <w:szCs w:val="20"/>
          <w:color w:val="auto"/>
        </w:rPr>
      </w:pPr>
    </w:p>
    <w:p>
      <w:pPr>
        <w:ind w:left="360" w:right="120" w:firstLine="535"/>
        <w:spacing w:after="0" w:line="245" w:lineRule="auto"/>
        <w:rPr>
          <w:sz w:val="20"/>
          <w:szCs w:val="20"/>
          <w:color w:val="auto"/>
        </w:rPr>
      </w:pPr>
      <w:r>
        <w:rPr>
          <w:rFonts w:ascii="Arial" w:cs="Arial" w:eastAsia="Arial" w:hAnsi="Arial"/>
          <w:sz w:val="17"/>
          <w:szCs w:val="17"/>
          <w:color w:val="auto"/>
        </w:rPr>
        <w:t>We have entered into written employment agreements with each of our executive officers, which became effective as of effectiveness of the registration statement of which this prospectus forms a part. These agreements set forth the terms of the executive officer’s compensation, including his base salary, and annual performance bonus opportunity. In addition, the agreements provide that subject to eligibility requirements under the plan documents governing such programs and our policies, the executive officers are eligible to participate in company-sponsored benefit programs that are generally available to all of our employees. Each executive officer will also be eligible to receive equity awards at such times and on such terms and conditions as the board of directors may determine.</w:t>
      </w:r>
    </w:p>
    <w:p>
      <w:pPr>
        <w:spacing w:after="0" w:line="192" w:lineRule="exact"/>
        <w:rPr>
          <w:sz w:val="20"/>
          <w:szCs w:val="20"/>
          <w:color w:val="auto"/>
        </w:rPr>
      </w:pPr>
    </w:p>
    <w:p>
      <w:pPr>
        <w:ind w:left="360" w:right="80" w:firstLine="535"/>
        <w:spacing w:after="0" w:line="244" w:lineRule="auto"/>
        <w:rPr>
          <w:sz w:val="20"/>
          <w:szCs w:val="20"/>
          <w:color w:val="auto"/>
        </w:rPr>
      </w:pPr>
      <w:r>
        <w:rPr>
          <w:rFonts w:ascii="Arial" w:cs="Arial" w:eastAsia="Arial" w:hAnsi="Arial"/>
          <w:sz w:val="17"/>
          <w:szCs w:val="17"/>
          <w:color w:val="auto"/>
        </w:rPr>
        <w:t>Pursuant to their respective employment agreements, each of our executive officers is entitled to an annual base salary as follows: John Houston is entitled to receive an annual base salary of $475,000, which will be increased to $500,000 as of January 1, 2019 and to $525,000 as of July 1, 2019; Sean Cassidy is entitled to receive an annual base salary of $300,000, which will be increased to $315,000 as of January 1, 2019 and to $330,000 as of July 1, 2019; Ian Taylor is entitled to receive an annual base salary of $300,000; and Andrew Crew is entitled to receive an annual base salary of $300,000. Each executive officer’s base salary is reviewed by our compensation committee and the board of directors on an annual or more frequent basis and is subject to change in the discretion of our board of directors or compensation committee.</w:t>
      </w:r>
    </w:p>
    <w:p>
      <w:pPr>
        <w:spacing w:after="0" w:line="195" w:lineRule="exact"/>
        <w:rPr>
          <w:sz w:val="20"/>
          <w:szCs w:val="20"/>
          <w:color w:val="auto"/>
        </w:rPr>
      </w:pPr>
    </w:p>
    <w:p>
      <w:pPr>
        <w:ind w:left="360" w:right="60" w:firstLine="535"/>
        <w:spacing w:after="0" w:line="245" w:lineRule="auto"/>
        <w:rPr>
          <w:sz w:val="20"/>
          <w:szCs w:val="20"/>
          <w:color w:val="auto"/>
        </w:rPr>
      </w:pPr>
      <w:r>
        <w:rPr>
          <w:rFonts w:ascii="Arial" w:cs="Arial" w:eastAsia="Arial" w:hAnsi="Arial"/>
          <w:sz w:val="17"/>
          <w:szCs w:val="17"/>
          <w:color w:val="auto"/>
        </w:rPr>
        <w:t>Under their respective employment agreements, each of our executive officers is also eligible to earn an annual performance bonus, with a target bonus amount equal to a specified percentage of such officer’s annual base salary, based upon the board’s assessment of the executive’s performance and our attainment of targeted goals as set by the board of directors in its sole discretion. The bonus may be in the form of cash, equity award, or a combination of cash and equity. Dr. Houston will be eligible for an annual discretionary bonus of up to 50% of his base salary. Mr. Cassidy will be eligible for an annual discretionary bonus of up to 40% of his base salary. Each of Dr. Taylor and Dr. Crew will be eligible for an annual discretionary bonus of up to 35% of his base salary.</w:t>
      </w:r>
    </w:p>
    <w:p>
      <w:pPr>
        <w:spacing w:after="0" w:line="12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157</w:t>
      </w:r>
    </w:p>
    <w:p>
      <w:pPr>
        <w:sectPr>
          <w:pgSz w:w="11900" w:h="16838" w:orient="portrait"/>
          <w:cols w:equalWidth="0" w:num="1">
            <w:col w:w="11060"/>
          </w:cols>
          <w:pgMar w:left="240" w:top="450" w:right="599" w:bottom="1440" w:gutter="0" w:footer="0" w:header="0"/>
        </w:sectPr>
      </w:pPr>
    </w:p>
    <w:bookmarkStart w:id="159" w:name="page160"/>
    <w:bookmarkEnd w:id="1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20" w:firstLine="535"/>
        <w:spacing w:after="0" w:line="243" w:lineRule="auto"/>
        <w:rPr>
          <w:sz w:val="20"/>
          <w:szCs w:val="20"/>
          <w:color w:val="auto"/>
        </w:rPr>
      </w:pPr>
      <w:r>
        <w:rPr>
          <w:rFonts w:ascii="Arial" w:cs="Arial" w:eastAsia="Arial" w:hAnsi="Arial"/>
          <w:sz w:val="17"/>
          <w:szCs w:val="17"/>
          <w:color w:val="auto"/>
        </w:rPr>
        <w:t>In connection with entering into these agreements, each of Dr. Houston, Mr. Cassidy, Dr. Taylor and Dr. Crew signed a proprietary rights, non-disclosure, developments, non-competition and non-solicitation agreement. Under this agreement, each executive officer has agreed not to compete with us during his employment and for a period of one year after the termination of his employment, not to solicit our employees, consultants, or actual or prospective customers or business relations during his employment and for a period of one year after the termination of his employment, and to protect our confidential and proprietary information indefinitely. In addition, under this agreement, each executive officer has agreed that we own all inventions that are developed by such executive officer during his employment and that there is a presumption that we own inventions made by the executive officer during a period of six months after the termination of his employment that are related to the executive officer’s activities while employed by us. Each executive officer also agreed to provide us with a non-exclusive, royalty-free, perpetual license for any prior inventions that such executive officer incorporates into any of our products, processes, research or development programs or other works in the course of such executive officer’s employment with us.</w:t>
      </w:r>
    </w:p>
    <w:p>
      <w:pPr>
        <w:spacing w:after="0" w:line="200" w:lineRule="exact"/>
        <w:rPr>
          <w:sz w:val="20"/>
          <w:szCs w:val="20"/>
          <w:color w:val="auto"/>
        </w:rPr>
      </w:pPr>
    </w:p>
    <w:p>
      <w:pPr>
        <w:spacing w:after="0" w:line="278"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Potential Payments upon Termination or Change in Control</w:t>
      </w:r>
    </w:p>
    <w:p>
      <w:pPr>
        <w:spacing w:after="0" w:line="126" w:lineRule="exact"/>
        <w:rPr>
          <w:sz w:val="20"/>
          <w:szCs w:val="20"/>
          <w:color w:val="auto"/>
        </w:rPr>
      </w:pPr>
    </w:p>
    <w:p>
      <w:pPr>
        <w:ind w:left="360" w:right="80" w:firstLine="535"/>
        <w:spacing w:after="0" w:line="241" w:lineRule="auto"/>
        <w:rPr>
          <w:sz w:val="20"/>
          <w:szCs w:val="20"/>
          <w:color w:val="auto"/>
        </w:rPr>
      </w:pPr>
      <w:r>
        <w:rPr>
          <w:rFonts w:ascii="Arial" w:cs="Arial" w:eastAsia="Arial" w:hAnsi="Arial"/>
          <w:sz w:val="17"/>
          <w:szCs w:val="17"/>
          <w:color w:val="auto"/>
        </w:rPr>
        <w:t>The employment agreements and the employment of each of Dr. Houston, Mr. Cassidy, Dr. Taylor and Dr. Crew may be terminated as follows: (1) upon the death or “disability” (as disability is defined in the applicable employment agreement) of such executive officer;</w:t>
      </w:r>
    </w:p>
    <w:p>
      <w:pPr>
        <w:spacing w:after="0" w:line="1" w:lineRule="exact"/>
        <w:rPr>
          <w:sz w:val="20"/>
          <w:szCs w:val="20"/>
          <w:color w:val="auto"/>
        </w:rPr>
      </w:pPr>
    </w:p>
    <w:p>
      <w:pPr>
        <w:ind w:left="360" w:right="580" w:firstLine="5"/>
        <w:spacing w:after="0" w:line="259" w:lineRule="auto"/>
        <w:tabs>
          <w:tab w:leader="none" w:pos="622" w:val="left"/>
        </w:tabs>
        <w:numPr>
          <w:ilvl w:val="0"/>
          <w:numId w:val="91"/>
        </w:numPr>
        <w:rPr>
          <w:rFonts w:ascii="Arial" w:cs="Arial" w:eastAsia="Arial" w:hAnsi="Arial"/>
          <w:sz w:val="17"/>
          <w:szCs w:val="17"/>
          <w:color w:val="auto"/>
        </w:rPr>
      </w:pPr>
      <w:r>
        <w:rPr>
          <w:rFonts w:ascii="Arial" w:cs="Arial" w:eastAsia="Arial" w:hAnsi="Arial"/>
          <w:sz w:val="17"/>
          <w:szCs w:val="17"/>
          <w:color w:val="auto"/>
        </w:rPr>
        <w:t>at our election, with or without “cause” (as cause is defined in the applicable employment agreement); and (3) at such executive officer’s election, with or without “good reason” (as good reason is defined in the applicable employment agreement).</w:t>
      </w:r>
    </w:p>
    <w:p>
      <w:pPr>
        <w:spacing w:after="0" w:line="181" w:lineRule="exact"/>
        <w:rPr>
          <w:sz w:val="20"/>
          <w:szCs w:val="20"/>
          <w:color w:val="auto"/>
        </w:rPr>
      </w:pPr>
    </w:p>
    <w:p>
      <w:pPr>
        <w:ind w:left="360" w:right="60" w:firstLine="535"/>
        <w:spacing w:after="0" w:line="243" w:lineRule="auto"/>
        <w:rPr>
          <w:sz w:val="20"/>
          <w:szCs w:val="20"/>
          <w:color w:val="auto"/>
        </w:rPr>
      </w:pPr>
      <w:r>
        <w:rPr>
          <w:rFonts w:ascii="Arial" w:cs="Arial" w:eastAsia="Arial" w:hAnsi="Arial"/>
          <w:sz w:val="17"/>
          <w:szCs w:val="17"/>
          <w:color w:val="auto"/>
        </w:rPr>
        <w:t>In the event of the termination of Dr. Houston’s employment by us without cause, or by him for good reason, prior to or more than twelve months following a “change in control” (as change in control is defined in his employment agreement), Dr. Houston is entitled to his base salary that has accrued and to which he is entitled as of the termination date and accrued but unused paid time off through and including the termination date and other accrued benefits, collectively, the accrued obligations. In addition, subject to his execution and nonrevocation of a release of claims in our favor and his continued compliance with his proprietary rights, non-disclosure, developments, non-competition and non-solicitation agreement and any similar agreement with us, he is entitled to (1) continued payment of his base salary, in accordance with our regular payroll procedures, for a period of 12 months and (2) provided 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12 months following his date of termination.</w:t>
      </w:r>
    </w:p>
    <w:p>
      <w:pPr>
        <w:spacing w:after="0" w:line="197" w:lineRule="exact"/>
        <w:rPr>
          <w:sz w:val="20"/>
          <w:szCs w:val="20"/>
          <w:color w:val="auto"/>
        </w:rPr>
      </w:pPr>
    </w:p>
    <w:p>
      <w:pPr>
        <w:ind w:left="360" w:firstLine="535"/>
        <w:spacing w:after="0" w:line="243" w:lineRule="auto"/>
        <w:rPr>
          <w:sz w:val="20"/>
          <w:szCs w:val="20"/>
          <w:color w:val="auto"/>
        </w:rPr>
      </w:pPr>
      <w:r>
        <w:rPr>
          <w:rFonts w:ascii="Arial" w:cs="Arial" w:eastAsia="Arial" w:hAnsi="Arial"/>
          <w:sz w:val="17"/>
          <w:szCs w:val="17"/>
          <w:color w:val="auto"/>
        </w:rPr>
        <w:t>In the event of the termination of Dr. Houston’s employment by us without cause, or by him for good reason within twelve months following a change in control, Dr. Houston is entitled to the accrued obligations. In addition, subject to his execution and nonrevocation of a release of claims in our favor and his continued compliance with his proprietary rights, non-disclosure, developments, non-competition and non-solicitation agreement and any similar agreement with us, Dr. Houston is entitled to (1) continued payment of his base salary, in accordance with our regular payroll procedures, for a period of 18 months, (2) provided 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18 months following his date of termination, (3) a lump sum payment equal to 150% of his target bonus for the year in which his employment is terminated or, if higher, his target bonus immediately prior to the change in control and (4) full vesting acceleration of his then-unvested equity</w:t>
      </w:r>
    </w:p>
    <w:p>
      <w:pPr>
        <w:spacing w:after="0" w:line="131"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158</w:t>
      </w:r>
    </w:p>
    <w:p>
      <w:pPr>
        <w:sectPr>
          <w:pgSz w:w="11900" w:h="16838" w:orient="portrait"/>
          <w:cols w:equalWidth="0" w:num="1">
            <w:col w:w="11060"/>
          </w:cols>
          <w:pgMar w:left="240" w:top="450" w:right="599" w:bottom="1440" w:gutter="0" w:footer="0" w:header="0"/>
        </w:sectPr>
      </w:pPr>
    </w:p>
    <w:bookmarkStart w:id="160" w:name="page161"/>
    <w:bookmarkEnd w:id="1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awards, such that his equity awards become fully exercisable and non-forfeitable as of the termination date.</w:t>
      </w:r>
    </w:p>
    <w:p>
      <w:pPr>
        <w:spacing w:after="0" w:line="211" w:lineRule="exact"/>
        <w:rPr>
          <w:sz w:val="20"/>
          <w:szCs w:val="20"/>
          <w:color w:val="auto"/>
        </w:rPr>
      </w:pPr>
    </w:p>
    <w:p>
      <w:pPr>
        <w:ind w:left="360" w:right="140" w:firstLine="535"/>
        <w:spacing w:after="0" w:line="250" w:lineRule="auto"/>
        <w:rPr>
          <w:sz w:val="20"/>
          <w:szCs w:val="20"/>
          <w:color w:val="auto"/>
        </w:rPr>
      </w:pPr>
      <w:r>
        <w:rPr>
          <w:rFonts w:ascii="Arial" w:cs="Arial" w:eastAsia="Arial" w:hAnsi="Arial"/>
          <w:sz w:val="17"/>
          <w:szCs w:val="17"/>
          <w:color w:val="auto"/>
        </w:rPr>
        <w:t>If Dr. Houston’s employment is terminated for any other reason, including as a result of his death or disability, for cause, or voluntarily by Dr. Houston without good reason, our obligations under the employment agreement cease immediately, and Dr. Houston is only entitled to the accrued obligations.</w:t>
      </w:r>
    </w:p>
    <w:p>
      <w:pPr>
        <w:spacing w:after="0" w:line="189" w:lineRule="exact"/>
        <w:rPr>
          <w:sz w:val="20"/>
          <w:szCs w:val="20"/>
          <w:color w:val="auto"/>
        </w:rPr>
      </w:pPr>
    </w:p>
    <w:p>
      <w:pPr>
        <w:ind w:left="360" w:right="60" w:firstLine="535"/>
        <w:spacing w:after="0" w:line="243" w:lineRule="auto"/>
        <w:rPr>
          <w:sz w:val="20"/>
          <w:szCs w:val="20"/>
          <w:color w:val="auto"/>
        </w:rPr>
      </w:pPr>
      <w:r>
        <w:rPr>
          <w:rFonts w:ascii="Arial" w:cs="Arial" w:eastAsia="Arial" w:hAnsi="Arial"/>
          <w:sz w:val="17"/>
          <w:szCs w:val="17"/>
          <w:color w:val="auto"/>
        </w:rPr>
        <w:t>In the event of the termination of Mr. Cassidy’s, Dr. Taylor’s or Dr. Crew’s employment by us without cause, or by such executive officer for good reason prior to, or more than twelve months following, a “change in control” (as change in control is defined in his employment agreement), such executive officer is entitled to the accrued obligations. In addition, subject to his execution and nonrevocation of a release of claims in our favor and his continued compliance with his proprietary rights, non-disclosure, developments, non-competition and non-solicitation agreement and any similar agreement with us, such executive officer is entitled to (1) continued payment of his base salary, in accordance with our regular payroll procedures, for a period of nine months and (2) provided 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nine months following his date of termination.</w:t>
      </w:r>
    </w:p>
    <w:p>
      <w:pPr>
        <w:spacing w:after="0" w:line="198" w:lineRule="exact"/>
        <w:rPr>
          <w:sz w:val="20"/>
          <w:szCs w:val="20"/>
          <w:color w:val="auto"/>
        </w:rPr>
      </w:pPr>
    </w:p>
    <w:p>
      <w:pPr>
        <w:ind w:left="360" w:firstLine="535"/>
        <w:spacing w:after="0" w:line="243" w:lineRule="auto"/>
        <w:rPr>
          <w:sz w:val="20"/>
          <w:szCs w:val="20"/>
          <w:color w:val="auto"/>
        </w:rPr>
      </w:pPr>
      <w:r>
        <w:rPr>
          <w:rFonts w:ascii="Arial" w:cs="Arial" w:eastAsia="Arial" w:hAnsi="Arial"/>
          <w:sz w:val="17"/>
          <w:szCs w:val="17"/>
          <w:color w:val="auto"/>
        </w:rPr>
        <w:t>In the event of the termination of Mr. Cassidy’s, Dr. Taylor’s or Dr. Crew’s employment by us without cause, or by such executive officer for good reason within twelve months following a change in control, such executive officer is entitled to the accrued obligations. In addition, subject to his execution and nonrevocation of a release of claims in our favor and his continued compliance with his proprietary rights, non-disclosure and developments agreement and any similar agreement with us, such executive officer is entitled to (1) continued payment of his base salary, in accordance with our regular payroll procedures, for a period of 12 months, (2) provided 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12 months following his date of termination, (3) a lump sum payment equal to 100% of his target bonus for the year in which his employment is terminated or, if higher, his target bonus immediately prior to the change in control and (4) full vesting acceleration of his then-unvested equity awards, such that his equity awards become fully exercisable and non-forfeitable as of the termination date.</w:t>
      </w:r>
    </w:p>
    <w:p>
      <w:pPr>
        <w:spacing w:after="0" w:line="196" w:lineRule="exact"/>
        <w:rPr>
          <w:sz w:val="20"/>
          <w:szCs w:val="20"/>
          <w:color w:val="auto"/>
        </w:rPr>
      </w:pPr>
    </w:p>
    <w:p>
      <w:pPr>
        <w:jc w:val="both"/>
        <w:ind w:left="360" w:right="180" w:firstLine="535"/>
        <w:spacing w:after="0" w:line="250" w:lineRule="auto"/>
        <w:rPr>
          <w:sz w:val="20"/>
          <w:szCs w:val="20"/>
          <w:color w:val="auto"/>
        </w:rPr>
      </w:pPr>
      <w:r>
        <w:rPr>
          <w:rFonts w:ascii="Arial" w:cs="Arial" w:eastAsia="Arial" w:hAnsi="Arial"/>
          <w:sz w:val="17"/>
          <w:szCs w:val="17"/>
          <w:color w:val="auto"/>
        </w:rPr>
        <w:t>If Mr. Cassidy’s, Dr. Taylor’s or Dr. Crew’s employment is terminated for any other reason, including as a result of such executive officer’s death or disability, for cause, or voluntarily by such executive officer without good reason, our obligations under the employment agreement cease immediately, and such executive officer is only entitled to the accrued obligations.</w:t>
      </w:r>
    </w:p>
    <w:p>
      <w:pPr>
        <w:spacing w:after="0" w:line="272" w:lineRule="exact"/>
        <w:rPr>
          <w:sz w:val="20"/>
          <w:szCs w:val="20"/>
          <w:color w:val="auto"/>
        </w:rPr>
      </w:pPr>
    </w:p>
    <w:p>
      <w:pPr>
        <w:ind w:left="3540"/>
        <w:spacing w:after="0"/>
        <w:rPr>
          <w:sz w:val="20"/>
          <w:szCs w:val="20"/>
          <w:color w:val="auto"/>
        </w:rPr>
      </w:pPr>
      <w:r>
        <w:rPr>
          <w:rFonts w:ascii="Arial" w:cs="Arial" w:eastAsia="Arial" w:hAnsi="Arial"/>
          <w:sz w:val="17"/>
          <w:szCs w:val="17"/>
          <w:b w:val="1"/>
          <w:bCs w:val="1"/>
          <w:color w:val="auto"/>
        </w:rPr>
        <w:t>Incentive Share Plan and Other Compensation Plans</w:t>
      </w:r>
    </w:p>
    <w:p>
      <w:pPr>
        <w:spacing w:after="0" w:line="233" w:lineRule="exact"/>
        <w:rPr>
          <w:sz w:val="20"/>
          <w:szCs w:val="20"/>
          <w:color w:val="auto"/>
        </w:rPr>
      </w:pPr>
    </w:p>
    <w:p>
      <w:pPr>
        <w:jc w:val="both"/>
        <w:ind w:left="360" w:right="60" w:firstLine="535"/>
        <w:spacing w:after="0" w:line="250" w:lineRule="auto"/>
        <w:rPr>
          <w:sz w:val="20"/>
          <w:szCs w:val="20"/>
          <w:color w:val="auto"/>
        </w:rPr>
      </w:pPr>
      <w:r>
        <w:rPr>
          <w:rFonts w:ascii="Arial" w:cs="Arial" w:eastAsia="Arial" w:hAnsi="Arial"/>
          <w:sz w:val="17"/>
          <w:szCs w:val="17"/>
          <w:color w:val="auto"/>
        </w:rPr>
        <w:t>The three equity incentive plans described in this section are our Incentive Share Plan, our 2018 stock incentive plan and our 2018 employee stock purchase plan. Prior to this offering, we granted awards to eligible participants under our Incentive Share Plan. Following the closing of this offering, we expect to grant awards to eligible participants under the 2018 stock incentive plan.</w:t>
      </w:r>
    </w:p>
    <w:p>
      <w:pPr>
        <w:spacing w:after="0" w:line="274"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Incentive Share Plan</w:t>
      </w:r>
    </w:p>
    <w:p>
      <w:pPr>
        <w:spacing w:after="0" w:line="126" w:lineRule="exact"/>
        <w:rPr>
          <w:sz w:val="20"/>
          <w:szCs w:val="20"/>
          <w:color w:val="auto"/>
        </w:rPr>
      </w:pPr>
    </w:p>
    <w:p>
      <w:pPr>
        <w:ind w:left="360" w:right="20" w:firstLine="535"/>
        <w:spacing w:after="0" w:line="259" w:lineRule="auto"/>
        <w:rPr>
          <w:sz w:val="20"/>
          <w:szCs w:val="20"/>
          <w:color w:val="auto"/>
        </w:rPr>
      </w:pPr>
      <w:r>
        <w:rPr>
          <w:rFonts w:ascii="Arial" w:cs="Arial" w:eastAsia="Arial" w:hAnsi="Arial"/>
          <w:sz w:val="17"/>
          <w:szCs w:val="17"/>
          <w:color w:val="auto"/>
        </w:rPr>
        <w:t>The Incentive Share Plan, which became effective as of January 1, 2015 and which our board of directors amended on October 16, 2015, December 22, 2016, September 8, 2017 and March 29, 2018</w:t>
      </w:r>
    </w:p>
    <w:p>
      <w:pPr>
        <w:spacing w:after="0" w:line="11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159</w:t>
      </w:r>
    </w:p>
    <w:p>
      <w:pPr>
        <w:sectPr>
          <w:pgSz w:w="11900" w:h="16838" w:orient="portrait"/>
          <w:cols w:equalWidth="0" w:num="1">
            <w:col w:w="11040"/>
          </w:cols>
          <w:pgMar w:left="240" w:top="449" w:right="619" w:bottom="1440" w:gutter="0" w:footer="0" w:header="0"/>
        </w:sectPr>
      </w:pPr>
    </w:p>
    <w:bookmarkStart w:id="161" w:name="page162"/>
    <w:bookmarkEnd w:id="1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100"/>
        <w:spacing w:after="0" w:line="244" w:lineRule="auto"/>
        <w:rPr>
          <w:sz w:val="20"/>
          <w:szCs w:val="20"/>
          <w:color w:val="auto"/>
        </w:rPr>
      </w:pPr>
      <w:r>
        <w:rPr>
          <w:rFonts w:ascii="Arial" w:cs="Arial" w:eastAsia="Arial" w:hAnsi="Arial"/>
          <w:sz w:val="17"/>
          <w:szCs w:val="17"/>
          <w:color w:val="auto"/>
        </w:rPr>
        <w:t>(and which, as amended, we refer to as the Incentive Plan) provides for the grant of incentive units to our managers, directors, officers, employees, advisors and consultants, those of our majority-owned subsidiaries and those of any other entity which is designated by us from time to time as a participating employer under the Incentive Plan. Subject to adjustment, as described below, a maximum aggregate of 6,199,476 incentive units are authorized for issuance under the Incentive Plan. Incentive unit awards are governed by the terms of the Incentive Plan, the terms of the award agreement documenting the grant and the limited liability company agreement of Arvinas Holding Company, LLC, or the LLC Agreement, and are intended to qualify as “profits interests” within the meaning of Revenue Procedure 93-27 as clarified by Revenue Procedures 2001-43. The Incentive Plan will terminate upon the Conversion.</w:t>
      </w:r>
    </w:p>
    <w:p>
      <w:pPr>
        <w:spacing w:after="0" w:line="195" w:lineRule="exact"/>
        <w:rPr>
          <w:sz w:val="20"/>
          <w:szCs w:val="20"/>
          <w:color w:val="auto"/>
        </w:rPr>
      </w:pPr>
    </w:p>
    <w:p>
      <w:pPr>
        <w:ind w:left="360" w:firstLine="535"/>
        <w:spacing w:after="0" w:line="243" w:lineRule="auto"/>
        <w:rPr>
          <w:sz w:val="20"/>
          <w:szCs w:val="20"/>
          <w:color w:val="auto"/>
        </w:rPr>
      </w:pPr>
      <w:r>
        <w:rPr>
          <w:rFonts w:ascii="Arial" w:cs="Arial" w:eastAsia="Arial" w:hAnsi="Arial"/>
          <w:sz w:val="17"/>
          <w:szCs w:val="17"/>
          <w:color w:val="auto"/>
        </w:rPr>
        <w:t>Incentive units granted to eligible recipients generally vest, except as otherwise approved by our board of directors, over a period of four years, with 25% vesting following 12 months of continued employment or service and the balance vesting in equal monthly installments over the remaining three-year period, provided the holder continues to be employed by, or provide services to, us (or a related entity) on the applicable vesting date. Our board of directors may accelerate the vesting of any incentive units granted under the Incentive Plan at such times and upon such terms and conditions as the board of directors may deem advisable, which determination is made on an individual by individual basis. The Incentive Plan provides that in the event we sell outstanding equity securities in our subsidiaries and receive cash proceeds in excess of a certain threshold amount, the incentive units will vest in full. In addition, any unvested incentive units held by a recipient will vest in full if his or her continuous service to us, or any related entity, is terminated without cause, as determined by our board of directors, within 12 months of a sale transaction (as that term is defined in the LLC Agreement).</w:t>
      </w:r>
    </w:p>
    <w:p>
      <w:pPr>
        <w:spacing w:after="0" w:line="198" w:lineRule="exact"/>
        <w:rPr>
          <w:sz w:val="20"/>
          <w:szCs w:val="20"/>
          <w:color w:val="auto"/>
        </w:rPr>
      </w:pPr>
    </w:p>
    <w:p>
      <w:pPr>
        <w:ind w:left="360" w:right="460" w:firstLine="535"/>
        <w:spacing w:after="0" w:line="259" w:lineRule="auto"/>
        <w:rPr>
          <w:sz w:val="20"/>
          <w:szCs w:val="20"/>
          <w:color w:val="auto"/>
        </w:rPr>
      </w:pPr>
      <w:r>
        <w:rPr>
          <w:rFonts w:ascii="Arial" w:cs="Arial" w:eastAsia="Arial" w:hAnsi="Arial"/>
          <w:sz w:val="17"/>
          <w:szCs w:val="17"/>
          <w:color w:val="auto"/>
        </w:rPr>
        <w:t>In accordance with the terms of the Incentive Plan, our board of directors, or a committee appointed by our board of directors, administers the Incentive Plan and, subject to any limitations in the Incentive Plan, has the authority in its discretion to:</w:t>
      </w:r>
    </w:p>
    <w:p>
      <w:pPr>
        <w:spacing w:after="0" w:line="89" w:lineRule="exact"/>
        <w:rPr>
          <w:sz w:val="20"/>
          <w:szCs w:val="20"/>
          <w:color w:val="auto"/>
        </w:rPr>
      </w:pPr>
    </w:p>
    <w:p>
      <w:pPr>
        <w:ind w:left="1100" w:hanging="210"/>
        <w:spacing w:after="0"/>
        <w:tabs>
          <w:tab w:leader="none" w:pos="11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determine to whom awards may be granted;</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determine the time or times at which awards may be granted;</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determine the number of incentive units subject to an award;</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determine the purchase price of incentive units subject to an award, if any;</w:t>
      </w:r>
    </w:p>
    <w:p>
      <w:pPr>
        <w:spacing w:after="0" w:line="119" w:lineRule="exact"/>
        <w:rPr>
          <w:rFonts w:ascii="Arial" w:cs="Arial" w:eastAsia="Arial" w:hAnsi="Arial"/>
          <w:sz w:val="17"/>
          <w:szCs w:val="17"/>
          <w:color w:val="auto"/>
        </w:rPr>
      </w:pPr>
    </w:p>
    <w:p>
      <w:pPr>
        <w:ind w:left="1100" w:right="160" w:hanging="210"/>
        <w:spacing w:after="0" w:line="259" w:lineRule="auto"/>
        <w:tabs>
          <w:tab w:leader="none" w:pos="11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determine the vesting, forfeiture and other restrictions, if any, and any other terms and conditions it deems appropriate, that will apply to the award of incentive units;</w:t>
      </w:r>
    </w:p>
    <w:p>
      <w:pPr>
        <w:spacing w:after="0" w:line="89" w:lineRule="exact"/>
        <w:rPr>
          <w:rFonts w:ascii="Arial" w:cs="Arial" w:eastAsia="Arial" w:hAnsi="Arial"/>
          <w:sz w:val="17"/>
          <w:szCs w:val="17"/>
          <w:color w:val="auto"/>
        </w:rPr>
      </w:pPr>
    </w:p>
    <w:p>
      <w:pPr>
        <w:ind w:left="1100" w:hanging="210"/>
        <w:spacing w:after="0"/>
        <w:tabs>
          <w:tab w:leader="none" w:pos="11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determine the participation threshold for the incentive units granted under the Incentive Plan;</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approve forms of agreement for use under the Incentive Plan;</w:t>
      </w:r>
    </w:p>
    <w:p>
      <w:pPr>
        <w:spacing w:after="0" w:line="119" w:lineRule="exact"/>
        <w:rPr>
          <w:rFonts w:ascii="Arial" w:cs="Arial" w:eastAsia="Arial" w:hAnsi="Arial"/>
          <w:sz w:val="17"/>
          <w:szCs w:val="17"/>
          <w:color w:val="auto"/>
        </w:rPr>
      </w:pPr>
    </w:p>
    <w:p>
      <w:pPr>
        <w:ind w:left="1100" w:right="440" w:hanging="210"/>
        <w:spacing w:after="0" w:line="259" w:lineRule="auto"/>
        <w:tabs>
          <w:tab w:leader="none" w:pos="11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construe and interpret the Incentive Plan and awards granted thereunder and prescribe rules and regulations relating to the Incentive Plan; and</w:t>
      </w:r>
    </w:p>
    <w:p>
      <w:pPr>
        <w:spacing w:after="0" w:line="89" w:lineRule="exact"/>
        <w:rPr>
          <w:rFonts w:ascii="Arial" w:cs="Arial" w:eastAsia="Arial" w:hAnsi="Arial"/>
          <w:sz w:val="17"/>
          <w:szCs w:val="17"/>
          <w:color w:val="auto"/>
        </w:rPr>
      </w:pPr>
    </w:p>
    <w:p>
      <w:pPr>
        <w:ind w:left="1100" w:hanging="210"/>
        <w:spacing w:after="0"/>
        <w:tabs>
          <w:tab w:leader="none" w:pos="11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make all other determinations necessary or advisable for the administration of the Incentive Plan.</w:t>
      </w:r>
    </w:p>
    <w:p>
      <w:pPr>
        <w:spacing w:after="0" w:line="211" w:lineRule="exact"/>
        <w:rPr>
          <w:sz w:val="20"/>
          <w:szCs w:val="20"/>
          <w:color w:val="auto"/>
        </w:rPr>
      </w:pPr>
    </w:p>
    <w:p>
      <w:pPr>
        <w:ind w:left="360" w:right="80" w:firstLine="535"/>
        <w:spacing w:after="0" w:line="247" w:lineRule="auto"/>
        <w:rPr>
          <w:sz w:val="20"/>
          <w:szCs w:val="20"/>
          <w:color w:val="auto"/>
        </w:rPr>
      </w:pPr>
      <w:r>
        <w:rPr>
          <w:rFonts w:ascii="Arial" w:cs="Arial" w:eastAsia="Arial" w:hAnsi="Arial"/>
          <w:sz w:val="17"/>
          <w:szCs w:val="17"/>
          <w:color w:val="auto"/>
        </w:rPr>
        <w:t>In the event of any change to the incentive units by reason of any split, share dividend, combination of shares, exchange of shares or other change affecting the outstanding incentive units as a class without our receipt of consideration, appropriate adjustments will be made, in the sole discretion of our board of directors to the maximum number and/or class of securities issuable under the Incentive Plan and the number and/or class of securities in effect under each outstanding award agreement.</w:t>
      </w:r>
    </w:p>
    <w:p>
      <w:pPr>
        <w:spacing w:after="0" w:line="192" w:lineRule="exact"/>
        <w:rPr>
          <w:sz w:val="20"/>
          <w:szCs w:val="20"/>
          <w:color w:val="auto"/>
        </w:rPr>
      </w:pPr>
    </w:p>
    <w:p>
      <w:pPr>
        <w:ind w:left="360" w:right="100" w:firstLine="535"/>
        <w:spacing w:after="0" w:line="259" w:lineRule="auto"/>
        <w:rPr>
          <w:sz w:val="20"/>
          <w:szCs w:val="20"/>
          <w:color w:val="auto"/>
        </w:rPr>
      </w:pPr>
      <w:r>
        <w:rPr>
          <w:rFonts w:ascii="Arial" w:cs="Arial" w:eastAsia="Arial" w:hAnsi="Arial"/>
          <w:sz w:val="17"/>
          <w:szCs w:val="17"/>
          <w:color w:val="auto"/>
        </w:rPr>
        <w:t>As of August 31, 2018, 5,350,265 incentive units had been issued and are outstanding under the Incentive Plan, and an additional 849,128 incentive units were authorized for future issuance under</w:t>
      </w:r>
    </w:p>
    <w:p>
      <w:pPr>
        <w:spacing w:after="0" w:line="11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160</w:t>
      </w:r>
    </w:p>
    <w:p>
      <w:pPr>
        <w:sectPr>
          <w:pgSz w:w="11900" w:h="16838" w:orient="portrait"/>
          <w:cols w:equalWidth="0" w:num="1">
            <w:col w:w="11040"/>
          </w:cols>
          <w:pgMar w:left="240" w:top="450" w:right="619" w:bottom="1440" w:gutter="0" w:footer="0" w:header="0"/>
        </w:sectPr>
      </w:pPr>
    </w:p>
    <w:bookmarkStart w:id="162" w:name="page163"/>
    <w:bookmarkEnd w:id="1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20"/>
        <w:spacing w:after="0" w:line="245" w:lineRule="auto"/>
        <w:rPr>
          <w:sz w:val="20"/>
          <w:szCs w:val="20"/>
          <w:color w:val="auto"/>
        </w:rPr>
      </w:pPr>
      <w:r>
        <w:rPr>
          <w:rFonts w:ascii="Arial" w:cs="Arial" w:eastAsia="Arial" w:hAnsi="Arial"/>
          <w:sz w:val="17"/>
          <w:szCs w:val="17"/>
          <w:color w:val="auto"/>
        </w:rPr>
        <w:t>the LLC Agreement. Upon the Conversion, the Incentive Plan terminated and each participant in the Incentive Plan had his or her incentive units converted into shares of our common stock, which conversion was based on a conversion price determined by our board of directors immediately prior to the Conversion. To the extent an incentive unit award was subject to vesting, the common stock issued upon conversion continues to be subject to the same vesting schedule. As of the consummation of the offering, there will be 3,063,276 shares of common stock outstanding in respect of awards under the Incentive Plan that have converted into common stock based on the determined fair value of $16.00 per common unit.</w:t>
      </w:r>
    </w:p>
    <w:p>
      <w:pPr>
        <w:spacing w:after="0" w:line="275"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2018 Stock Incentive Plan</w:t>
      </w:r>
    </w:p>
    <w:p>
      <w:pPr>
        <w:spacing w:after="0" w:line="233" w:lineRule="exact"/>
        <w:rPr>
          <w:sz w:val="20"/>
          <w:szCs w:val="20"/>
          <w:color w:val="auto"/>
        </w:rPr>
      </w:pPr>
    </w:p>
    <w:p>
      <w:pPr>
        <w:ind w:left="360" w:firstLine="535"/>
        <w:spacing w:after="0" w:line="242" w:lineRule="auto"/>
        <w:rPr>
          <w:sz w:val="20"/>
          <w:szCs w:val="20"/>
          <w:color w:val="auto"/>
        </w:rPr>
      </w:pPr>
      <w:r>
        <w:rPr>
          <w:rFonts w:ascii="Arial" w:cs="Arial" w:eastAsia="Arial" w:hAnsi="Arial"/>
          <w:sz w:val="17"/>
          <w:szCs w:val="17"/>
          <w:color w:val="auto"/>
        </w:rPr>
        <w:t>In September 2018, our board of directors adopted and our stockholders approved the 2018 stock incentive plan, or the 2018 Plan, which became effective immediately prior to the effectiveness of the registration statement of which this prospectus forms a part. The 2018 Plan provides for the grant of incentive stock options, nonstatutory stock options, stock appreciation rights, awards of restricted stock, restricted stock units and other stock-based awards. The number of shares of our common stock that are reserved for issuance under the 2018 Plan is the sum of (1) 4,067,007 shares of common stock; plus (2) the number of shares (up to 1,277,181) equal to the number of shares of our common stock issued in respect of incentive units granted under the Incentive Plan that are subject to vesting immediately prior to the effectiveness of the registration statement for this offering that expire, terminate or are otherwise surrendered, cancelled, forfeited or repurchased by us at their original issuance price pursuant to a contractual repurchase right; plus (3) an annual increase, to be added the first day of each fiscal year, beginning with the fiscal year ending December 31, 2019 and continuing until, and including, the fiscal year ending December 31, 2028, equal to the lowest of 4,989,593 shares of our common stock, 4% of the number of shares of our common stock outstanding on the first day of the fiscal year and an amount determined by our board of directors. Our employees, officers, directors, consultants and advisors will be eligible to receive awards under the 2018 Plan; however, incentive stock options may only be granted to our employees. The shares of common stock underlying any awards that are forfeited, cancelled, held back upon exercise or settlement of an award to satisfy the exercise price or tax withholding, reacquired by us prior to vesting, satisfied without the issuance of stock, expire or are otherwise terminated (other than by exercise) under our 2018 Plan will be added back to the shares of common stock available for issuance under our 2018 Plan.</w:t>
      </w:r>
    </w:p>
    <w:p>
      <w:pPr>
        <w:spacing w:after="0" w:line="202" w:lineRule="exact"/>
        <w:rPr>
          <w:sz w:val="20"/>
          <w:szCs w:val="20"/>
          <w:color w:val="auto"/>
        </w:rPr>
      </w:pPr>
    </w:p>
    <w:p>
      <w:pPr>
        <w:ind w:left="360" w:right="100" w:firstLine="535"/>
        <w:spacing w:after="0" w:line="259" w:lineRule="auto"/>
        <w:rPr>
          <w:sz w:val="20"/>
          <w:szCs w:val="20"/>
          <w:color w:val="auto"/>
        </w:rPr>
      </w:pPr>
      <w:r>
        <w:rPr>
          <w:rFonts w:ascii="Arial" w:cs="Arial" w:eastAsia="Arial" w:hAnsi="Arial"/>
          <w:sz w:val="17"/>
          <w:szCs w:val="17"/>
          <w:color w:val="auto"/>
        </w:rPr>
        <w:t>Pursuant to the terms of the 2018 Plan, our board of directors (or a committee delegated by our board of directors) administers the 2018 Plan and, subject to any limitations set forth in the 2018 Plan, will select the recipients of awards and determine:</w:t>
      </w:r>
    </w:p>
    <w:p>
      <w:pPr>
        <w:spacing w:after="0" w:line="89" w:lineRule="exact"/>
        <w:rPr>
          <w:sz w:val="20"/>
          <w:szCs w:val="20"/>
          <w:color w:val="auto"/>
        </w:rPr>
      </w:pPr>
    </w:p>
    <w:p>
      <w:pPr>
        <w:ind w:left="1100" w:hanging="210"/>
        <w:spacing w:after="0"/>
        <w:tabs>
          <w:tab w:leader="none" w:pos="11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number of shares of common stock covered by options and the dates upon which those options become exercisable;</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type of options to be granted;</w:t>
      </w:r>
    </w:p>
    <w:p>
      <w:pPr>
        <w:spacing w:after="0" w:line="119" w:lineRule="exact"/>
        <w:rPr>
          <w:rFonts w:ascii="Arial" w:cs="Arial" w:eastAsia="Arial" w:hAnsi="Arial"/>
          <w:sz w:val="17"/>
          <w:szCs w:val="17"/>
          <w:color w:val="auto"/>
        </w:rPr>
      </w:pPr>
    </w:p>
    <w:p>
      <w:pPr>
        <w:ind w:left="1100" w:right="440" w:hanging="210"/>
        <w:spacing w:after="0" w:line="259" w:lineRule="auto"/>
        <w:tabs>
          <w:tab w:leader="none" w:pos="11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exercise price of options, which price must be at least equal to the fair market value of our common stock on the date of grant;</w:t>
      </w:r>
    </w:p>
    <w:p>
      <w:pPr>
        <w:spacing w:after="0" w:line="89" w:lineRule="exact"/>
        <w:rPr>
          <w:rFonts w:ascii="Arial" w:cs="Arial" w:eastAsia="Arial" w:hAnsi="Arial"/>
          <w:sz w:val="17"/>
          <w:szCs w:val="17"/>
          <w:color w:val="auto"/>
        </w:rPr>
      </w:pPr>
    </w:p>
    <w:p>
      <w:pPr>
        <w:ind w:left="1100" w:hanging="210"/>
        <w:spacing w:after="0"/>
        <w:tabs>
          <w:tab w:leader="none" w:pos="11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duration of options, which may not be in excess of ten years;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methods of payment of the exercise price of options; and</w:t>
      </w:r>
    </w:p>
    <w:p>
      <w:pPr>
        <w:spacing w:after="0" w:line="119" w:lineRule="exact"/>
        <w:rPr>
          <w:rFonts w:ascii="Arial" w:cs="Arial" w:eastAsia="Arial" w:hAnsi="Arial"/>
          <w:sz w:val="17"/>
          <w:szCs w:val="17"/>
          <w:color w:val="auto"/>
        </w:rPr>
      </w:pPr>
    </w:p>
    <w:p>
      <w:pPr>
        <w:ind w:left="1100" w:right="100" w:hanging="210"/>
        <w:spacing w:after="0" w:line="245" w:lineRule="auto"/>
        <w:tabs>
          <w:tab w:leader="none" w:pos="11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number of shares of our common stock subject to and the terms and conditions of any stock appreciation rights, awards of restricted stock, restricted stock units, other stock-based awards, including conditions for repurchase, measurement price, issue price and repurchase price and performance conditions (though the measurement price of stock appreciation rights must be at least equal to the fair market value of our common stock on the date of grant and the duration of such awards may not be in excess of ten years), if any.</w:t>
      </w:r>
    </w:p>
    <w:p>
      <w:pPr>
        <w:spacing w:after="0" w:line="13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161</w:t>
      </w:r>
    </w:p>
    <w:p>
      <w:pPr>
        <w:sectPr>
          <w:pgSz w:w="11900" w:h="16838" w:orient="portrait"/>
          <w:cols w:equalWidth="0" w:num="1">
            <w:col w:w="11060"/>
          </w:cols>
          <w:pgMar w:left="240" w:top="450" w:right="599" w:bottom="1440" w:gutter="0" w:footer="0" w:header="0"/>
        </w:sectPr>
      </w:pPr>
    </w:p>
    <w:bookmarkStart w:id="163" w:name="page164"/>
    <w:bookmarkEnd w:id="1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140" w:firstLine="535"/>
        <w:spacing w:after="0" w:line="247" w:lineRule="auto"/>
        <w:rPr>
          <w:sz w:val="20"/>
          <w:szCs w:val="20"/>
          <w:color w:val="auto"/>
        </w:rPr>
      </w:pPr>
      <w:r>
        <w:rPr>
          <w:rFonts w:ascii="Arial" w:cs="Arial" w:eastAsia="Arial" w:hAnsi="Arial"/>
          <w:sz w:val="17"/>
          <w:szCs w:val="17"/>
          <w:color w:val="auto"/>
        </w:rPr>
        <w:t>If our board of directors delegates authority to an officer to grant awards under the 2018 Plan, the officer will have the power to make awards to all of our employees, except officers and executive officers (as such terms are defined in the 2018 Plan). Our board of directors will fix the terms of the awards to be granted by such officer, the maximum number of shares subject to awards that such officer may grant and the time period in which such awards may be granted.</w:t>
      </w:r>
    </w:p>
    <w:p>
      <w:pPr>
        <w:spacing w:after="0" w:line="192" w:lineRule="exact"/>
        <w:rPr>
          <w:sz w:val="20"/>
          <w:szCs w:val="20"/>
          <w:color w:val="auto"/>
        </w:rPr>
      </w:pPr>
    </w:p>
    <w:p>
      <w:pPr>
        <w:ind w:left="360" w:right="160" w:firstLine="535"/>
        <w:spacing w:after="0" w:line="245" w:lineRule="auto"/>
        <w:rPr>
          <w:sz w:val="20"/>
          <w:szCs w:val="20"/>
          <w:color w:val="auto"/>
        </w:rPr>
      </w:pPr>
      <w:r>
        <w:rPr>
          <w:rFonts w:ascii="Arial" w:cs="Arial" w:eastAsia="Arial" w:hAnsi="Arial"/>
          <w:sz w:val="17"/>
          <w:szCs w:val="17"/>
          <w:color w:val="auto"/>
        </w:rPr>
        <w:t>The 2018 Plan contains limits on awards that may be made under the 2018 Plan to our non-employee directors. In any calendar year, the sum of cash compensation paid to any non-employee director for service as a director and the value of awards under the 2018 Plan made to such non-employee director (calculated based on the grant date fair value of such awards for financial reporting purposes) may not exceed $1.0 million. However, our board of directors may make exceptions to this limit for individual non-employee directors in extraordinary circumstances, provided that the non-employee director receiving such additional compensation may not participate in the decision to award such compensation.</w:t>
      </w:r>
    </w:p>
    <w:p>
      <w:pPr>
        <w:spacing w:after="0" w:line="192" w:lineRule="exact"/>
        <w:rPr>
          <w:sz w:val="20"/>
          <w:szCs w:val="20"/>
          <w:color w:val="auto"/>
        </w:rPr>
      </w:pPr>
    </w:p>
    <w:p>
      <w:pPr>
        <w:ind w:left="360" w:right="60" w:firstLine="535"/>
        <w:spacing w:after="0" w:line="247" w:lineRule="auto"/>
        <w:rPr>
          <w:sz w:val="20"/>
          <w:szCs w:val="20"/>
          <w:color w:val="auto"/>
        </w:rPr>
      </w:pPr>
      <w:r>
        <w:rPr>
          <w:rFonts w:ascii="Arial" w:cs="Arial" w:eastAsia="Arial" w:hAnsi="Arial"/>
          <w:sz w:val="17"/>
          <w:szCs w:val="17"/>
          <w:color w:val="auto"/>
        </w:rPr>
        <w:t>In the event of any stock split, reverse stock split, stock dividend, recapitalization, combination of shares, reclassification of shares, spin-off or other similar change in capitalization or event, or any dividend or distribution to holders of our common stock other than an ordinary cash dividend, we are required by the 2018 Plan to make equitable adjustments (or make substitute awards, if applicable), in a manner determined by our board, to:</w:t>
      </w:r>
    </w:p>
    <w:p>
      <w:pPr>
        <w:spacing w:after="0" w:line="100" w:lineRule="exact"/>
        <w:rPr>
          <w:sz w:val="20"/>
          <w:szCs w:val="20"/>
          <w:color w:val="auto"/>
        </w:rPr>
      </w:pPr>
    </w:p>
    <w:p>
      <w:pPr>
        <w:ind w:left="1100" w:hanging="210"/>
        <w:spacing w:after="0"/>
        <w:tabs>
          <w:tab w:leader="none" w:pos="11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number and class of securities available under the 2018 Plan;</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share counting rules and sublimits under the 2018 Plan;</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number and class of securities and exercise price per share of each outstanding option;</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share and per-share provisions and measurement price of each outstanding stock appreciation right;</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number of shares and the repurchase price per share subject to each outstanding restricted stock award; and</w:t>
      </w:r>
    </w:p>
    <w:p>
      <w:pPr>
        <w:spacing w:after="0" w:line="119" w:lineRule="exact"/>
        <w:rPr>
          <w:rFonts w:ascii="Arial" w:cs="Arial" w:eastAsia="Arial" w:hAnsi="Arial"/>
          <w:sz w:val="17"/>
          <w:szCs w:val="17"/>
          <w:color w:val="auto"/>
        </w:rPr>
      </w:pPr>
    </w:p>
    <w:p>
      <w:pPr>
        <w:ind w:left="1100" w:right="140" w:hanging="210"/>
        <w:spacing w:after="0" w:line="259" w:lineRule="auto"/>
        <w:tabs>
          <w:tab w:leader="none" w:pos="11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share and per-share related provisions and purchase price, if any, of each outstanding restricted stock unit award and other stock-based award.</w:t>
      </w:r>
    </w:p>
    <w:p>
      <w:pPr>
        <w:spacing w:after="0" w:line="181" w:lineRule="exact"/>
        <w:rPr>
          <w:sz w:val="20"/>
          <w:szCs w:val="20"/>
          <w:color w:val="auto"/>
        </w:rPr>
      </w:pPr>
    </w:p>
    <w:p>
      <w:pPr>
        <w:ind w:left="360" w:firstLine="535"/>
        <w:spacing w:after="0" w:line="247" w:lineRule="auto"/>
        <w:rPr>
          <w:sz w:val="20"/>
          <w:szCs w:val="20"/>
          <w:color w:val="auto"/>
        </w:rPr>
      </w:pPr>
      <w:r>
        <w:rPr>
          <w:rFonts w:ascii="Arial" w:cs="Arial" w:eastAsia="Arial" w:hAnsi="Arial"/>
          <w:sz w:val="17"/>
          <w:szCs w:val="17"/>
          <w:color w:val="auto"/>
        </w:rPr>
        <w:t>Upon a merger or other reorganization event (as defined in our 2018 Plan), our board of directors, may, on such terms as our board determines (except to the extent specifically provided otherwise in an applicable award agreement or other agreement between the participant and us), take any one or more of the following actions pursuant to the 2018 Plan, as to some or all outstanding awards, other than awards of restricted stock:</w:t>
      </w:r>
    </w:p>
    <w:p>
      <w:pPr>
        <w:spacing w:after="0" w:line="100" w:lineRule="exact"/>
        <w:rPr>
          <w:sz w:val="20"/>
          <w:szCs w:val="20"/>
          <w:color w:val="auto"/>
        </w:rPr>
      </w:pPr>
    </w:p>
    <w:p>
      <w:pPr>
        <w:ind w:left="1100" w:right="360" w:hanging="210"/>
        <w:spacing w:after="0" w:line="259" w:lineRule="auto"/>
        <w:tabs>
          <w:tab w:leader="none" w:pos="11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provide that all outstanding awards will be assumed or substantially equivalent awards will be substituted by the acquiring or succeeding corporation (or an affiliate thereof);</w:t>
      </w:r>
    </w:p>
    <w:p>
      <w:pPr>
        <w:spacing w:after="0" w:line="89" w:lineRule="exact"/>
        <w:rPr>
          <w:rFonts w:ascii="Arial" w:cs="Arial" w:eastAsia="Arial" w:hAnsi="Arial"/>
          <w:sz w:val="17"/>
          <w:szCs w:val="17"/>
          <w:color w:val="auto"/>
        </w:rPr>
      </w:pPr>
    </w:p>
    <w:p>
      <w:pPr>
        <w:ind w:left="1100" w:right="20" w:hanging="210"/>
        <w:spacing w:after="0" w:line="248" w:lineRule="auto"/>
        <w:tabs>
          <w:tab w:leader="none" w:pos="11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upon written notice to a participant, provide that all of the participant’s unvested awards will be forfeited immediately prior to the consummation of the reorganization event and/or unexercised awards will terminate immediately prior to the consummation of such transaction unless exercised to the extent exercisable, by the participant within a specified period following the date of such notice;</w:t>
      </w:r>
    </w:p>
    <w:p>
      <w:pPr>
        <w:spacing w:after="0" w:line="298" w:lineRule="exact"/>
        <w:rPr>
          <w:rFonts w:ascii="Arial" w:cs="Arial" w:eastAsia="Arial" w:hAnsi="Arial"/>
          <w:sz w:val="17"/>
          <w:szCs w:val="17"/>
          <w:color w:val="auto"/>
        </w:rPr>
      </w:pPr>
    </w:p>
    <w:p>
      <w:pPr>
        <w:ind w:left="1100" w:right="400" w:hanging="210"/>
        <w:spacing w:after="0" w:line="259" w:lineRule="auto"/>
        <w:tabs>
          <w:tab w:leader="none" w:pos="11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provide that outstanding awards will become exercisable, realizable or deliverable, or restrictions applicable to an award will lapse, in whole or in part, prior to or upon the reorganization event;</w:t>
      </w:r>
    </w:p>
    <w:p>
      <w:pPr>
        <w:spacing w:after="0" w:line="89" w:lineRule="exact"/>
        <w:rPr>
          <w:rFonts w:ascii="Arial" w:cs="Arial" w:eastAsia="Arial" w:hAnsi="Arial"/>
          <w:sz w:val="17"/>
          <w:szCs w:val="17"/>
          <w:color w:val="auto"/>
        </w:rPr>
      </w:pPr>
    </w:p>
    <w:p>
      <w:pPr>
        <w:ind w:left="1100" w:hanging="210"/>
        <w:spacing w:after="0" w:line="259" w:lineRule="auto"/>
        <w:tabs>
          <w:tab w:leader="none" w:pos="11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in the event of a reorganization event pursuant to which holders of our common stock will receive a cash payment for each share surrendered in the reorganization event, make or</w:t>
      </w:r>
    </w:p>
    <w:p>
      <w:pPr>
        <w:spacing w:after="0" w:line="116"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162</w:t>
      </w:r>
    </w:p>
    <w:p>
      <w:pPr>
        <w:sectPr>
          <w:pgSz w:w="11900" w:h="16838" w:orient="portrait"/>
          <w:cols w:equalWidth="0" w:num="1">
            <w:col w:w="11040"/>
          </w:cols>
          <w:pgMar w:left="240" w:top="450" w:right="619" w:bottom="1440" w:gutter="0" w:footer="0" w:header="0"/>
        </w:sectPr>
      </w:pPr>
    </w:p>
    <w:bookmarkStart w:id="164" w:name="page165"/>
    <w:bookmarkEnd w:id="1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1120" w:right="40"/>
        <w:spacing w:after="0" w:line="245" w:lineRule="auto"/>
        <w:rPr>
          <w:sz w:val="20"/>
          <w:szCs w:val="20"/>
          <w:color w:val="auto"/>
        </w:rPr>
      </w:pPr>
      <w:r>
        <w:rPr>
          <w:rFonts w:ascii="Arial" w:cs="Arial" w:eastAsia="Arial" w:hAnsi="Arial"/>
          <w:sz w:val="17"/>
          <w:szCs w:val="17"/>
          <w:color w:val="auto"/>
        </w:rPr>
        <w:t>provide for a cash payment to the participants with respect to each award held by a participant equal to (1) the number of shares of our common stock subject to the vested portion of the award (after giving effect to any acceleration of vesting that occurs upon or immediately prior to such reorganization event) multiplied by (2) the excess, if any, of the cash payment for each share surrendered in the reorganization event over the exercise, measurement or purchase price of such award and any applicable tax withholdings, in exchange for the termination of such award;</w:t>
      </w:r>
    </w:p>
    <w:p>
      <w:pPr>
        <w:spacing w:after="0" w:line="103" w:lineRule="exact"/>
        <w:rPr>
          <w:sz w:val="20"/>
          <w:szCs w:val="20"/>
          <w:color w:val="auto"/>
        </w:rPr>
      </w:pPr>
    </w:p>
    <w:p>
      <w:pPr>
        <w:ind w:left="1100" w:right="460" w:hanging="210"/>
        <w:spacing w:after="0" w:line="259" w:lineRule="auto"/>
        <w:tabs>
          <w:tab w:leader="none" w:pos="11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provide that, in connection with our liquidation or dissolution, awards convert into the right to receive liquidation proceeds (if applicable, net of exercise, measurement or purchase price thereof and any applicable tax withholdings); or</w:t>
      </w:r>
    </w:p>
    <w:p>
      <w:pPr>
        <w:spacing w:after="0" w:line="89" w:lineRule="exact"/>
        <w:rPr>
          <w:rFonts w:ascii="Arial" w:cs="Arial" w:eastAsia="Arial" w:hAnsi="Arial"/>
          <w:sz w:val="17"/>
          <w:szCs w:val="17"/>
          <w:color w:val="auto"/>
        </w:rPr>
      </w:pPr>
    </w:p>
    <w:p>
      <w:pPr>
        <w:ind w:left="1100" w:hanging="210"/>
        <w:spacing w:after="0"/>
        <w:tabs>
          <w:tab w:leader="none" w:pos="11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any combination of the foregoing.</w:t>
      </w:r>
    </w:p>
    <w:p>
      <w:pPr>
        <w:spacing w:after="0" w:line="211" w:lineRule="exact"/>
        <w:rPr>
          <w:sz w:val="20"/>
          <w:szCs w:val="20"/>
          <w:color w:val="auto"/>
        </w:rPr>
      </w:pPr>
    </w:p>
    <w:p>
      <w:pPr>
        <w:ind w:left="360" w:right="380" w:firstLine="535"/>
        <w:spacing w:after="0" w:line="259" w:lineRule="auto"/>
        <w:rPr>
          <w:sz w:val="20"/>
          <w:szCs w:val="20"/>
          <w:color w:val="auto"/>
        </w:rPr>
      </w:pPr>
      <w:r>
        <w:rPr>
          <w:rFonts w:ascii="Arial" w:cs="Arial" w:eastAsia="Arial" w:hAnsi="Arial"/>
          <w:sz w:val="17"/>
          <w:szCs w:val="17"/>
          <w:color w:val="auto"/>
        </w:rPr>
        <w:t>Our board of directors is not obligated by the 2018 Plan to treat all awards, all awards held by a participant, or all awards of the same type, identically.</w:t>
      </w:r>
    </w:p>
    <w:p>
      <w:pPr>
        <w:spacing w:after="0" w:line="181" w:lineRule="exact"/>
        <w:rPr>
          <w:sz w:val="20"/>
          <w:szCs w:val="20"/>
          <w:color w:val="auto"/>
        </w:rPr>
      </w:pPr>
    </w:p>
    <w:p>
      <w:pPr>
        <w:ind w:left="360" w:right="100" w:firstLine="535"/>
        <w:spacing w:after="0" w:line="259" w:lineRule="auto"/>
        <w:rPr>
          <w:sz w:val="20"/>
          <w:szCs w:val="20"/>
          <w:color w:val="auto"/>
        </w:rPr>
      </w:pPr>
      <w:r>
        <w:rPr>
          <w:rFonts w:ascii="Arial" w:cs="Arial" w:eastAsia="Arial" w:hAnsi="Arial"/>
          <w:sz w:val="17"/>
          <w:szCs w:val="17"/>
          <w:color w:val="auto"/>
        </w:rPr>
        <w:t>In the case of certain restricted stock units, no assumption or substitution is permitted, and the restricted stock units will instead be settled in accordance with the terms of the applicable restricted stock unit agreement.</w:t>
      </w:r>
    </w:p>
    <w:p>
      <w:pPr>
        <w:spacing w:after="0" w:line="181" w:lineRule="exact"/>
        <w:rPr>
          <w:sz w:val="20"/>
          <w:szCs w:val="20"/>
          <w:color w:val="auto"/>
        </w:rPr>
      </w:pPr>
    </w:p>
    <w:p>
      <w:pPr>
        <w:ind w:left="360" w:firstLine="535"/>
        <w:spacing w:after="0" w:line="244" w:lineRule="auto"/>
        <w:rPr>
          <w:sz w:val="20"/>
          <w:szCs w:val="20"/>
          <w:color w:val="auto"/>
        </w:rPr>
      </w:pPr>
      <w:r>
        <w:rPr>
          <w:rFonts w:ascii="Arial" w:cs="Arial" w:eastAsia="Arial" w:hAnsi="Arial"/>
          <w:sz w:val="17"/>
          <w:szCs w:val="17"/>
          <w:color w:val="auto"/>
        </w:rPr>
        <w:t>Upon the occurrence of a reorganization event other than our liquidation or dissolution, the repurchase and other rights with respect to each outstanding award of restricted stock will continue for the benefit of the successor company and will, unless our board of directors determines otherwise, apply to the cash, securities or other property which our common stock is converted into or exchanged for pursuant to the reorganization event. However, our board may provide for the termination or deemed satisfaction of such repurchase or other rights under the restricted stock award agreement or any other agreement between the participant and us, either initially or by amendment. Upon the occurrence of a reorganization event involving our liquidation or dissolution, all restrictions and conditions on each outstanding restricted stock award will automatically be deemed terminated or satisfied, unless otherwise provided in the agreement evidencing the restricted stock award or in any other agreement between the participant and us.</w:t>
      </w:r>
    </w:p>
    <w:p>
      <w:pPr>
        <w:spacing w:after="0" w:line="193" w:lineRule="exact"/>
        <w:rPr>
          <w:sz w:val="20"/>
          <w:szCs w:val="20"/>
          <w:color w:val="auto"/>
        </w:rPr>
      </w:pPr>
    </w:p>
    <w:p>
      <w:pPr>
        <w:ind w:left="360" w:right="60" w:firstLine="535"/>
        <w:spacing w:after="0" w:line="259" w:lineRule="auto"/>
        <w:rPr>
          <w:sz w:val="20"/>
          <w:szCs w:val="20"/>
          <w:color w:val="auto"/>
        </w:rPr>
      </w:pPr>
      <w:r>
        <w:rPr>
          <w:rFonts w:ascii="Arial" w:cs="Arial" w:eastAsia="Arial" w:hAnsi="Arial"/>
          <w:sz w:val="17"/>
          <w:szCs w:val="17"/>
          <w:color w:val="auto"/>
        </w:rPr>
        <w:t>Our board of directors may at any time provide that any award under the 2018 Plan shall become immediately exercisable in whole or in part, free of some or all restrictions or conditions, or otherwise realizable in whole or in part, as the case may be.</w:t>
      </w:r>
    </w:p>
    <w:p>
      <w:pPr>
        <w:spacing w:after="0" w:line="181" w:lineRule="exact"/>
        <w:rPr>
          <w:sz w:val="20"/>
          <w:szCs w:val="20"/>
          <w:color w:val="auto"/>
        </w:rPr>
      </w:pPr>
    </w:p>
    <w:p>
      <w:pPr>
        <w:ind w:left="360" w:right="20" w:firstLine="535"/>
        <w:spacing w:after="0" w:line="259" w:lineRule="auto"/>
        <w:rPr>
          <w:sz w:val="20"/>
          <w:szCs w:val="20"/>
          <w:color w:val="auto"/>
        </w:rPr>
      </w:pPr>
      <w:r>
        <w:rPr>
          <w:rFonts w:ascii="Arial" w:cs="Arial" w:eastAsia="Arial" w:hAnsi="Arial"/>
          <w:sz w:val="17"/>
          <w:szCs w:val="17"/>
          <w:color w:val="auto"/>
        </w:rPr>
        <w:t>Unless our stockholders approve such action, the 2018 Plan provides that we may not (except as otherwise permitted in connection with a change in capitalization or reorganization event):</w:t>
      </w:r>
    </w:p>
    <w:p>
      <w:pPr>
        <w:spacing w:after="0" w:line="89" w:lineRule="exact"/>
        <w:rPr>
          <w:sz w:val="20"/>
          <w:szCs w:val="20"/>
          <w:color w:val="auto"/>
        </w:rPr>
      </w:pPr>
    </w:p>
    <w:p>
      <w:pPr>
        <w:ind w:left="1100" w:right="220" w:hanging="210"/>
        <w:spacing w:after="0" w:line="250" w:lineRule="auto"/>
        <w:tabs>
          <w:tab w:leader="none" w:pos="11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amend any outstanding stock option or stock appreciation right granted under the 2018 Plan to provide an exercise or measurement price per share that is lower than the then-current exercise or measurement price per share of such outstanding award;</w:t>
      </w:r>
    </w:p>
    <w:p>
      <w:pPr>
        <w:spacing w:after="0" w:line="97" w:lineRule="exact"/>
        <w:rPr>
          <w:rFonts w:ascii="Arial" w:cs="Arial" w:eastAsia="Arial" w:hAnsi="Arial"/>
          <w:sz w:val="17"/>
          <w:szCs w:val="17"/>
          <w:color w:val="auto"/>
        </w:rPr>
      </w:pPr>
    </w:p>
    <w:p>
      <w:pPr>
        <w:ind w:left="1100" w:right="160" w:hanging="210"/>
        <w:spacing w:after="0" w:line="245" w:lineRule="auto"/>
        <w:tabs>
          <w:tab w:leader="none" w:pos="11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cancel any outstanding option or stock appreciation right (whether or not granted under the 2018 Plan) and grant a new award under the 2018 Plan in substitution for the cancelled award (other than substitute awards permitted in connection with a merger or consolidation of an entity with us or our acquisition of property or stock of another entity) covering the same or a different number of shares of our common stock and having an exercise or measurement price per share lower than the then-current exercise or measurement price per share of the cancelled award;</w:t>
      </w:r>
    </w:p>
    <w:p>
      <w:pPr>
        <w:spacing w:after="0" w:line="103" w:lineRule="exact"/>
        <w:rPr>
          <w:rFonts w:ascii="Arial" w:cs="Arial" w:eastAsia="Arial" w:hAnsi="Arial"/>
          <w:sz w:val="17"/>
          <w:szCs w:val="17"/>
          <w:color w:val="auto"/>
        </w:rPr>
      </w:pPr>
    </w:p>
    <w:p>
      <w:pPr>
        <w:ind w:left="1100" w:right="20" w:hanging="210"/>
        <w:spacing w:after="0" w:line="250" w:lineRule="auto"/>
        <w:tabs>
          <w:tab w:leader="none" w:pos="11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cancel in exchange for a cash payment any outstanding option or stock appreciation right with an exercise or measurement price per share above the then-current fair market value of our common stock (valued in the manner determined by (or in the manner approved by) our board of directors); or</w:t>
      </w:r>
    </w:p>
    <w:p>
      <w:pPr>
        <w:spacing w:after="0" w:line="12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163</w:t>
      </w:r>
    </w:p>
    <w:p>
      <w:pPr>
        <w:sectPr>
          <w:pgSz w:w="11900" w:h="16838" w:orient="portrait"/>
          <w:cols w:equalWidth="0" w:num="1">
            <w:col w:w="11060"/>
          </w:cols>
          <w:pgMar w:left="240" w:top="450" w:right="599" w:bottom="1440" w:gutter="0" w:footer="0" w:header="0"/>
        </w:sectPr>
      </w:pPr>
    </w:p>
    <w:bookmarkStart w:id="165" w:name="page166"/>
    <w:bookmarkEnd w:id="1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1100" w:right="80" w:hanging="210"/>
        <w:spacing w:after="0" w:line="259" w:lineRule="auto"/>
        <w:tabs>
          <w:tab w:leader="none" w:pos="11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take any other action that constitutes a “repricing” within the meaning of Nasdaq Global Select Market rules or rules of any other exchange or marketplace on which our common stock is listed or traded.</w:t>
      </w:r>
    </w:p>
    <w:p>
      <w:pPr>
        <w:spacing w:after="0" w:line="181" w:lineRule="exact"/>
        <w:rPr>
          <w:sz w:val="20"/>
          <w:szCs w:val="20"/>
          <w:color w:val="auto"/>
        </w:rPr>
      </w:pPr>
    </w:p>
    <w:p>
      <w:pPr>
        <w:jc w:val="both"/>
        <w:ind w:left="360" w:right="40" w:firstLine="535"/>
        <w:spacing w:after="0" w:line="250" w:lineRule="auto"/>
        <w:rPr>
          <w:sz w:val="20"/>
          <w:szCs w:val="20"/>
          <w:color w:val="auto"/>
        </w:rPr>
      </w:pPr>
      <w:r>
        <w:rPr>
          <w:rFonts w:ascii="Arial" w:cs="Arial" w:eastAsia="Arial" w:hAnsi="Arial"/>
          <w:sz w:val="17"/>
          <w:szCs w:val="17"/>
          <w:color w:val="auto"/>
        </w:rPr>
        <w:t>No award may be granted under the 2018 Plan after ten years from the effectiveness of the 2018 Plan. Our board of directors may amend, suspend or terminate the 2018 Plan at any time, except that stockholder approval will be required to comply with applicable law or stock market requirements.</w:t>
      </w:r>
    </w:p>
    <w:p>
      <w:pPr>
        <w:spacing w:after="0" w:line="272"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2018 Employee Stock Purchase Plan</w:t>
      </w:r>
    </w:p>
    <w:p>
      <w:pPr>
        <w:spacing w:after="0" w:line="233" w:lineRule="exact"/>
        <w:rPr>
          <w:sz w:val="20"/>
          <w:szCs w:val="20"/>
          <w:color w:val="auto"/>
        </w:rPr>
      </w:pPr>
    </w:p>
    <w:p>
      <w:pPr>
        <w:ind w:left="360" w:firstLine="535"/>
        <w:spacing w:after="0" w:line="244" w:lineRule="auto"/>
        <w:rPr>
          <w:sz w:val="20"/>
          <w:szCs w:val="20"/>
          <w:color w:val="auto"/>
        </w:rPr>
      </w:pPr>
      <w:r>
        <w:rPr>
          <w:rFonts w:ascii="Arial" w:cs="Arial" w:eastAsia="Arial" w:hAnsi="Arial"/>
          <w:sz w:val="17"/>
          <w:szCs w:val="17"/>
          <w:color w:val="auto"/>
        </w:rPr>
        <w:t>In September 2018, our board of directors adopted and our stockholders approved the 2018 employee stock purchase plan, or the 2018 ESPP, which became effective immediately prior to the effectiveness of the registration statement for this offering. The 2018 ESPP will be administered by our board of directors or by a committee appointed by our board of directors. The 2018 ESPP initially will provide participating employees with the opportunity to purchase an aggregate of 311,850 shares of our common stock. The number of shares of our common stock reserved for issuance under the 2018 ESPP will automatically increase on the first day of each fiscal year, beginning on January 1, 2019 and ending on January 1, 2029, in an amount equal to the lowest of: (1) 1,247,398 shares of our common stock; (2) 1% of the total number of shares of our common stock outstanding on the first day of the applicable fiscal year; and (3) an amount determined by our board of directors.</w:t>
      </w:r>
    </w:p>
    <w:p>
      <w:pPr>
        <w:spacing w:after="0" w:line="193" w:lineRule="exact"/>
        <w:rPr>
          <w:sz w:val="20"/>
          <w:szCs w:val="20"/>
          <w:color w:val="auto"/>
        </w:rPr>
      </w:pPr>
    </w:p>
    <w:p>
      <w:pPr>
        <w:ind w:left="360" w:right="140" w:firstLine="535"/>
        <w:spacing w:after="0" w:line="259" w:lineRule="auto"/>
        <w:rPr>
          <w:sz w:val="20"/>
          <w:szCs w:val="20"/>
          <w:color w:val="auto"/>
        </w:rPr>
      </w:pPr>
      <w:r>
        <w:rPr>
          <w:rFonts w:ascii="Arial" w:cs="Arial" w:eastAsia="Arial" w:hAnsi="Arial"/>
          <w:sz w:val="17"/>
          <w:szCs w:val="17"/>
          <w:color w:val="auto"/>
        </w:rPr>
        <w:t>All of our employees and employees of any of our designated subsidiaries, as defined in the 2018 ESPP, are eligible to participate in the 2018 ESPP, provided that:</w:t>
      </w:r>
    </w:p>
    <w:p>
      <w:pPr>
        <w:spacing w:after="0" w:line="89" w:lineRule="exact"/>
        <w:rPr>
          <w:sz w:val="20"/>
          <w:szCs w:val="20"/>
          <w:color w:val="auto"/>
        </w:rPr>
      </w:pPr>
    </w:p>
    <w:p>
      <w:pPr>
        <w:ind w:left="1100" w:right="380" w:hanging="210"/>
        <w:spacing w:after="0" w:line="259" w:lineRule="auto"/>
        <w:tabs>
          <w:tab w:leader="none" w:pos="11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such person is customarily employed by us or a designated subsidiary for more than 20 hours a week and for more than five months in a calendar year;</w:t>
      </w:r>
    </w:p>
    <w:p>
      <w:pPr>
        <w:spacing w:after="0" w:line="89" w:lineRule="exact"/>
        <w:rPr>
          <w:rFonts w:ascii="Arial" w:cs="Arial" w:eastAsia="Arial" w:hAnsi="Arial"/>
          <w:sz w:val="17"/>
          <w:szCs w:val="17"/>
          <w:color w:val="auto"/>
        </w:rPr>
      </w:pPr>
    </w:p>
    <w:p>
      <w:pPr>
        <w:ind w:left="1100" w:right="500" w:hanging="210"/>
        <w:spacing w:after="0" w:line="259" w:lineRule="auto"/>
        <w:tabs>
          <w:tab w:leader="none" w:pos="11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such person has been employed by us or by a designated subsidiary for at least three months prior to enrolling in the 2018 ESPP; and</w:t>
      </w:r>
    </w:p>
    <w:p>
      <w:pPr>
        <w:spacing w:after="0" w:line="89" w:lineRule="exact"/>
        <w:rPr>
          <w:rFonts w:ascii="Arial" w:cs="Arial" w:eastAsia="Arial" w:hAnsi="Arial"/>
          <w:sz w:val="17"/>
          <w:szCs w:val="17"/>
          <w:color w:val="auto"/>
        </w:rPr>
      </w:pPr>
    </w:p>
    <w:p>
      <w:pPr>
        <w:ind w:left="1100" w:right="40" w:hanging="210"/>
        <w:spacing w:after="0" w:line="259" w:lineRule="auto"/>
        <w:tabs>
          <w:tab w:leader="none" w:pos="11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such person was our employee or an employee of a designated subsidiary on the first day of the applicable offering period under the 2018 ESPP.</w:t>
      </w:r>
    </w:p>
    <w:p>
      <w:pPr>
        <w:spacing w:after="0" w:line="18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We retain the discretion to determine which eligible employees may participate in an offering under applicable Treasury regulations.</w:t>
      </w:r>
    </w:p>
    <w:p>
      <w:pPr>
        <w:spacing w:after="0" w:line="211" w:lineRule="exact"/>
        <w:rPr>
          <w:sz w:val="20"/>
          <w:szCs w:val="20"/>
          <w:color w:val="auto"/>
        </w:rPr>
      </w:pPr>
    </w:p>
    <w:p>
      <w:pPr>
        <w:ind w:left="360" w:right="20" w:firstLine="535"/>
        <w:spacing w:after="0" w:line="245" w:lineRule="auto"/>
        <w:rPr>
          <w:sz w:val="20"/>
          <w:szCs w:val="20"/>
          <w:color w:val="auto"/>
        </w:rPr>
      </w:pPr>
      <w:r>
        <w:rPr>
          <w:rFonts w:ascii="Arial" w:cs="Arial" w:eastAsia="Arial" w:hAnsi="Arial"/>
          <w:sz w:val="17"/>
          <w:szCs w:val="17"/>
          <w:color w:val="auto"/>
        </w:rPr>
        <w:t>We expect to make one or more offerings to our eligible employees to purchase stock under the 2018 ESPP beginning at such time and on such dates as our board of directors may determine, or the first business day thereafter. Each offering will consist of a six-month offering period during which payroll deductions will be made and held for the purchase of our common stock at the end of the offering period. Our board of directors or a committee appointed by our board, may, at its discretion, choose a different period of not more than 12 months for offerings.</w:t>
      </w:r>
    </w:p>
    <w:p>
      <w:pPr>
        <w:spacing w:after="0" w:line="195" w:lineRule="exact"/>
        <w:rPr>
          <w:sz w:val="20"/>
          <w:szCs w:val="20"/>
          <w:color w:val="auto"/>
        </w:rPr>
      </w:pPr>
    </w:p>
    <w:p>
      <w:pPr>
        <w:ind w:left="360" w:right="20" w:firstLine="535"/>
        <w:spacing w:after="0" w:line="244" w:lineRule="auto"/>
        <w:rPr>
          <w:sz w:val="20"/>
          <w:szCs w:val="20"/>
          <w:color w:val="auto"/>
        </w:rPr>
      </w:pPr>
      <w:r>
        <w:rPr>
          <w:rFonts w:ascii="Arial" w:cs="Arial" w:eastAsia="Arial" w:hAnsi="Arial"/>
          <w:sz w:val="17"/>
          <w:szCs w:val="17"/>
          <w:color w:val="auto"/>
        </w:rPr>
        <w:t>On each offering commencement date, each participant will be granted the right to purchase, on the last business day of the offering period, a number of shares of our common stock determined by multiplying $ 2,083 by the number of full months in the offering period and dividing that product by the closing price of our common stock on the first day of the offering period. No employee may be granted an option under the 2018 ESPP that permits the employee’s rights to purchase shares under the 2018 ESPP and any other employee stock purchase plan of ours or of any of our subsidiaries to accrue at a rate that exceeds $25,000 of the fair market value of our common stock (determined as of the first day of each offering period) for each calendar year in which the option is outstanding. (Our board or a committee appointed by our board may also set a fixed maximum number of shares that a participant in the 2018 ESPP may purchase in any offering period provided that the number may not be greater</w:t>
      </w:r>
    </w:p>
    <w:p>
      <w:pPr>
        <w:spacing w:after="0" w:line="12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164</w:t>
      </w:r>
    </w:p>
    <w:p>
      <w:pPr>
        <w:sectPr>
          <w:pgSz w:w="11900" w:h="16838" w:orient="portrait"/>
          <w:cols w:equalWidth="0" w:num="1">
            <w:col w:w="11060"/>
          </w:cols>
          <w:pgMar w:left="240" w:top="450" w:right="599" w:bottom="1440" w:gutter="0" w:footer="0" w:header="0"/>
        </w:sectPr>
      </w:pPr>
    </w:p>
    <w:bookmarkStart w:id="166" w:name="page167"/>
    <w:bookmarkEnd w:id="1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jc w:val="both"/>
        <w:ind w:left="360" w:right="40"/>
        <w:spacing w:after="0" w:line="250" w:lineRule="auto"/>
        <w:rPr>
          <w:sz w:val="20"/>
          <w:szCs w:val="20"/>
          <w:color w:val="auto"/>
        </w:rPr>
      </w:pPr>
      <w:r>
        <w:rPr>
          <w:rFonts w:ascii="Arial" w:cs="Arial" w:eastAsia="Arial" w:hAnsi="Arial"/>
          <w:sz w:val="17"/>
          <w:szCs w:val="17"/>
          <w:color w:val="auto"/>
        </w:rPr>
        <w:t>than the number described in the first sentence of this paragraph and must be subject to the limit described in the second sentence of this paragraph). In addition, no employee may purchase shares of our common stock under the 2018 ESPP that would result in the employee owning 5% or more of the total combined voting power or value of our stock or the stock of any of our subsidiaries.</w:t>
      </w:r>
    </w:p>
    <w:p>
      <w:pPr>
        <w:spacing w:after="0" w:line="189" w:lineRule="exact"/>
        <w:rPr>
          <w:sz w:val="20"/>
          <w:szCs w:val="20"/>
          <w:color w:val="auto"/>
        </w:rPr>
      </w:pPr>
    </w:p>
    <w:p>
      <w:pPr>
        <w:ind w:left="360" w:firstLine="535"/>
        <w:spacing w:after="0" w:line="244" w:lineRule="auto"/>
        <w:rPr>
          <w:sz w:val="20"/>
          <w:szCs w:val="20"/>
          <w:color w:val="auto"/>
        </w:rPr>
      </w:pPr>
      <w:r>
        <w:rPr>
          <w:rFonts w:ascii="Arial" w:cs="Arial" w:eastAsia="Arial" w:hAnsi="Arial"/>
          <w:sz w:val="17"/>
          <w:szCs w:val="17"/>
          <w:color w:val="auto"/>
        </w:rPr>
        <w:t>On the commencement date of each offering period, each eligible employee may authorize up to a maximum of 15% of the compensation he or she receives during the offering period to be deducted by us during the offering period. Each employee who continues to be a participant in the 2018 ESPP on the last business day of the offering period will be deemed to have exercised an option to purchase from us the number of whole shares of our common stock that his or her accumulated payroll deductions on such date will buy, not in excess of the maximum numbers set forth above. Under the terms of the 2018 ESPP, the purchase price shall be determined by our board of directors for each offering period and will be at least 85% of the applicable closing price of our common stock. If our board of directors does not make a determination of the purchase price, the purchase price will be 85% of the lesser of the closing price of our common stock on the first business day of the offering period or the last business day of the offering period.</w:t>
      </w:r>
    </w:p>
    <w:p>
      <w:pPr>
        <w:spacing w:after="0" w:line="193" w:lineRule="exact"/>
        <w:rPr>
          <w:sz w:val="20"/>
          <w:szCs w:val="20"/>
          <w:color w:val="auto"/>
        </w:rPr>
      </w:pPr>
    </w:p>
    <w:p>
      <w:pPr>
        <w:ind w:left="360" w:firstLine="535"/>
        <w:spacing w:after="0" w:line="244" w:lineRule="auto"/>
        <w:rPr>
          <w:sz w:val="20"/>
          <w:szCs w:val="20"/>
          <w:color w:val="auto"/>
        </w:rPr>
      </w:pPr>
      <w:r>
        <w:rPr>
          <w:rFonts w:ascii="Arial" w:cs="Arial" w:eastAsia="Arial" w:hAnsi="Arial"/>
          <w:sz w:val="17"/>
          <w:szCs w:val="17"/>
          <w:color w:val="auto"/>
        </w:rPr>
        <w:t>An employee may at any time prior to the close of business on the fifteenth business day (or such other number of days as we may determine) prior to the end of an offering period, and for any reason, permanently withdraw from participation in an offering prior to the end of an offering period and permanently withdraw the balance accumulated in the employee’s account. If an employee elects to discontinue his or her payroll deductions during an offering period but does not elect to withdraw his or her funds, funds previously deducted will be applied to the purchase of common stock at the end of the offering period. If a participating employee’s employment ends before the last business day of an offering period, no additional payroll deductions will be taken and the balance in the employee’s account will be paid to the employee.</w:t>
      </w:r>
    </w:p>
    <w:p>
      <w:pPr>
        <w:spacing w:after="0" w:line="394" w:lineRule="exact"/>
        <w:rPr>
          <w:sz w:val="20"/>
          <w:szCs w:val="20"/>
          <w:color w:val="auto"/>
        </w:rPr>
      </w:pPr>
    </w:p>
    <w:p>
      <w:pPr>
        <w:ind w:left="360" w:right="160" w:firstLine="535"/>
        <w:spacing w:after="0" w:line="245" w:lineRule="auto"/>
        <w:rPr>
          <w:sz w:val="20"/>
          <w:szCs w:val="20"/>
          <w:color w:val="auto"/>
        </w:rPr>
      </w:pPr>
      <w:r>
        <w:rPr>
          <w:rFonts w:ascii="Arial" w:cs="Arial" w:eastAsia="Arial" w:hAnsi="Arial"/>
          <w:sz w:val="17"/>
          <w:szCs w:val="17"/>
          <w:color w:val="auto"/>
        </w:rPr>
        <w:t>We will be required to make equitable adjustments to the extent determined by our board of directors or a committee of our board of directors to the number and class of securities available under the 2018 ESPP, the share limitations under the 2018 ESPP and the purchase price for an offering period under the 2018 ESPP to reflect stock splits, reverse stock splits, stock dividends, recapitalizations, combinations of shares, reclassifications of shares, spin-offs and other similar changes in capitalization or events or any dividends or distributions to holders of our common stock other than ordinary cash dividends.</w:t>
      </w:r>
    </w:p>
    <w:p>
      <w:pPr>
        <w:spacing w:after="0" w:line="195" w:lineRule="exact"/>
        <w:rPr>
          <w:sz w:val="20"/>
          <w:szCs w:val="20"/>
          <w:color w:val="auto"/>
        </w:rPr>
      </w:pPr>
    </w:p>
    <w:p>
      <w:pPr>
        <w:ind w:left="360" w:right="160" w:firstLine="535"/>
        <w:spacing w:after="0" w:line="250" w:lineRule="auto"/>
        <w:rPr>
          <w:sz w:val="20"/>
          <w:szCs w:val="20"/>
          <w:color w:val="auto"/>
        </w:rPr>
      </w:pPr>
      <w:r>
        <w:rPr>
          <w:rFonts w:ascii="Arial" w:cs="Arial" w:eastAsia="Arial" w:hAnsi="Arial"/>
          <w:sz w:val="17"/>
          <w:szCs w:val="17"/>
          <w:color w:val="auto"/>
        </w:rPr>
        <w:t>In connection with a merger or other reorganization event (as defined in the 2018 ESPP), our board of directors or a committee of our board of directors may take any one or more of the following actions as to outstanding options to purchase shares of our common stock under the 2018 ESPP on such terms as our board of directors or committee determines:</w:t>
      </w:r>
    </w:p>
    <w:p>
      <w:pPr>
        <w:spacing w:after="0" w:line="97" w:lineRule="exact"/>
        <w:rPr>
          <w:sz w:val="20"/>
          <w:szCs w:val="20"/>
          <w:color w:val="auto"/>
        </w:rPr>
      </w:pPr>
    </w:p>
    <w:p>
      <w:pPr>
        <w:ind w:left="1100" w:right="280" w:hanging="210"/>
        <w:spacing w:after="0" w:line="259" w:lineRule="auto"/>
        <w:tabs>
          <w:tab w:leader="none" w:pos="11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provide that options shall be assumed, or substantially equivalent options shall be substituted, by the acquiring or succeeding corporation (or an affiliate thereof);</w:t>
      </w:r>
    </w:p>
    <w:p>
      <w:pPr>
        <w:spacing w:after="0" w:line="89" w:lineRule="exact"/>
        <w:rPr>
          <w:rFonts w:ascii="Arial" w:cs="Arial" w:eastAsia="Arial" w:hAnsi="Arial"/>
          <w:sz w:val="17"/>
          <w:szCs w:val="17"/>
          <w:color w:val="auto"/>
        </w:rPr>
      </w:pPr>
    </w:p>
    <w:p>
      <w:pPr>
        <w:ind w:left="1100" w:right="140" w:hanging="210"/>
        <w:spacing w:after="0" w:line="247" w:lineRule="auto"/>
        <w:tabs>
          <w:tab w:leader="none" w:pos="11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upon written notice to employees, provide that all outstanding options will be terminated immediately prior to the consummation of such reorganization event and that all such outstanding options will become exercisable to the extent of accumulated payroll deductions as of a date specified by our board of directors or committee in such notice, which date shall not be less than ten days preceding the effective date of the reorganization event;</w:t>
      </w:r>
    </w:p>
    <w:p>
      <w:pPr>
        <w:spacing w:after="0" w:line="99" w:lineRule="exact"/>
        <w:rPr>
          <w:rFonts w:ascii="Arial" w:cs="Arial" w:eastAsia="Arial" w:hAnsi="Arial"/>
          <w:sz w:val="17"/>
          <w:szCs w:val="17"/>
          <w:color w:val="auto"/>
        </w:rPr>
      </w:pPr>
    </w:p>
    <w:p>
      <w:pPr>
        <w:ind w:left="1100" w:right="140" w:hanging="210"/>
        <w:spacing w:after="0" w:line="259" w:lineRule="auto"/>
        <w:tabs>
          <w:tab w:leader="none" w:pos="11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upon written notice to employees, provide that all outstanding options will be cancelled as of a date prior to the effective date of the reorganization event and that all accumulated payroll deductions will be returned to participating employees on such date;</w:t>
      </w:r>
    </w:p>
    <w:p>
      <w:pPr>
        <w:spacing w:after="0" w:line="89" w:lineRule="exact"/>
        <w:rPr>
          <w:rFonts w:ascii="Arial" w:cs="Arial" w:eastAsia="Arial" w:hAnsi="Arial"/>
          <w:sz w:val="17"/>
          <w:szCs w:val="17"/>
          <w:color w:val="auto"/>
        </w:rPr>
      </w:pPr>
    </w:p>
    <w:p>
      <w:pPr>
        <w:ind w:left="1100" w:right="280" w:hanging="210"/>
        <w:spacing w:after="0" w:line="259" w:lineRule="auto"/>
        <w:tabs>
          <w:tab w:leader="none" w:pos="11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in the event of a reorganization event under the terms of which holders of our common stock will receive upon consummation thereof a cash payment for each share surrendered in the</w:t>
      </w:r>
    </w:p>
    <w:p>
      <w:pPr>
        <w:spacing w:after="0" w:line="11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165</w:t>
      </w:r>
    </w:p>
    <w:p>
      <w:pPr>
        <w:sectPr>
          <w:pgSz w:w="11900" w:h="16838" w:orient="portrait"/>
          <w:cols w:equalWidth="0" w:num="1">
            <w:col w:w="11040"/>
          </w:cols>
          <w:pgMar w:left="240" w:top="450" w:right="619" w:bottom="1440" w:gutter="0" w:footer="0" w:header="0"/>
        </w:sectPr>
      </w:pPr>
    </w:p>
    <w:bookmarkStart w:id="167" w:name="page168"/>
    <w:bookmarkEnd w:id="1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1120"/>
        <w:spacing w:after="0" w:line="244" w:lineRule="auto"/>
        <w:rPr>
          <w:sz w:val="20"/>
          <w:szCs w:val="20"/>
          <w:color w:val="auto"/>
        </w:rPr>
      </w:pPr>
      <w:r>
        <w:rPr>
          <w:rFonts w:ascii="Arial" w:cs="Arial" w:eastAsia="Arial" w:hAnsi="Arial"/>
          <w:sz w:val="17"/>
          <w:szCs w:val="17"/>
          <w:color w:val="auto"/>
        </w:rPr>
        <w:t>reorganization event, change the last day of the offering period to be the date of the consummation of the reorganization event and make or provide for a cash payment to each employee equal to (1) the cash payment for each share surrendered in the reorganization event times the number of shares of our common stock that the employee’s accumulated payroll deductions as of immediately prior to the reorganization event could purchase at the applicable purchase price, where the cash payment for each share surrendered in the reorganization event is treated as the fair market value of our common stock on the last day of the applicable offering period for purposes of determining the purchase price and where the number of shares that could be purchased is subject to the applicable limitations under the 2018 ESPP minus (2) the result of multiplying such number of shares by the purchase price; and/or</w:t>
      </w:r>
    </w:p>
    <w:p>
      <w:pPr>
        <w:spacing w:after="0" w:line="101" w:lineRule="exact"/>
        <w:rPr>
          <w:sz w:val="20"/>
          <w:szCs w:val="20"/>
          <w:color w:val="auto"/>
        </w:rPr>
      </w:pPr>
    </w:p>
    <w:p>
      <w:pPr>
        <w:ind w:left="1100" w:right="200" w:hanging="210"/>
        <w:spacing w:after="0" w:line="259" w:lineRule="auto"/>
        <w:tabs>
          <w:tab w:leader="none" w:pos="11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provide that, in connection with our liquidation or dissolution, options shall convert into the right to receive liquidation proceeds (net of the purchase price thereof).</w:t>
      </w:r>
    </w:p>
    <w:p>
      <w:pPr>
        <w:spacing w:after="0" w:line="181" w:lineRule="exact"/>
        <w:rPr>
          <w:sz w:val="20"/>
          <w:szCs w:val="20"/>
          <w:color w:val="auto"/>
        </w:rPr>
      </w:pPr>
    </w:p>
    <w:p>
      <w:pPr>
        <w:ind w:left="360" w:firstLine="535"/>
        <w:spacing w:after="0" w:line="245" w:lineRule="auto"/>
        <w:rPr>
          <w:sz w:val="20"/>
          <w:szCs w:val="20"/>
          <w:color w:val="auto"/>
        </w:rPr>
      </w:pPr>
      <w:r>
        <w:rPr>
          <w:rFonts w:ascii="Arial" w:cs="Arial" w:eastAsia="Arial" w:hAnsi="Arial"/>
          <w:sz w:val="17"/>
          <w:szCs w:val="17"/>
          <w:color w:val="auto"/>
        </w:rPr>
        <w:t>Our board of directors may at any time, and from time to time, amend or suspend the 2018 ESPP, or any portion of the 2018 ESPP. We will obtain stockholder approval for any amendment if such approval is required by Section 423 of the Code. Further, our board of directors may not make any amendment that would cause the 2018 ESPP to fail to comply with Section 423 of the Code. The 2018 ESPP may be terminated at any time by our board of directors. Upon termination, we will refund all amounts in the accounts of participating employees.</w:t>
      </w:r>
    </w:p>
    <w:p>
      <w:pPr>
        <w:spacing w:after="0" w:line="278"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Retirement Plan</w:t>
      </w:r>
    </w:p>
    <w:p>
      <w:pPr>
        <w:spacing w:after="0" w:line="128" w:lineRule="exact"/>
        <w:rPr>
          <w:sz w:val="20"/>
          <w:szCs w:val="20"/>
          <w:color w:val="auto"/>
        </w:rPr>
      </w:pPr>
    </w:p>
    <w:p>
      <w:pPr>
        <w:ind w:left="360" w:right="340" w:firstLine="535"/>
        <w:spacing w:after="0" w:line="250" w:lineRule="auto"/>
        <w:rPr>
          <w:sz w:val="20"/>
          <w:szCs w:val="20"/>
          <w:color w:val="auto"/>
        </w:rPr>
      </w:pPr>
      <w:r>
        <w:rPr>
          <w:rFonts w:ascii="Arial" w:cs="Arial" w:eastAsia="Arial" w:hAnsi="Arial"/>
          <w:sz w:val="17"/>
          <w:szCs w:val="17"/>
          <w:color w:val="auto"/>
        </w:rPr>
        <w:t>We maintain a 401(k) retirement plan that is intended to be a tax-qualified defined contribution plan under Section 401(k) of the Internal Revenue Code. In general, all of our employees are eligible to participate, beginning on the first day of the month following commencement of their employment. Currently, we do not match contributions made by participants in the 401(k) plan.</w:t>
      </w:r>
    </w:p>
    <w:p>
      <w:pPr>
        <w:spacing w:after="0" w:line="272"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Employee Benefits and Perquisites</w:t>
      </w:r>
    </w:p>
    <w:p>
      <w:pPr>
        <w:spacing w:after="0" w:line="128" w:lineRule="exact"/>
        <w:rPr>
          <w:sz w:val="20"/>
          <w:szCs w:val="20"/>
          <w:color w:val="auto"/>
        </w:rPr>
      </w:pPr>
    </w:p>
    <w:p>
      <w:pPr>
        <w:ind w:left="360" w:right="40" w:firstLine="535"/>
        <w:spacing w:after="0" w:line="250" w:lineRule="auto"/>
        <w:rPr>
          <w:sz w:val="20"/>
          <w:szCs w:val="20"/>
          <w:color w:val="auto"/>
        </w:rPr>
      </w:pPr>
      <w:r>
        <w:rPr>
          <w:rFonts w:ascii="Arial" w:cs="Arial" w:eastAsia="Arial" w:hAnsi="Arial"/>
          <w:sz w:val="17"/>
          <w:szCs w:val="17"/>
          <w:color w:val="auto"/>
        </w:rPr>
        <w:t>Our named executive officers are eligible to participate in our employee benefit plans and programs, which include medical, dental, and vision benefits, health spending accounts, and short- and long-term disability, accidental death and dismemberment, and life insurance, to the same extent as our other full-time employees generally, subject to the terms and eligibility requirements of those plans.</w:t>
      </w:r>
    </w:p>
    <w:p>
      <w:pPr>
        <w:spacing w:after="0" w:line="272"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Limitations on Liability and Indemnification</w:t>
      </w:r>
    </w:p>
    <w:p>
      <w:pPr>
        <w:spacing w:after="0" w:line="233" w:lineRule="exact"/>
        <w:rPr>
          <w:sz w:val="20"/>
          <w:szCs w:val="20"/>
          <w:color w:val="auto"/>
        </w:rPr>
      </w:pPr>
    </w:p>
    <w:p>
      <w:pPr>
        <w:ind w:left="360" w:right="160" w:firstLine="535"/>
        <w:spacing w:after="0" w:line="247" w:lineRule="auto"/>
        <w:rPr>
          <w:sz w:val="20"/>
          <w:szCs w:val="20"/>
          <w:color w:val="auto"/>
        </w:rPr>
      </w:pPr>
      <w:r>
        <w:rPr>
          <w:rFonts w:ascii="Arial" w:cs="Arial" w:eastAsia="Arial" w:hAnsi="Arial"/>
          <w:sz w:val="17"/>
          <w:szCs w:val="17"/>
          <w:color w:val="auto"/>
        </w:rPr>
        <w:t>Our restated certificate of incorporation, which will become effective upon the closing of this offering, limits the personal liability of directors for breach of fiduciary duty to the maximum extent permitted by the Delaware General Corporation Law and provides that no director will have personal liability to us or to our stockholders for monetary damages for breach of fiduciary duty or other duty as a director. However, these provisions do not eliminate or limit the liability of any of our directors:</w:t>
      </w:r>
    </w:p>
    <w:p>
      <w:pPr>
        <w:spacing w:after="0" w:line="100" w:lineRule="exact"/>
        <w:rPr>
          <w:sz w:val="20"/>
          <w:szCs w:val="20"/>
          <w:color w:val="auto"/>
        </w:rPr>
      </w:pPr>
    </w:p>
    <w:p>
      <w:pPr>
        <w:ind w:left="1100" w:hanging="210"/>
        <w:spacing w:after="0"/>
        <w:tabs>
          <w:tab w:leader="none" w:pos="11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for any breach of the director’s duty of loyalty to us or our stockholders;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for acts or omissions not in good faith or that involve intentional misconduct or a knowing violation of law;</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for voting for or assenting to unlawful payments of dividends, stock repurchases or other distributions; or</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for any transaction from which the director derived an improper personal benefit.</w:t>
      </w:r>
    </w:p>
    <w:p>
      <w:pPr>
        <w:spacing w:after="0" w:line="145"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166</w:t>
      </w:r>
    </w:p>
    <w:p>
      <w:pPr>
        <w:sectPr>
          <w:pgSz w:w="11900" w:h="16838" w:orient="portrait"/>
          <w:cols w:equalWidth="0" w:num="1">
            <w:col w:w="11020"/>
          </w:cols>
          <w:pgMar w:left="240" w:top="450" w:right="639" w:bottom="1440" w:gutter="0" w:footer="0" w:header="0"/>
        </w:sectPr>
      </w:pPr>
    </w:p>
    <w:bookmarkStart w:id="168" w:name="page169"/>
    <w:bookmarkEnd w:id="1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220" w:firstLine="535"/>
        <w:spacing w:after="0" w:line="247" w:lineRule="auto"/>
        <w:rPr>
          <w:sz w:val="20"/>
          <w:szCs w:val="20"/>
          <w:color w:val="auto"/>
        </w:rPr>
      </w:pPr>
      <w:r>
        <w:rPr>
          <w:rFonts w:ascii="Arial" w:cs="Arial" w:eastAsia="Arial" w:hAnsi="Arial"/>
          <w:sz w:val="17"/>
          <w:szCs w:val="17"/>
          <w:color w:val="auto"/>
        </w:rPr>
        <w:t>Any amendment to or repeal of these provisions will not eliminate or reduce the effect of these provisions in respect of any act, omission or claim that occurred or arose prior to such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92" w:lineRule="exact"/>
        <w:rPr>
          <w:sz w:val="20"/>
          <w:szCs w:val="20"/>
          <w:color w:val="auto"/>
        </w:rPr>
      </w:pPr>
    </w:p>
    <w:p>
      <w:pPr>
        <w:ind w:left="360" w:right="240" w:firstLine="535"/>
        <w:spacing w:after="0" w:line="250" w:lineRule="auto"/>
        <w:rPr>
          <w:sz w:val="20"/>
          <w:szCs w:val="20"/>
          <w:color w:val="auto"/>
        </w:rPr>
      </w:pPr>
      <w:r>
        <w:rPr>
          <w:rFonts w:ascii="Arial" w:cs="Arial" w:eastAsia="Arial" w:hAnsi="Arial"/>
          <w:sz w:val="17"/>
          <w:szCs w:val="17"/>
          <w:color w:val="auto"/>
        </w:rPr>
        <w:t>In addition, our restated certificate of incorporation, which will become effective upon the closing of this offering, provides that we must indemnify our directors and officers and we must advance expenses, including attorneys’ fees, to our directors and officers in connection with legal proceedings, subject to very limited exceptions.</w:t>
      </w:r>
    </w:p>
    <w:p>
      <w:pPr>
        <w:spacing w:after="0" w:line="189" w:lineRule="exact"/>
        <w:rPr>
          <w:sz w:val="20"/>
          <w:szCs w:val="20"/>
          <w:color w:val="auto"/>
        </w:rPr>
      </w:pPr>
    </w:p>
    <w:p>
      <w:pPr>
        <w:ind w:left="360" w:firstLine="535"/>
        <w:spacing w:after="0" w:line="245" w:lineRule="auto"/>
        <w:rPr>
          <w:sz w:val="20"/>
          <w:szCs w:val="20"/>
          <w:color w:val="auto"/>
        </w:rPr>
      </w:pPr>
      <w:r>
        <w:rPr>
          <w:rFonts w:ascii="Arial" w:cs="Arial" w:eastAsia="Arial" w:hAnsi="Arial"/>
          <w:sz w:val="17"/>
          <w:szCs w:val="17"/>
          <w:color w:val="auto"/>
        </w:rPr>
        <w:t>We maintain a general liability insurance policy that covers specified liabilities of our directors and officers arising out of claims based on acts or omissions in their capacities as directors or officers. We have entered into indemnification agreements with all of our directors and executive officers. These indemnification agreements may require us, among other things, to indemnify each such director or officer for some expenses, including attorneys’ fees, judgments, fines and settlement amounts incurred by him in any action or proceeding arising out of his or her service as one of our directors or officers.</w:t>
      </w:r>
    </w:p>
    <w:p>
      <w:pPr>
        <w:spacing w:after="0" w:line="195" w:lineRule="exact"/>
        <w:rPr>
          <w:sz w:val="20"/>
          <w:szCs w:val="20"/>
          <w:color w:val="auto"/>
        </w:rPr>
      </w:pPr>
    </w:p>
    <w:p>
      <w:pPr>
        <w:ind w:left="360" w:right="580" w:firstLine="535"/>
        <w:spacing w:after="0" w:line="259" w:lineRule="auto"/>
        <w:rPr>
          <w:sz w:val="20"/>
          <w:szCs w:val="20"/>
          <w:color w:val="auto"/>
        </w:rPr>
      </w:pPr>
      <w:r>
        <w:rPr>
          <w:rFonts w:ascii="Arial" w:cs="Arial" w:eastAsia="Arial" w:hAnsi="Arial"/>
          <w:sz w:val="17"/>
          <w:szCs w:val="17"/>
          <w:color w:val="auto"/>
        </w:rPr>
        <w:t>Some of our non-employee directors may, through their relationships with their employers, be insured or indemnified against specified liabilities incurred in their capacities as members of our board of directors.</w:t>
      </w:r>
    </w:p>
    <w:p>
      <w:pPr>
        <w:spacing w:after="0" w:line="181" w:lineRule="exact"/>
        <w:rPr>
          <w:sz w:val="20"/>
          <w:szCs w:val="20"/>
          <w:color w:val="auto"/>
        </w:rPr>
      </w:pPr>
    </w:p>
    <w:p>
      <w:pPr>
        <w:ind w:left="360" w:right="60" w:firstLine="535"/>
        <w:spacing w:after="0" w:line="250" w:lineRule="auto"/>
        <w:rPr>
          <w:sz w:val="20"/>
          <w:szCs w:val="20"/>
          <w:color w:val="auto"/>
        </w:rPr>
      </w:pPr>
      <w:r>
        <w:rPr>
          <w:rFonts w:ascii="Arial" w:cs="Arial" w:eastAsia="Arial" w:hAnsi="Arial"/>
          <w:sz w:val="17"/>
          <w:szCs w:val="17"/>
          <w:color w:val="auto"/>
        </w:rPr>
        <w:t>Insofar as indemnification for liabilities arising under the Securities Act of 1933, or the Securities Act, may be permitted to directors, executive officers or persons controlling us, in the opinion of the SEC, such indemnification is against public policy as expressed in the Securities Act and is therefore unenforceable.</w:t>
      </w:r>
    </w:p>
    <w:p>
      <w:pPr>
        <w:spacing w:after="0" w:line="272"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Rule 10b5-1 Sales Plans</w:t>
      </w:r>
    </w:p>
    <w:p>
      <w:pPr>
        <w:spacing w:after="0" w:line="233" w:lineRule="exact"/>
        <w:rPr>
          <w:sz w:val="20"/>
          <w:szCs w:val="20"/>
          <w:color w:val="auto"/>
        </w:rPr>
      </w:pPr>
    </w:p>
    <w:p>
      <w:pPr>
        <w:ind w:left="360" w:right="100" w:firstLine="535"/>
        <w:spacing w:after="0" w:line="245" w:lineRule="auto"/>
        <w:rPr>
          <w:sz w:val="20"/>
          <w:szCs w:val="20"/>
          <w:color w:val="auto"/>
        </w:rPr>
      </w:pPr>
      <w:r>
        <w:rPr>
          <w:rFonts w:ascii="Arial" w:cs="Arial" w:eastAsia="Arial" w:hAnsi="Arial"/>
          <w:sz w:val="17"/>
          <w:szCs w:val="17"/>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 director or officer. The director or officer may amend or terminate the plan in some circumstances. Our directors and executive officers may also buy or sell additional shares outside of a Rule 10b5-1 plan when they are not in possession of material, nonpublic information.</w:t>
      </w:r>
    </w:p>
    <w:p>
      <w:pPr>
        <w:spacing w:after="0" w:line="13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167</w:t>
      </w:r>
    </w:p>
    <w:p>
      <w:pPr>
        <w:sectPr>
          <w:pgSz w:w="11900" w:h="16838" w:orient="portrait"/>
          <w:cols w:equalWidth="0" w:num="1">
            <w:col w:w="11060"/>
          </w:cols>
          <w:pgMar w:left="240" w:top="449" w:right="599" w:bottom="1440" w:gutter="0" w:footer="0" w:header="0"/>
        </w:sectPr>
      </w:pPr>
    </w:p>
    <w:bookmarkStart w:id="169" w:name="page170"/>
    <w:bookmarkEnd w:id="1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DIRECTOR COMPENSATION</w:t>
      </w:r>
    </w:p>
    <w:p>
      <w:pPr>
        <w:spacing w:after="0" w:line="233"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table below shows all compensation for our non-employee directors during the year ended December 31, 2017.</w:t>
      </w:r>
    </w:p>
    <w:p>
      <w:pPr>
        <w:spacing w:after="0" w:line="223"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4600" w:type="dxa"/>
            <w:vAlign w:val="bottom"/>
            <w:gridSpan w:val="3"/>
          </w:tcPr>
          <w:p>
            <w:pPr>
              <w:jc w:val="center"/>
              <w:ind w:left="2401"/>
              <w:spacing w:after="0"/>
              <w:rPr>
                <w:sz w:val="20"/>
                <w:szCs w:val="20"/>
                <w:color w:val="auto"/>
              </w:rPr>
            </w:pPr>
            <w:r>
              <w:rPr>
                <w:rFonts w:ascii="Arial" w:cs="Arial" w:eastAsia="Arial" w:hAnsi="Arial"/>
                <w:sz w:val="14"/>
                <w:szCs w:val="14"/>
                <w:b w:val="1"/>
                <w:bCs w:val="1"/>
                <w:color w:val="auto"/>
              </w:rPr>
              <w:t>Fees earned or</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3040" w:type="dxa"/>
            <w:vAlign w:val="bottom"/>
          </w:tcPr>
          <w:p>
            <w:pPr>
              <w:spacing w:after="0"/>
              <w:rPr>
                <w:sz w:val="13"/>
                <w:szCs w:val="13"/>
                <w:color w:val="auto"/>
              </w:rPr>
            </w:pPr>
          </w:p>
        </w:tc>
        <w:tc>
          <w:tcPr>
            <w:tcW w:w="1560" w:type="dxa"/>
            <w:vAlign w:val="bottom"/>
            <w:gridSpan w:val="2"/>
          </w:tcPr>
          <w:p>
            <w:pPr>
              <w:jc w:val="center"/>
              <w:ind w:right="560"/>
              <w:spacing w:after="0" w:line="157" w:lineRule="exact"/>
              <w:rPr>
                <w:sz w:val="20"/>
                <w:szCs w:val="20"/>
                <w:color w:val="auto"/>
              </w:rPr>
            </w:pPr>
            <w:r>
              <w:rPr>
                <w:rFonts w:ascii="Arial" w:cs="Arial" w:eastAsia="Arial" w:hAnsi="Arial"/>
                <w:sz w:val="14"/>
                <w:szCs w:val="14"/>
                <w:b w:val="1"/>
                <w:bCs w:val="1"/>
                <w:color w:val="auto"/>
                <w:w w:val="98"/>
              </w:rPr>
              <w:t>paid in cash</w:t>
            </w:r>
          </w:p>
        </w:tc>
        <w:tc>
          <w:tcPr>
            <w:tcW w:w="640" w:type="dxa"/>
            <w:vAlign w:val="bottom"/>
            <w:gridSpan w:val="2"/>
          </w:tcPr>
          <w:p>
            <w:pPr>
              <w:ind w:left="140"/>
              <w:spacing w:after="0" w:line="157"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5460" w:type="dxa"/>
            <w:vAlign w:val="bottom"/>
            <w:gridSpan w:val="3"/>
            <w:vMerge w:val="continue"/>
          </w:tcPr>
          <w:p>
            <w:pPr>
              <w:spacing w:after="0"/>
              <w:rPr>
                <w:sz w:val="13"/>
                <w:szCs w:val="13"/>
                <w:color w:val="auto"/>
              </w:rPr>
            </w:pPr>
          </w:p>
        </w:tc>
        <w:tc>
          <w:tcPr>
            <w:tcW w:w="4040" w:type="dxa"/>
            <w:vAlign w:val="bottom"/>
            <w:gridSpan w:val="2"/>
          </w:tcPr>
          <w:p>
            <w:pPr>
              <w:jc w:val="center"/>
              <w:ind w:left="2961"/>
              <w:spacing w:after="0" w:line="155" w:lineRule="exact"/>
              <w:rPr>
                <w:sz w:val="20"/>
                <w:szCs w:val="20"/>
                <w:color w:val="auto"/>
              </w:rPr>
            </w:pPr>
            <w:r>
              <w:rPr>
                <w:rFonts w:ascii="Arial" w:cs="Arial" w:eastAsia="Arial" w:hAnsi="Arial"/>
                <w:sz w:val="14"/>
                <w:szCs w:val="14"/>
                <w:b w:val="1"/>
                <w:bCs w:val="1"/>
                <w:color w:val="auto"/>
                <w:w w:val="93"/>
              </w:rPr>
              <w:t>($)</w:t>
            </w:r>
          </w:p>
        </w:tc>
        <w:tc>
          <w:tcPr>
            <w:tcW w:w="560" w:type="dxa"/>
            <w:vAlign w:val="bottom"/>
          </w:tcPr>
          <w:p>
            <w:pPr>
              <w:spacing w:after="0"/>
              <w:rPr>
                <w:sz w:val="13"/>
                <w:szCs w:val="13"/>
                <w:color w:val="auto"/>
              </w:rPr>
            </w:pPr>
          </w:p>
        </w:tc>
        <w:tc>
          <w:tcPr>
            <w:tcW w:w="600" w:type="dxa"/>
            <w:vAlign w:val="bottom"/>
          </w:tcPr>
          <w:p>
            <w:pPr>
              <w:jc w:val="right"/>
              <w:ind w:right="137"/>
              <w:spacing w:after="0" w:line="155"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5060" w:type="dxa"/>
            <w:vAlign w:val="bottom"/>
            <w:tcBorders>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44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Andrew Levin, M.D., Ph.D.</w:t>
            </w:r>
          </w:p>
        </w:tc>
        <w:tc>
          <w:tcPr>
            <w:tcW w:w="30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40" w:type="dxa"/>
            <w:vAlign w:val="bottom"/>
            <w:gridSpan w:val="2"/>
          </w:tcPr>
          <w:p>
            <w:pPr>
              <w:spacing w:after="0"/>
              <w:rPr>
                <w:sz w:val="20"/>
                <w:szCs w:val="20"/>
                <w:color w:val="auto"/>
              </w:rPr>
            </w:pPr>
            <w:r>
              <w:rPr>
                <w:rFonts w:ascii="Arial" w:cs="Arial" w:eastAsia="Arial" w:hAnsi="Arial"/>
                <w:sz w:val="17"/>
                <w:szCs w:val="17"/>
                <w:color w:val="auto"/>
              </w:rPr>
              <w:t>Bradley Margus</w:t>
            </w:r>
          </w:p>
        </w:tc>
        <w:tc>
          <w:tcPr>
            <w:tcW w:w="4040" w:type="dxa"/>
            <w:vAlign w:val="bottom"/>
            <w:gridSpan w:val="2"/>
          </w:tcPr>
          <w:p>
            <w:pPr>
              <w:jc w:val="right"/>
              <w:spacing w:after="0"/>
              <w:rPr>
                <w:sz w:val="20"/>
                <w:szCs w:val="20"/>
                <w:color w:val="auto"/>
              </w:rPr>
            </w:pPr>
            <w:r>
              <w:rPr>
                <w:rFonts w:ascii="Arial" w:cs="Arial" w:eastAsia="Arial" w:hAnsi="Arial"/>
                <w:sz w:val="17"/>
                <w:szCs w:val="17"/>
                <w:color w:val="auto"/>
              </w:rPr>
              <w:t>30,000</w:t>
            </w:r>
          </w:p>
        </w:tc>
        <w:tc>
          <w:tcPr>
            <w:tcW w:w="5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30,000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Kush Parmar, M.D. Ph.D.</w:t>
            </w:r>
          </w:p>
        </w:tc>
        <w:tc>
          <w:tcPr>
            <w:tcW w:w="30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40" w:type="dxa"/>
            <w:vAlign w:val="bottom"/>
            <w:gridSpan w:val="2"/>
          </w:tcPr>
          <w:p>
            <w:pPr>
              <w:spacing w:after="0"/>
              <w:rPr>
                <w:sz w:val="20"/>
                <w:szCs w:val="20"/>
                <w:color w:val="auto"/>
              </w:rPr>
            </w:pPr>
            <w:r>
              <w:rPr>
                <w:rFonts w:ascii="Arial" w:cs="Arial" w:eastAsia="Arial" w:hAnsi="Arial"/>
                <w:sz w:val="17"/>
                <w:szCs w:val="17"/>
                <w:color w:val="auto"/>
              </w:rPr>
              <w:t>Liam Ratcliffe, M.D. Ph.D.</w:t>
            </w:r>
          </w:p>
        </w:tc>
        <w:tc>
          <w:tcPr>
            <w:tcW w:w="3040" w:type="dxa"/>
            <w:vAlign w:val="bottom"/>
          </w:tcPr>
          <w:p>
            <w:pPr>
              <w:spacing w:after="0"/>
              <w:rPr>
                <w:sz w:val="17"/>
                <w:szCs w:val="17"/>
                <w:color w:val="auto"/>
              </w:rPr>
            </w:pPr>
          </w:p>
        </w:tc>
        <w:tc>
          <w:tcPr>
            <w:tcW w:w="156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Timothy Shannon, M.D.</w:t>
            </w:r>
          </w:p>
        </w:tc>
        <w:tc>
          <w:tcPr>
            <w:tcW w:w="30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40" w:type="dxa"/>
            <w:vAlign w:val="bottom"/>
            <w:gridSpan w:val="2"/>
          </w:tcPr>
          <w:p>
            <w:pPr>
              <w:spacing w:after="0"/>
              <w:rPr>
                <w:sz w:val="20"/>
                <w:szCs w:val="20"/>
                <w:color w:val="auto"/>
              </w:rPr>
            </w:pPr>
            <w:r>
              <w:rPr>
                <w:rFonts w:ascii="Arial" w:cs="Arial" w:eastAsia="Arial" w:hAnsi="Arial"/>
                <w:sz w:val="17"/>
                <w:szCs w:val="17"/>
                <w:color w:val="auto"/>
              </w:rPr>
              <w:t>E. Jonathan Soderstrom, Ph.D.</w:t>
            </w:r>
          </w:p>
        </w:tc>
        <w:tc>
          <w:tcPr>
            <w:tcW w:w="3040" w:type="dxa"/>
            <w:vAlign w:val="bottom"/>
          </w:tcPr>
          <w:p>
            <w:pPr>
              <w:spacing w:after="0"/>
              <w:rPr>
                <w:sz w:val="17"/>
                <w:szCs w:val="17"/>
                <w:color w:val="auto"/>
              </w:rPr>
            </w:pPr>
          </w:p>
        </w:tc>
        <w:tc>
          <w:tcPr>
            <w:tcW w:w="156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Stephen Squinto, Ph.D.</w:t>
            </w:r>
          </w:p>
        </w:tc>
        <w:tc>
          <w:tcPr>
            <w:tcW w:w="4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25,000</w:t>
            </w: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360" w:right="260" w:firstLine="535"/>
        <w:spacing w:after="0" w:line="247" w:lineRule="auto"/>
        <w:rPr>
          <w:sz w:val="20"/>
          <w:szCs w:val="20"/>
          <w:color w:val="auto"/>
        </w:rPr>
      </w:pPr>
      <w:r>
        <w:rPr>
          <w:rFonts w:ascii="Arial" w:cs="Arial" w:eastAsia="Arial" w:hAnsi="Arial"/>
          <w:sz w:val="17"/>
          <w:szCs w:val="17"/>
          <w:color w:val="auto"/>
        </w:rPr>
        <w:t>Our directors may hold incentive units that have been granted pursuant to our Incentive Share Plan. As of December 31, 2017, Mr. Margus held 73,826 incentive units and Dr. Squinto held 53,166 incentive units. In connection with the appointments to our board of directors of Dr. Morrison in June 2018 and Mr. Kennedy in July 2018, we approved grants to each of Dr. Morrison and Mr. Kennedy of 46,258 incentive units pursuant to the Incentive Share Plan.</w:t>
      </w:r>
    </w:p>
    <w:p>
      <w:pPr>
        <w:spacing w:after="0" w:line="192" w:lineRule="exact"/>
        <w:rPr>
          <w:sz w:val="20"/>
          <w:szCs w:val="20"/>
          <w:color w:val="auto"/>
        </w:rPr>
      </w:pPr>
    </w:p>
    <w:p>
      <w:pPr>
        <w:ind w:left="360" w:right="100" w:firstLine="535"/>
        <w:spacing w:after="0" w:line="259" w:lineRule="auto"/>
        <w:rPr>
          <w:sz w:val="20"/>
          <w:szCs w:val="20"/>
          <w:color w:val="auto"/>
        </w:rPr>
      </w:pPr>
      <w:r>
        <w:rPr>
          <w:rFonts w:ascii="Arial" w:cs="Arial" w:eastAsia="Arial" w:hAnsi="Arial"/>
          <w:sz w:val="17"/>
          <w:szCs w:val="17"/>
          <w:color w:val="auto"/>
        </w:rPr>
        <w:t>Prior to this offering, we paid cash fees to Mr. Margus and Dr. Squinto for their service on our board of directors and did not have a formal non-employee director compensation policy.</w:t>
      </w:r>
    </w:p>
    <w:p>
      <w:pPr>
        <w:spacing w:after="0" w:line="181" w:lineRule="exact"/>
        <w:rPr>
          <w:sz w:val="20"/>
          <w:szCs w:val="20"/>
          <w:color w:val="auto"/>
        </w:rPr>
      </w:pPr>
    </w:p>
    <w:p>
      <w:pPr>
        <w:ind w:left="360" w:right="160" w:firstLine="535"/>
        <w:spacing w:after="0" w:line="245" w:lineRule="auto"/>
        <w:rPr>
          <w:sz w:val="20"/>
          <w:szCs w:val="20"/>
          <w:color w:val="auto"/>
        </w:rPr>
      </w:pPr>
      <w:r>
        <w:rPr>
          <w:rFonts w:ascii="Arial" w:cs="Arial" w:eastAsia="Arial" w:hAnsi="Arial"/>
          <w:sz w:val="17"/>
          <w:szCs w:val="17"/>
          <w:color w:val="auto"/>
        </w:rPr>
        <w:t>We have historically reimbursed our non-employee directors for reasonable travel and out-of-pocket expenses incurred in connection with attending board of director and committee meetings. John Houston, Ph.D., one of our directors who also serves as our President and Chief Executive Officer, does not receive any additional compensation for his service as director. Dr. Houston is one of our named executive officers and, accordingly, the compensation that we pay to Dr. Houston is discussed under “—Summary Compensation Table” and “—Narrative to Summary Compensation Table.”</w:t>
      </w:r>
    </w:p>
    <w:p>
      <w:pPr>
        <w:spacing w:after="0" w:line="195" w:lineRule="exact"/>
        <w:rPr>
          <w:sz w:val="20"/>
          <w:szCs w:val="20"/>
          <w:color w:val="auto"/>
        </w:rPr>
      </w:pPr>
    </w:p>
    <w:p>
      <w:pPr>
        <w:ind w:left="360" w:right="80" w:firstLine="535"/>
        <w:spacing w:after="0" w:line="243" w:lineRule="auto"/>
        <w:rPr>
          <w:sz w:val="20"/>
          <w:szCs w:val="20"/>
          <w:color w:val="auto"/>
        </w:rPr>
      </w:pPr>
      <w:r>
        <w:rPr>
          <w:rFonts w:ascii="Arial" w:cs="Arial" w:eastAsia="Arial" w:hAnsi="Arial"/>
          <w:sz w:val="17"/>
          <w:szCs w:val="17"/>
          <w:color w:val="auto"/>
        </w:rPr>
        <w:t>In June 2018, our board of directors approved a director compensation program that will become effective on the effective date of the registration statement of which this prospectus forms a part. Under this director compensation program, we will pay our non-employee directors a cash retainer for service on the board of directors and for service on each committee on which the director is a member. The chairman of the board and the chairman of each committee will receive higher retainers for such service. These fees are payable in arrears in four equal quarterly installments on the last day of each quarter, provided that the amount of such payment will be prorated for any portion of such quarter that the director is not serving on our board of directors and no fee shall be payable in respect of any period prior to the effective date of the registration statement of which this prospectus is a part. The fees paid to non-employee directors for service on the board of directors and for service on each committee of the board of directors on which the director is a member are as follows:</w:t>
      </w:r>
    </w:p>
    <w:p>
      <w:pPr>
        <w:spacing w:after="0" w:line="200" w:lineRule="exact"/>
        <w:rPr>
          <w:sz w:val="20"/>
          <w:szCs w:val="20"/>
          <w:color w:val="auto"/>
        </w:rPr>
      </w:pPr>
    </w:p>
    <w:p>
      <w:pPr>
        <w:spacing w:after="0" w:line="208"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9"/>
              </w:rPr>
              <w:t>Chairman</w:t>
            </w:r>
          </w:p>
        </w:tc>
      </w:tr>
      <w:tr>
        <w:trPr>
          <w:trHeight w:val="157"/>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36"/>
              <w:spacing w:after="0" w:line="157" w:lineRule="exact"/>
              <w:rPr>
                <w:sz w:val="20"/>
                <w:szCs w:val="20"/>
                <w:color w:val="auto"/>
              </w:rPr>
            </w:pPr>
            <w:r>
              <w:rPr>
                <w:rFonts w:ascii="Arial" w:cs="Arial" w:eastAsia="Arial" w:hAnsi="Arial"/>
                <w:sz w:val="14"/>
                <w:szCs w:val="14"/>
                <w:b w:val="1"/>
                <w:bCs w:val="1"/>
                <w:color w:val="auto"/>
                <w:w w:val="96"/>
              </w:rPr>
              <w:t>Member</w:t>
            </w:r>
          </w:p>
        </w:tc>
        <w:tc>
          <w:tcPr>
            <w:tcW w:w="1400" w:type="dxa"/>
            <w:vAlign w:val="bottom"/>
            <w:gridSpan w:val="4"/>
          </w:tcPr>
          <w:p>
            <w:pPr>
              <w:jc w:val="center"/>
              <w:ind w:left="417"/>
              <w:spacing w:after="0" w:line="157" w:lineRule="exact"/>
              <w:rPr>
                <w:sz w:val="20"/>
                <w:szCs w:val="20"/>
                <w:color w:val="auto"/>
              </w:rPr>
            </w:pPr>
            <w:r>
              <w:rPr>
                <w:rFonts w:ascii="Arial" w:cs="Arial" w:eastAsia="Arial" w:hAnsi="Arial"/>
                <w:sz w:val="14"/>
                <w:szCs w:val="14"/>
                <w:b w:val="1"/>
                <w:bCs w:val="1"/>
                <w:color w:val="auto"/>
                <w:w w:val="99"/>
              </w:rPr>
              <w:t>Incremental</w:t>
            </w:r>
          </w:p>
        </w:tc>
      </w:tr>
      <w:tr>
        <w:trPr>
          <w:trHeight w:val="169"/>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720" w:type="dxa"/>
            <w:vAlign w:val="bottom"/>
            <w:gridSpan w:val="3"/>
          </w:tcPr>
          <w:p>
            <w:pPr>
              <w:ind w:left="3960"/>
              <w:spacing w:after="0"/>
              <w:rPr>
                <w:sz w:val="20"/>
                <w:szCs w:val="20"/>
                <w:color w:val="auto"/>
              </w:rPr>
            </w:pPr>
            <w:r>
              <w:rPr>
                <w:rFonts w:ascii="Arial" w:cs="Arial" w:eastAsia="Arial" w:hAnsi="Arial"/>
                <w:sz w:val="14"/>
                <w:szCs w:val="14"/>
                <w:b w:val="1"/>
                <w:bCs w:val="1"/>
                <w:color w:val="auto"/>
                <w:w w:val="98"/>
              </w:rPr>
              <w:t>Annual Fee</w:t>
            </w:r>
          </w:p>
        </w:tc>
        <w:tc>
          <w:tcPr>
            <w:tcW w:w="580" w:type="dxa"/>
            <w:vAlign w:val="bottom"/>
          </w:tcPr>
          <w:p>
            <w:pPr>
              <w:spacing w:after="0"/>
              <w:rPr>
                <w:sz w:val="14"/>
                <w:szCs w:val="14"/>
                <w:color w:val="auto"/>
              </w:rPr>
            </w:pPr>
          </w:p>
        </w:tc>
        <w:tc>
          <w:tcPr>
            <w:tcW w:w="8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Annual Fee</w:t>
            </w:r>
          </w:p>
        </w:tc>
      </w:tr>
      <w:tr>
        <w:trPr>
          <w:trHeight w:val="190"/>
        </w:trPr>
        <w:tc>
          <w:tcPr>
            <w:tcW w:w="20" w:type="dxa"/>
            <w:vAlign w:val="bottom"/>
          </w:tcPr>
          <w:p>
            <w:pPr>
              <w:spacing w:after="0"/>
              <w:rPr>
                <w:sz w:val="16"/>
                <w:szCs w:val="16"/>
                <w:color w:val="auto"/>
              </w:rPr>
            </w:pPr>
          </w:p>
        </w:tc>
        <w:tc>
          <w:tcPr>
            <w:tcW w:w="456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Board of Directors</w:t>
            </w:r>
          </w:p>
        </w:tc>
        <w:tc>
          <w:tcPr>
            <w:tcW w:w="39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35,000</w:t>
            </w:r>
          </w:p>
        </w:tc>
        <w:tc>
          <w:tcPr>
            <w:tcW w:w="5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30,000</w:t>
            </w:r>
          </w:p>
        </w:tc>
        <w:tc>
          <w:tcPr>
            <w:tcW w:w="40" w:type="dxa"/>
            <w:vAlign w:val="bottom"/>
            <w:tcBorders>
              <w:top w:val="single" w:sz="8" w:color="CCEEFF"/>
            </w:tcBorders>
            <w:shd w:val="clear" w:color="auto" w:fill="CCEEFF"/>
          </w:tcPr>
          <w:p>
            <w:pPr>
              <w:spacing w:after="0"/>
              <w:rPr>
                <w:sz w:val="16"/>
                <w:szCs w:val="16"/>
                <w:color w:val="auto"/>
              </w:rPr>
            </w:pPr>
          </w:p>
        </w:tc>
      </w:tr>
      <w:tr>
        <w:trPr>
          <w:trHeight w:val="197"/>
        </w:trPr>
        <w:tc>
          <w:tcPr>
            <w:tcW w:w="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Audit Committee</w:t>
            </w:r>
          </w:p>
        </w:tc>
        <w:tc>
          <w:tcPr>
            <w:tcW w:w="4060" w:type="dxa"/>
            <w:vAlign w:val="bottom"/>
            <w:gridSpan w:val="2"/>
          </w:tcPr>
          <w:p>
            <w:pPr>
              <w:ind w:left="3960"/>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7,500</w:t>
            </w:r>
          </w:p>
        </w:tc>
        <w:tc>
          <w:tcPr>
            <w:tcW w:w="740" w:type="dxa"/>
            <w:vAlign w:val="bottom"/>
            <w:gridSpan w:val="2"/>
          </w:tcPr>
          <w:p>
            <w:pPr>
              <w:jc w:val="right"/>
              <w:ind w:right="8"/>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7,500</w:t>
            </w:r>
          </w:p>
        </w:tc>
        <w:tc>
          <w:tcPr>
            <w:tcW w:w="4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Compensation Committee</w:t>
            </w:r>
          </w:p>
        </w:tc>
        <w:tc>
          <w:tcPr>
            <w:tcW w:w="4060" w:type="dxa"/>
            <w:vAlign w:val="bottom"/>
            <w:gridSpan w:val="2"/>
            <w:shd w:val="clear" w:color="auto" w:fill="CCEEFF"/>
          </w:tcPr>
          <w:p>
            <w:pPr>
              <w:ind w:left="3960"/>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740" w:type="dxa"/>
            <w:vAlign w:val="bottom"/>
            <w:gridSpan w:val="2"/>
            <w:shd w:val="clear" w:color="auto" w:fill="CCEEFF"/>
          </w:tcPr>
          <w:p>
            <w:pPr>
              <w:jc w:val="right"/>
              <w:ind w:right="8"/>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4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Nominating and Corporate Governance Committee</w:t>
            </w:r>
          </w:p>
        </w:tc>
        <w:tc>
          <w:tcPr>
            <w:tcW w:w="4060" w:type="dxa"/>
            <w:vAlign w:val="bottom"/>
            <w:gridSpan w:val="2"/>
          </w:tcPr>
          <w:p>
            <w:pPr>
              <w:ind w:left="3960"/>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4,000</w:t>
            </w:r>
          </w:p>
        </w:tc>
        <w:tc>
          <w:tcPr>
            <w:tcW w:w="740" w:type="dxa"/>
            <w:vAlign w:val="bottom"/>
            <w:gridSpan w:val="2"/>
          </w:tcPr>
          <w:p>
            <w:pPr>
              <w:jc w:val="right"/>
              <w:ind w:right="8"/>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4,000</w:t>
            </w:r>
          </w:p>
        </w:tc>
        <w:tc>
          <w:tcPr>
            <w:tcW w:w="40" w:type="dxa"/>
            <w:vAlign w:val="bottom"/>
          </w:tcPr>
          <w:p>
            <w:pPr>
              <w:spacing w:after="0"/>
              <w:rPr>
                <w:sz w:val="18"/>
                <w:szCs w:val="18"/>
                <w:color w:val="auto"/>
              </w:rPr>
            </w:pPr>
          </w:p>
        </w:tc>
      </w:tr>
      <w:tr>
        <w:trPr>
          <w:trHeight w:val="340"/>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960" w:type="dxa"/>
            <w:vAlign w:val="bottom"/>
          </w:tcPr>
          <w:p>
            <w:pPr>
              <w:jc w:val="right"/>
              <w:ind w:right="2956"/>
              <w:spacing w:after="0"/>
              <w:rPr>
                <w:sz w:val="20"/>
                <w:szCs w:val="20"/>
                <w:color w:val="auto"/>
              </w:rPr>
            </w:pPr>
            <w:r>
              <w:rPr>
                <w:rFonts w:ascii="Arial" w:cs="Arial" w:eastAsia="Arial" w:hAnsi="Arial"/>
                <w:sz w:val="17"/>
                <w:szCs w:val="17"/>
                <w:color w:val="auto"/>
              </w:rPr>
              <w:t>168</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60"/>
          </w:cols>
          <w:pgMar w:left="240" w:top="450" w:right="599" w:bottom="1440" w:gutter="0" w:footer="0" w:header="0"/>
        </w:sectPr>
      </w:pPr>
    </w:p>
    <w:bookmarkStart w:id="170" w:name="page171"/>
    <w:bookmarkEnd w:id="1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340" w:firstLine="535"/>
        <w:spacing w:after="0" w:line="259" w:lineRule="auto"/>
        <w:rPr>
          <w:sz w:val="20"/>
          <w:szCs w:val="20"/>
          <w:color w:val="auto"/>
        </w:rPr>
      </w:pPr>
      <w:r>
        <w:rPr>
          <w:rFonts w:ascii="Arial" w:cs="Arial" w:eastAsia="Arial" w:hAnsi="Arial"/>
          <w:sz w:val="17"/>
          <w:szCs w:val="17"/>
          <w:color w:val="auto"/>
        </w:rPr>
        <w:t>We also will continue to reimburse our non-employee directors for reasonable travel and other expenses incurred in connection with attending meetings of our board of directors and any committee of our board of directors on which he or she serves.</w:t>
      </w:r>
    </w:p>
    <w:p>
      <w:pPr>
        <w:spacing w:after="0" w:line="181" w:lineRule="exact"/>
        <w:rPr>
          <w:sz w:val="20"/>
          <w:szCs w:val="20"/>
          <w:color w:val="auto"/>
        </w:rPr>
      </w:pPr>
    </w:p>
    <w:p>
      <w:pPr>
        <w:ind w:left="360" w:firstLine="535"/>
        <w:spacing w:after="0" w:line="243" w:lineRule="auto"/>
        <w:rPr>
          <w:sz w:val="20"/>
          <w:szCs w:val="20"/>
          <w:color w:val="auto"/>
        </w:rPr>
      </w:pPr>
      <w:r>
        <w:rPr>
          <w:rFonts w:ascii="Arial" w:cs="Arial" w:eastAsia="Arial" w:hAnsi="Arial"/>
          <w:sz w:val="17"/>
          <w:szCs w:val="17"/>
          <w:color w:val="auto"/>
        </w:rPr>
        <w:t>In addition, under our director compensation program, each non-employee director elected to our board of directors after this offering will receive under the 2018 Plan, upon his or her initial election to our board of directors, an option to purchase 25,846 shares of our common stock. Each of these options will vest in equal monthly installments at the end of each month following the date of grant through the third anniversary of the date of grant, subject to the non-employee director’s continued service as a director, employee or consultant. Further, on the date of each of our annual meetings of stockholders, each non-employee director who has served on our board of directors for at least six months will receive, under the 2018 Plan, an option to purchase 12,923 shares of our common stock. Each of these options will vest in full on the first anniversary of the date of grant (or, if earlier, the date of our next annual meeting of stockholders following the date of grant), subject to the non-employee director’s continued service as a director, employee or consultant. In the event of a change in control, all options issued to our non-employee directors will accelerate in full. All options issued to our non-employee directors under our director compensation program will be issued at exercise prices equal to the fair market value of our common stock on the date of grant.</w:t>
      </w:r>
    </w:p>
    <w:p>
      <w:pPr>
        <w:spacing w:after="0" w:line="328"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169</w:t>
      </w:r>
    </w:p>
    <w:p>
      <w:pPr>
        <w:sectPr>
          <w:pgSz w:w="11900" w:h="16838" w:orient="portrait"/>
          <w:cols w:equalWidth="0" w:num="1">
            <w:col w:w="11040"/>
          </w:cols>
          <w:pgMar w:left="240" w:top="450" w:right="619" w:bottom="1440" w:gutter="0" w:footer="0" w:header="0"/>
        </w:sectPr>
      </w:pPr>
    </w:p>
    <w:bookmarkStart w:id="171" w:name="page172"/>
    <w:bookmarkEnd w:id="1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TRANSACTIONS WITH RELATED PERSONS</w:t>
      </w:r>
    </w:p>
    <w:p>
      <w:pPr>
        <w:spacing w:after="0" w:line="233" w:lineRule="exact"/>
        <w:rPr>
          <w:sz w:val="20"/>
          <w:szCs w:val="20"/>
          <w:color w:val="auto"/>
        </w:rPr>
      </w:pPr>
    </w:p>
    <w:p>
      <w:pPr>
        <w:ind w:left="360" w:right="80" w:firstLine="535"/>
        <w:spacing w:after="0" w:line="250" w:lineRule="auto"/>
        <w:rPr>
          <w:sz w:val="20"/>
          <w:szCs w:val="20"/>
          <w:color w:val="auto"/>
        </w:rPr>
      </w:pPr>
      <w:r>
        <w:rPr>
          <w:rFonts w:ascii="Arial" w:cs="Arial" w:eastAsia="Arial" w:hAnsi="Arial"/>
          <w:sz w:val="17"/>
          <w:szCs w:val="17"/>
          <w:color w:val="auto"/>
        </w:rPr>
        <w:t>Since January 1, 2015, we have engaged in the following transactions with our directors, executive officers and holders of more than 5% of our voting securities, and affiliates of our directors, executive officers and holders of more than 5% of our voting securities. We believe that all of these transactions were on terms as favorable as could have been obtained from unrelated third parties.</w:t>
      </w:r>
    </w:p>
    <w:p>
      <w:pPr>
        <w:spacing w:after="0" w:line="272"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Series C Preferred Unit Financing</w:t>
      </w:r>
    </w:p>
    <w:p>
      <w:pPr>
        <w:spacing w:after="0" w:line="233" w:lineRule="exact"/>
        <w:rPr>
          <w:sz w:val="20"/>
          <w:szCs w:val="20"/>
          <w:color w:val="auto"/>
        </w:rPr>
      </w:pPr>
    </w:p>
    <w:p>
      <w:pPr>
        <w:ind w:left="360" w:right="340" w:firstLine="535"/>
        <w:spacing w:after="0" w:line="247" w:lineRule="auto"/>
        <w:rPr>
          <w:sz w:val="20"/>
          <w:szCs w:val="20"/>
          <w:color w:val="auto"/>
        </w:rPr>
      </w:pPr>
      <w:r>
        <w:rPr>
          <w:rFonts w:ascii="Arial" w:cs="Arial" w:eastAsia="Arial" w:hAnsi="Arial"/>
          <w:sz w:val="17"/>
          <w:szCs w:val="17"/>
          <w:color w:val="auto"/>
        </w:rPr>
        <w:t>In March 2018, we issued and sold an aggregate of 16,467,066 series C preferred units at a price per unit of $3.34, for an aggregate purchase price of $55.0 million. The following table sets forth the number of our series C preferred units purchased by our directors, executive officers and holders of 5% or more of our voting securities and their affiliates and the aggregate purchase price for such units.</w:t>
      </w:r>
    </w:p>
    <w:p>
      <w:pPr>
        <w:spacing w:after="0" w:line="204"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920" w:type="dxa"/>
            <w:vAlign w:val="bottom"/>
            <w:gridSpan w:val="2"/>
          </w:tcPr>
          <w:p>
            <w:pPr>
              <w:jc w:val="center"/>
              <w:ind w:left="1514"/>
              <w:spacing w:after="0"/>
              <w:rPr>
                <w:sz w:val="20"/>
                <w:szCs w:val="20"/>
                <w:color w:val="auto"/>
              </w:rPr>
            </w:pPr>
            <w:r>
              <w:rPr>
                <w:rFonts w:ascii="Arial" w:cs="Arial" w:eastAsia="Arial" w:hAnsi="Arial"/>
                <w:sz w:val="14"/>
                <w:szCs w:val="14"/>
                <w:b w:val="1"/>
                <w:bCs w:val="1"/>
                <w:color w:val="auto"/>
                <w:w w:val="98"/>
              </w:rPr>
              <w:t>Number of Series C</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620" w:type="dxa"/>
            <w:vAlign w:val="bottom"/>
          </w:tcPr>
          <w:p>
            <w:pPr>
              <w:spacing w:after="0"/>
              <w:rPr>
                <w:sz w:val="13"/>
                <w:szCs w:val="13"/>
                <w:color w:val="auto"/>
              </w:rPr>
            </w:pPr>
          </w:p>
        </w:tc>
        <w:tc>
          <w:tcPr>
            <w:tcW w:w="13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Preferred Units</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56"/>
        </w:trPr>
        <w:tc>
          <w:tcPr>
            <w:tcW w:w="5840" w:type="dxa"/>
            <w:vAlign w:val="bottom"/>
            <w:gridSpan w:val="3"/>
            <w:vMerge w:val="continue"/>
          </w:tcPr>
          <w:p>
            <w:pPr>
              <w:spacing w:after="0"/>
              <w:rPr>
                <w:sz w:val="13"/>
                <w:szCs w:val="13"/>
                <w:color w:val="auto"/>
              </w:rPr>
            </w:pPr>
          </w:p>
        </w:tc>
        <w:tc>
          <w:tcPr>
            <w:tcW w:w="1620" w:type="dxa"/>
            <w:vAlign w:val="bottom"/>
          </w:tcPr>
          <w:p>
            <w:pPr>
              <w:spacing w:after="0"/>
              <w:rPr>
                <w:sz w:val="13"/>
                <w:szCs w:val="13"/>
                <w:color w:val="auto"/>
              </w:rPr>
            </w:pPr>
          </w:p>
        </w:tc>
        <w:tc>
          <w:tcPr>
            <w:tcW w:w="13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Purchased</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rPr>
              <w:t>Purchase 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544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82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Entities affiliated with 5AM Partners III, LLC(1)</w:t>
            </w:r>
          </w:p>
        </w:tc>
        <w:tc>
          <w:tcPr>
            <w:tcW w:w="16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2,209,833</w:t>
            </w: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7,380,842.22</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7"/>
                <w:szCs w:val="17"/>
                <w:color w:val="auto"/>
              </w:rPr>
              <w:t>Bradley A. Margus Revocable Trust(2)</w:t>
            </w:r>
          </w:p>
        </w:tc>
        <w:tc>
          <w:tcPr>
            <w:tcW w:w="2920" w:type="dxa"/>
            <w:vAlign w:val="bottom"/>
            <w:gridSpan w:val="2"/>
          </w:tcPr>
          <w:p>
            <w:pPr>
              <w:jc w:val="right"/>
              <w:spacing w:after="0"/>
              <w:rPr>
                <w:sz w:val="20"/>
                <w:szCs w:val="20"/>
                <w:color w:val="auto"/>
              </w:rPr>
            </w:pPr>
            <w:r>
              <w:rPr>
                <w:rFonts w:ascii="Arial" w:cs="Arial" w:eastAsia="Arial" w:hAnsi="Arial"/>
                <w:sz w:val="17"/>
                <w:szCs w:val="17"/>
                <w:color w:val="auto"/>
              </w:rPr>
              <w:t>18,942</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63,266.28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Canaan IX L.P.</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2,209,833</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7,380,842.22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7"/>
                <w:szCs w:val="17"/>
                <w:color w:val="auto"/>
              </w:rPr>
              <w:t>Sean Cassidy(3)</w:t>
            </w:r>
          </w:p>
        </w:tc>
        <w:tc>
          <w:tcPr>
            <w:tcW w:w="2920" w:type="dxa"/>
            <w:vAlign w:val="bottom"/>
            <w:gridSpan w:val="2"/>
          </w:tcPr>
          <w:p>
            <w:pPr>
              <w:jc w:val="right"/>
              <w:spacing w:after="0"/>
              <w:rPr>
                <w:sz w:val="20"/>
                <w:szCs w:val="20"/>
                <w:color w:val="auto"/>
              </w:rPr>
            </w:pPr>
            <w:r>
              <w:rPr>
                <w:rFonts w:ascii="Arial" w:cs="Arial" w:eastAsia="Arial" w:hAnsi="Arial"/>
                <w:sz w:val="17"/>
                <w:szCs w:val="17"/>
                <w:color w:val="auto"/>
              </w:rPr>
              <w:t>2,368</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7,909.12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Craig Crews, Ph.D.</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23,677</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79,081.18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7"/>
                <w:szCs w:val="17"/>
                <w:color w:val="auto"/>
              </w:rPr>
              <w:t>John Houston, Ph.D.(4)</w:t>
            </w:r>
          </w:p>
        </w:tc>
        <w:tc>
          <w:tcPr>
            <w:tcW w:w="2920" w:type="dxa"/>
            <w:vAlign w:val="bottom"/>
            <w:gridSpan w:val="2"/>
          </w:tcPr>
          <w:p>
            <w:pPr>
              <w:jc w:val="right"/>
              <w:spacing w:after="0"/>
              <w:rPr>
                <w:sz w:val="20"/>
                <w:szCs w:val="20"/>
                <w:color w:val="auto"/>
              </w:rPr>
            </w:pPr>
            <w:r>
              <w:rPr>
                <w:rFonts w:ascii="Arial" w:cs="Arial" w:eastAsia="Arial" w:hAnsi="Arial"/>
                <w:sz w:val="17"/>
                <w:szCs w:val="17"/>
                <w:color w:val="auto"/>
              </w:rPr>
              <w:t>40,573</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135,513.82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Manuel Litchman, M.D.(5)</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12,785</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42,701.90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7"/>
                <w:szCs w:val="17"/>
                <w:color w:val="auto"/>
              </w:rPr>
              <w:t>New Leaf Ventures III, L.P</w:t>
            </w:r>
          </w:p>
        </w:tc>
        <w:tc>
          <w:tcPr>
            <w:tcW w:w="2920" w:type="dxa"/>
            <w:vAlign w:val="bottom"/>
            <w:gridSpan w:val="2"/>
          </w:tcPr>
          <w:p>
            <w:pPr>
              <w:jc w:val="right"/>
              <w:spacing w:after="0"/>
              <w:rPr>
                <w:sz w:val="20"/>
                <w:szCs w:val="20"/>
                <w:color w:val="auto"/>
              </w:rPr>
            </w:pPr>
            <w:r>
              <w:rPr>
                <w:rFonts w:ascii="Arial" w:cs="Arial" w:eastAsia="Arial" w:hAnsi="Arial"/>
                <w:sz w:val="17"/>
                <w:szCs w:val="17"/>
                <w:color w:val="auto"/>
              </w:rPr>
              <w:t>568,252</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1,897,961.68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OrbiMed Private Investments VI, LP</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710,315</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2,372,452.10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7"/>
                <w:szCs w:val="17"/>
                <w:color w:val="auto"/>
              </w:rPr>
              <w:t>Entities affiliated with RA Capital Management, LLC(6)</w:t>
            </w:r>
          </w:p>
        </w:tc>
        <w:tc>
          <w:tcPr>
            <w:tcW w:w="162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947,085</w:t>
            </w:r>
          </w:p>
        </w:tc>
        <w:tc>
          <w:tcPr>
            <w:tcW w:w="6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3,163,263.90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6,743,663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22,523,834.42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83185</wp:posOffset>
            </wp:positionV>
            <wp:extent cx="67437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74370" cy="8255"/>
                    </a:xfrm>
                    <a:prstGeom prst="rect">
                      <a:avLst/>
                    </a:prstGeom>
                    <a:noFill/>
                  </pic:spPr>
                </pic:pic>
              </a:graphicData>
            </a:graphic>
          </wp:anchor>
        </w:drawing>
      </w:r>
    </w:p>
    <w:p>
      <w:pPr>
        <w:spacing w:after="0" w:line="163" w:lineRule="exact"/>
        <w:rPr>
          <w:sz w:val="20"/>
          <w:szCs w:val="20"/>
          <w:color w:val="auto"/>
        </w:rPr>
      </w:pPr>
    </w:p>
    <w:p>
      <w:pPr>
        <w:ind w:left="880" w:right="560" w:hanging="515"/>
        <w:spacing w:after="0" w:line="241" w:lineRule="auto"/>
        <w:tabs>
          <w:tab w:leader="none" w:pos="88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Consists of (i) 2,154,311 series C preferred units purchased by 5AM Ventures III, L.P. and (ii) 55,522 series C preferred units purchased by 5AM Co-Investors III, L.P.</w:t>
      </w:r>
    </w:p>
    <w:p>
      <w:pPr>
        <w:ind w:left="880" w:hanging="515"/>
        <w:spacing w:after="0"/>
        <w:tabs>
          <w:tab w:leader="none" w:pos="88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Mr. Bradley Margus, a member of our board of directors, is a co-trustee of the Bradley A. Margus Revocable Trust.</w:t>
      </w:r>
    </w:p>
    <w:p>
      <w:pPr>
        <w:spacing w:after="0" w:line="1" w:lineRule="exact"/>
        <w:rPr>
          <w:rFonts w:ascii="Arial" w:cs="Arial" w:eastAsia="Arial" w:hAnsi="Arial"/>
          <w:sz w:val="17"/>
          <w:szCs w:val="17"/>
          <w:color w:val="auto"/>
        </w:rPr>
      </w:pPr>
    </w:p>
    <w:p>
      <w:pPr>
        <w:ind w:left="880" w:hanging="515"/>
        <w:spacing w:after="0"/>
        <w:tabs>
          <w:tab w:leader="none" w:pos="88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Mr. Sean Cassidy is our Chief Financial Officer.</w:t>
      </w:r>
    </w:p>
    <w:p>
      <w:pPr>
        <w:spacing w:after="0" w:line="1" w:lineRule="exact"/>
        <w:rPr>
          <w:rFonts w:ascii="Arial" w:cs="Arial" w:eastAsia="Arial" w:hAnsi="Arial"/>
          <w:sz w:val="17"/>
          <w:szCs w:val="17"/>
          <w:color w:val="auto"/>
        </w:rPr>
      </w:pPr>
    </w:p>
    <w:p>
      <w:pPr>
        <w:ind w:left="880" w:hanging="515"/>
        <w:spacing w:after="0"/>
        <w:tabs>
          <w:tab w:leader="none" w:pos="88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Dr. John Houston is our President and Chief Executive Officer.</w:t>
      </w:r>
    </w:p>
    <w:p>
      <w:pPr>
        <w:spacing w:after="0" w:line="1" w:lineRule="exact"/>
        <w:rPr>
          <w:rFonts w:ascii="Arial" w:cs="Arial" w:eastAsia="Arial" w:hAnsi="Arial"/>
          <w:sz w:val="17"/>
          <w:szCs w:val="17"/>
          <w:color w:val="auto"/>
        </w:rPr>
      </w:pPr>
    </w:p>
    <w:p>
      <w:pPr>
        <w:ind w:left="880" w:hanging="515"/>
        <w:spacing w:after="0"/>
        <w:tabs>
          <w:tab w:leader="none" w:pos="88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Dr. Manuel Litchman resigned as our President and Chief Executive Officer in February 2017.</w:t>
      </w:r>
    </w:p>
    <w:p>
      <w:pPr>
        <w:spacing w:after="0" w:line="1" w:lineRule="exact"/>
        <w:rPr>
          <w:rFonts w:ascii="Arial" w:cs="Arial" w:eastAsia="Arial" w:hAnsi="Arial"/>
          <w:sz w:val="17"/>
          <w:szCs w:val="17"/>
          <w:color w:val="auto"/>
        </w:rPr>
      </w:pPr>
    </w:p>
    <w:p>
      <w:pPr>
        <w:ind w:left="880" w:right="140" w:hanging="515"/>
        <w:spacing w:after="0" w:line="259" w:lineRule="auto"/>
        <w:tabs>
          <w:tab w:leader="none" w:pos="88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Consists of (i) 770,927 series C preferred units purchased by RA Capital Healthcare Fund, L.P. and (ii) 176,158 series C preferred units purchased by Blackwell Partners LLC—Series A.</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170</w:t>
      </w:r>
    </w:p>
    <w:p>
      <w:pPr>
        <w:sectPr>
          <w:pgSz w:w="11900" w:h="16838" w:orient="portrait"/>
          <w:cols w:equalWidth="0" w:num="1">
            <w:col w:w="11060"/>
          </w:cols>
          <w:pgMar w:left="240" w:top="449" w:right="599" w:bottom="1440" w:gutter="0" w:footer="0" w:header="0"/>
        </w:sectPr>
      </w:pPr>
    </w:p>
    <w:bookmarkStart w:id="172" w:name="page173"/>
    <w:bookmarkEnd w:id="1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Series B Preferred Unit Financing</w:t>
      </w:r>
    </w:p>
    <w:p>
      <w:pPr>
        <w:spacing w:after="0" w:line="233" w:lineRule="exact"/>
        <w:rPr>
          <w:sz w:val="20"/>
          <w:szCs w:val="20"/>
          <w:color w:val="auto"/>
        </w:rPr>
      </w:pPr>
    </w:p>
    <w:p>
      <w:pPr>
        <w:ind w:left="360" w:right="340" w:firstLine="535"/>
        <w:spacing w:after="0" w:line="247" w:lineRule="auto"/>
        <w:rPr>
          <w:sz w:val="20"/>
          <w:szCs w:val="20"/>
          <w:color w:val="auto"/>
        </w:rPr>
      </w:pPr>
      <w:r>
        <w:rPr>
          <w:rFonts w:ascii="Arial" w:cs="Arial" w:eastAsia="Arial" w:hAnsi="Arial"/>
          <w:sz w:val="17"/>
          <w:szCs w:val="17"/>
          <w:color w:val="auto"/>
        </w:rPr>
        <w:t>In October 2015, we issued and sold an aggregate of 24,977,489 series B preferred units at a price per unit of $1.6659, for an aggregate purchase price of $41.6 million. The following table sets forth the number of our series B preferred units purchased by our directors, executive officers and holders of 5% or more of our voting securities and their affiliates and the aggregate purchase price for such shares.</w:t>
      </w:r>
    </w:p>
    <w:p>
      <w:pPr>
        <w:spacing w:after="0" w:line="204"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960" w:type="dxa"/>
            <w:vAlign w:val="bottom"/>
            <w:gridSpan w:val="2"/>
          </w:tcPr>
          <w:p>
            <w:pPr>
              <w:jc w:val="center"/>
              <w:ind w:left="1575"/>
              <w:spacing w:after="0"/>
              <w:rPr>
                <w:sz w:val="20"/>
                <w:szCs w:val="20"/>
                <w:color w:val="auto"/>
              </w:rPr>
            </w:pPr>
            <w:r>
              <w:rPr>
                <w:rFonts w:ascii="Arial" w:cs="Arial" w:eastAsia="Arial" w:hAnsi="Arial"/>
                <w:sz w:val="14"/>
                <w:szCs w:val="14"/>
                <w:b w:val="1"/>
                <w:bCs w:val="1"/>
                <w:color w:val="auto"/>
              </w:rPr>
              <w:t>Number of Series B</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660" w:type="dxa"/>
            <w:vAlign w:val="bottom"/>
          </w:tcPr>
          <w:p>
            <w:pPr>
              <w:spacing w:after="0"/>
              <w:rPr>
                <w:sz w:val="13"/>
                <w:szCs w:val="13"/>
                <w:color w:val="auto"/>
              </w:rPr>
            </w:pPr>
          </w:p>
        </w:tc>
        <w:tc>
          <w:tcPr>
            <w:tcW w:w="13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Preferred Units</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56"/>
        </w:trPr>
        <w:tc>
          <w:tcPr>
            <w:tcW w:w="5880" w:type="dxa"/>
            <w:vAlign w:val="bottom"/>
            <w:gridSpan w:val="3"/>
            <w:vMerge w:val="continue"/>
          </w:tcPr>
          <w:p>
            <w:pPr>
              <w:spacing w:after="0"/>
              <w:rPr>
                <w:sz w:val="13"/>
                <w:szCs w:val="13"/>
                <w:color w:val="auto"/>
              </w:rPr>
            </w:pPr>
          </w:p>
        </w:tc>
        <w:tc>
          <w:tcPr>
            <w:tcW w:w="1660" w:type="dxa"/>
            <w:vAlign w:val="bottom"/>
          </w:tcPr>
          <w:p>
            <w:pPr>
              <w:spacing w:after="0"/>
              <w:rPr>
                <w:sz w:val="13"/>
                <w:szCs w:val="13"/>
                <w:color w:val="auto"/>
              </w:rPr>
            </w:pPr>
          </w:p>
        </w:tc>
        <w:tc>
          <w:tcPr>
            <w:tcW w:w="13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7"/>
              </w:rPr>
              <w:t>Purchased</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rPr>
              <w:t>Purchase 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548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86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Entities affiliated with 5AM Partners III, LLC(1)</w:t>
            </w:r>
          </w:p>
        </w:tc>
        <w:tc>
          <w:tcPr>
            <w:tcW w:w="16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4,462,837</w:t>
            </w: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7,434,640.16</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60" w:type="dxa"/>
            <w:vAlign w:val="bottom"/>
            <w:gridSpan w:val="2"/>
          </w:tcPr>
          <w:p>
            <w:pPr>
              <w:spacing w:after="0"/>
              <w:rPr>
                <w:sz w:val="20"/>
                <w:szCs w:val="20"/>
                <w:color w:val="auto"/>
              </w:rPr>
            </w:pPr>
            <w:r>
              <w:rPr>
                <w:rFonts w:ascii="Arial" w:cs="Arial" w:eastAsia="Arial" w:hAnsi="Arial"/>
                <w:sz w:val="17"/>
                <w:szCs w:val="17"/>
                <w:color w:val="auto"/>
              </w:rPr>
              <w:t>Bradley A. Margus Revocable Trust(2)</w:t>
            </w:r>
          </w:p>
        </w:tc>
        <w:tc>
          <w:tcPr>
            <w:tcW w:w="2960" w:type="dxa"/>
            <w:vAlign w:val="bottom"/>
            <w:gridSpan w:val="2"/>
          </w:tcPr>
          <w:p>
            <w:pPr>
              <w:jc w:val="right"/>
              <w:spacing w:after="0"/>
              <w:rPr>
                <w:sz w:val="20"/>
                <w:szCs w:val="20"/>
                <w:color w:val="auto"/>
              </w:rPr>
            </w:pPr>
            <w:r>
              <w:rPr>
                <w:rFonts w:ascii="Arial" w:cs="Arial" w:eastAsia="Arial" w:hAnsi="Arial"/>
                <w:sz w:val="17"/>
                <w:szCs w:val="17"/>
                <w:color w:val="auto"/>
              </w:rPr>
              <w:t>120,055</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199,999.62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Canaan IX L.P</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4,462,837</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7,434,640.16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60" w:type="dxa"/>
            <w:vAlign w:val="bottom"/>
            <w:gridSpan w:val="2"/>
          </w:tcPr>
          <w:p>
            <w:pPr>
              <w:spacing w:after="0"/>
              <w:rPr>
                <w:sz w:val="20"/>
                <w:szCs w:val="20"/>
                <w:color w:val="auto"/>
              </w:rPr>
            </w:pPr>
            <w:r>
              <w:rPr>
                <w:rFonts w:ascii="Arial" w:cs="Arial" w:eastAsia="Arial" w:hAnsi="Arial"/>
                <w:sz w:val="17"/>
                <w:szCs w:val="17"/>
                <w:color w:val="auto"/>
              </w:rPr>
              <w:t>Sean Cassidy(3)</w:t>
            </w:r>
          </w:p>
        </w:tc>
        <w:tc>
          <w:tcPr>
            <w:tcW w:w="2960" w:type="dxa"/>
            <w:vAlign w:val="bottom"/>
            <w:gridSpan w:val="2"/>
          </w:tcPr>
          <w:p>
            <w:pPr>
              <w:jc w:val="right"/>
              <w:spacing w:after="0"/>
              <w:rPr>
                <w:sz w:val="20"/>
                <w:szCs w:val="20"/>
                <w:color w:val="auto"/>
              </w:rPr>
            </w:pPr>
            <w:r>
              <w:rPr>
                <w:rFonts w:ascii="Arial" w:cs="Arial" w:eastAsia="Arial" w:hAnsi="Arial"/>
                <w:sz w:val="17"/>
                <w:szCs w:val="17"/>
                <w:color w:val="auto"/>
              </w:rPr>
              <w:t>15,007</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25,000.16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Craig Crews, Ph.D.</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150,069</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249,999.95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60" w:type="dxa"/>
            <w:vAlign w:val="bottom"/>
            <w:gridSpan w:val="2"/>
          </w:tcPr>
          <w:p>
            <w:pPr>
              <w:spacing w:after="0"/>
              <w:rPr>
                <w:sz w:val="20"/>
                <w:szCs w:val="20"/>
                <w:color w:val="auto"/>
              </w:rPr>
            </w:pPr>
            <w:r>
              <w:rPr>
                <w:rFonts w:ascii="Arial" w:cs="Arial" w:eastAsia="Arial" w:hAnsi="Arial"/>
                <w:sz w:val="17"/>
                <w:szCs w:val="17"/>
                <w:color w:val="auto"/>
              </w:rPr>
              <w:t>Manuel Litchman, M.D.(4)</w:t>
            </w:r>
          </w:p>
        </w:tc>
        <w:tc>
          <w:tcPr>
            <w:tcW w:w="2960" w:type="dxa"/>
            <w:vAlign w:val="bottom"/>
            <w:gridSpan w:val="2"/>
          </w:tcPr>
          <w:p>
            <w:pPr>
              <w:jc w:val="right"/>
              <w:spacing w:after="0"/>
              <w:rPr>
                <w:sz w:val="20"/>
                <w:szCs w:val="20"/>
                <w:color w:val="auto"/>
              </w:rPr>
            </w:pPr>
            <w:r>
              <w:rPr>
                <w:rFonts w:ascii="Arial" w:cs="Arial" w:eastAsia="Arial" w:hAnsi="Arial"/>
                <w:sz w:val="17"/>
                <w:szCs w:val="17"/>
                <w:color w:val="auto"/>
              </w:rPr>
              <w:t>81,037</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134,999.54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New Leaf Ventures III, L.P.</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3,601,657</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6,000,000.40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60" w:type="dxa"/>
            <w:vAlign w:val="bottom"/>
            <w:gridSpan w:val="2"/>
          </w:tcPr>
          <w:p>
            <w:pPr>
              <w:spacing w:after="0"/>
              <w:rPr>
                <w:sz w:val="20"/>
                <w:szCs w:val="20"/>
                <w:color w:val="auto"/>
              </w:rPr>
            </w:pPr>
            <w:r>
              <w:rPr>
                <w:rFonts w:ascii="Arial" w:cs="Arial" w:eastAsia="Arial" w:hAnsi="Arial"/>
                <w:sz w:val="17"/>
                <w:szCs w:val="17"/>
                <w:color w:val="auto"/>
              </w:rPr>
              <w:t>OrbiMed Private Investments VI, LP</w:t>
            </w:r>
          </w:p>
        </w:tc>
        <w:tc>
          <w:tcPr>
            <w:tcW w:w="2960" w:type="dxa"/>
            <w:vAlign w:val="bottom"/>
            <w:gridSpan w:val="2"/>
          </w:tcPr>
          <w:p>
            <w:pPr>
              <w:jc w:val="right"/>
              <w:spacing w:after="0"/>
              <w:rPr>
                <w:sz w:val="20"/>
                <w:szCs w:val="20"/>
                <w:color w:val="auto"/>
              </w:rPr>
            </w:pPr>
            <w:r>
              <w:rPr>
                <w:rFonts w:ascii="Arial" w:cs="Arial" w:eastAsia="Arial" w:hAnsi="Arial"/>
                <w:sz w:val="17"/>
                <w:szCs w:val="17"/>
                <w:color w:val="auto"/>
              </w:rPr>
              <w:t>4,502,071</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7,500,000.08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Entities affiliated with RA Capital Management, LLC(5)</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6,002,761</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9,999,999.55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880" w:type="dxa"/>
            <w:vAlign w:val="bottom"/>
            <w:gridSpan w:val="3"/>
          </w:tcPr>
          <w:p>
            <w:pPr>
              <w:spacing w:after="0"/>
              <w:rPr>
                <w:sz w:val="20"/>
                <w:szCs w:val="20"/>
                <w:color w:val="auto"/>
              </w:rPr>
            </w:pPr>
            <w:r>
              <w:rPr>
                <w:rFonts w:ascii="Arial" w:cs="Arial" w:eastAsia="Arial" w:hAnsi="Arial"/>
                <w:sz w:val="17"/>
                <w:szCs w:val="17"/>
                <w:b w:val="1"/>
                <w:bCs w:val="1"/>
                <w:color w:val="auto"/>
              </w:rPr>
              <w:t>Total</w:t>
            </w:r>
          </w:p>
        </w:tc>
        <w:tc>
          <w:tcPr>
            <w:tcW w:w="166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23,398,331</w:t>
            </w:r>
          </w:p>
        </w:tc>
        <w:tc>
          <w:tcPr>
            <w:tcW w:w="5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38,979,279.62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69215</wp:posOffset>
            </wp:positionV>
            <wp:extent cx="6743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74370" cy="8255"/>
                    </a:xfrm>
                    <a:prstGeom prst="rect">
                      <a:avLst/>
                    </a:prstGeom>
                    <a:noFill/>
                  </pic:spPr>
                </pic:pic>
              </a:graphicData>
            </a:graphic>
          </wp:anchor>
        </w:drawing>
      </w:r>
    </w:p>
    <w:p>
      <w:pPr>
        <w:spacing w:after="0" w:line="140" w:lineRule="exact"/>
        <w:rPr>
          <w:sz w:val="20"/>
          <w:szCs w:val="20"/>
          <w:color w:val="auto"/>
        </w:rPr>
      </w:pPr>
    </w:p>
    <w:p>
      <w:pPr>
        <w:ind w:left="880" w:right="480" w:hanging="515"/>
        <w:spacing w:after="0" w:line="241" w:lineRule="auto"/>
        <w:tabs>
          <w:tab w:leader="none" w:pos="8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Consists of (i) 4,350,709 series B preferred units purchased by 5AM Ventures III, L.P. and (ii) 112,128 series B preferred units purchased by 5AM Co-Investors III, L.P.</w:t>
      </w:r>
    </w:p>
    <w:p>
      <w:pPr>
        <w:ind w:left="880" w:hanging="515"/>
        <w:spacing w:after="0"/>
        <w:tabs>
          <w:tab w:leader="none" w:pos="8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Mr. Bradley Margus, a member of our board of directors, is a co-trustee of the Bradley A. Margus Revocable Trust.</w:t>
      </w:r>
    </w:p>
    <w:p>
      <w:pPr>
        <w:spacing w:after="0" w:line="1" w:lineRule="exact"/>
        <w:rPr>
          <w:rFonts w:ascii="Arial" w:cs="Arial" w:eastAsia="Arial" w:hAnsi="Arial"/>
          <w:sz w:val="17"/>
          <w:szCs w:val="17"/>
          <w:color w:val="auto"/>
        </w:rPr>
      </w:pPr>
    </w:p>
    <w:p>
      <w:pPr>
        <w:ind w:left="880" w:hanging="515"/>
        <w:spacing w:after="0"/>
        <w:tabs>
          <w:tab w:leader="none" w:pos="8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Mr. Sean Cassidy is our Chief Financial Officer.</w:t>
      </w:r>
    </w:p>
    <w:p>
      <w:pPr>
        <w:spacing w:after="0" w:line="1" w:lineRule="exact"/>
        <w:rPr>
          <w:rFonts w:ascii="Arial" w:cs="Arial" w:eastAsia="Arial" w:hAnsi="Arial"/>
          <w:sz w:val="17"/>
          <w:szCs w:val="17"/>
          <w:color w:val="auto"/>
        </w:rPr>
      </w:pPr>
    </w:p>
    <w:p>
      <w:pPr>
        <w:ind w:left="880" w:hanging="515"/>
        <w:spacing w:after="0"/>
        <w:tabs>
          <w:tab w:leader="none" w:pos="8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Dr. Manuel Litchman resigned as our President and Chief Executive Officer in February 2017.</w:t>
      </w:r>
    </w:p>
    <w:p>
      <w:pPr>
        <w:spacing w:after="0" w:line="1" w:lineRule="exact"/>
        <w:rPr>
          <w:rFonts w:ascii="Arial" w:cs="Arial" w:eastAsia="Arial" w:hAnsi="Arial"/>
          <w:sz w:val="17"/>
          <w:szCs w:val="17"/>
          <w:color w:val="auto"/>
        </w:rPr>
      </w:pPr>
    </w:p>
    <w:p>
      <w:pPr>
        <w:ind w:left="880" w:right="20" w:hanging="515"/>
        <w:spacing w:after="0" w:line="259" w:lineRule="auto"/>
        <w:tabs>
          <w:tab w:leader="none" w:pos="8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Consists of (i) 5,042,319 series B preferred units purchased by RA Capital Healthcare Fund, L.P. and (ii) 960,442 series B preferred units purchased by Blackwell Partners LLC—Series A.</w:t>
      </w:r>
    </w:p>
    <w:p>
      <w:pPr>
        <w:spacing w:after="0" w:line="264"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Participation in Offering</w:t>
      </w:r>
    </w:p>
    <w:p>
      <w:pPr>
        <w:spacing w:after="0" w:line="233" w:lineRule="exact"/>
        <w:rPr>
          <w:sz w:val="20"/>
          <w:szCs w:val="20"/>
          <w:color w:val="auto"/>
        </w:rPr>
      </w:pPr>
    </w:p>
    <w:p>
      <w:pPr>
        <w:ind w:left="360" w:right="220" w:firstLine="535"/>
        <w:spacing w:after="0" w:line="245" w:lineRule="auto"/>
        <w:rPr>
          <w:sz w:val="20"/>
          <w:szCs w:val="20"/>
          <w:color w:val="auto"/>
        </w:rPr>
      </w:pPr>
      <w:r>
        <w:rPr>
          <w:rFonts w:ascii="Arial" w:cs="Arial" w:eastAsia="Arial" w:hAnsi="Arial"/>
          <w:sz w:val="17"/>
          <w:szCs w:val="17"/>
          <w:color w:val="auto"/>
        </w:rPr>
        <w:t>Certain of our existing principal stockholders and their affiliated entities have indicated an interest in purchasing an aggregate of approximately $53 million in shares of our common stock in this offering at the initial public offering price and on the same terms and conditions as the other purchasers in this offering. Based on these indications of interest, these potential purchasers would purchase an aggregate of approximately 3,312,500 of the 7,500,000 shares in this offering. However, because indications of interest are not binding agreements or commitments to purchase, the underwriters could determine to sell more, fewer or no shares to any of these potential purchasers, and any of these potential purchasers could determine to purchase more, fewer or no shares in this offering.</w:t>
      </w:r>
    </w:p>
    <w:p>
      <w:pPr>
        <w:spacing w:after="0" w:line="12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171</w:t>
      </w:r>
    </w:p>
    <w:p>
      <w:pPr>
        <w:sectPr>
          <w:pgSz w:w="11900" w:h="16838" w:orient="portrait"/>
          <w:cols w:equalWidth="0" w:num="1">
            <w:col w:w="11060"/>
          </w:cols>
          <w:pgMar w:left="240" w:top="450" w:right="599" w:bottom="1440" w:gutter="0" w:footer="0" w:header="0"/>
        </w:sectPr>
      </w:pPr>
    </w:p>
    <w:bookmarkStart w:id="173" w:name="page174"/>
    <w:bookmarkEnd w:id="1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Director Affiliations</w:t>
      </w:r>
    </w:p>
    <w:p>
      <w:pPr>
        <w:spacing w:after="0" w:line="233" w:lineRule="exact"/>
        <w:rPr>
          <w:sz w:val="20"/>
          <w:szCs w:val="20"/>
          <w:color w:val="auto"/>
        </w:rPr>
      </w:pPr>
    </w:p>
    <w:p>
      <w:pPr>
        <w:jc w:val="both"/>
        <w:ind w:left="360" w:right="900" w:firstLine="535"/>
        <w:spacing w:after="0" w:line="259" w:lineRule="auto"/>
        <w:rPr>
          <w:sz w:val="20"/>
          <w:szCs w:val="20"/>
          <w:color w:val="auto"/>
        </w:rPr>
      </w:pPr>
      <w:r>
        <w:rPr>
          <w:rFonts w:ascii="Arial" w:cs="Arial" w:eastAsia="Arial" w:hAnsi="Arial"/>
          <w:sz w:val="17"/>
          <w:szCs w:val="17"/>
          <w:color w:val="auto"/>
        </w:rPr>
        <w:t>Some of our directors are affiliated with and, prior to the closing of this offering have served on our board of directors as representatives of entities which beneficially own or owned 5% or more of our voting securities, as indicated in the table below:</w:t>
      </w:r>
    </w:p>
    <w:p>
      <w:pPr>
        <w:spacing w:after="0" w:line="183" w:lineRule="exact"/>
        <w:rPr>
          <w:sz w:val="20"/>
          <w:szCs w:val="20"/>
          <w:color w:val="auto"/>
        </w:rPr>
      </w:pPr>
    </w:p>
    <w:tbl>
      <w:tblPr>
        <w:tblLayout w:type="fixed"/>
        <w:tblInd w:w="360" w:type="dxa"/>
        <w:tblCellMar>
          <w:top w:w="0" w:type="dxa"/>
          <w:left w:w="0" w:type="dxa"/>
          <w:bottom w:w="0" w:type="dxa"/>
          <w:right w:w="0" w:type="dxa"/>
        </w:tblCellMar>
      </w:tblPr>
      <w:tr>
        <w:trPr>
          <w:trHeight w:val="195"/>
        </w:trPr>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Directors</w:t>
            </w:r>
          </w:p>
        </w:tc>
        <w:tc>
          <w:tcPr>
            <w:tcW w:w="4900" w:type="dxa"/>
            <w:vAlign w:val="bottom"/>
          </w:tcPr>
          <w:p>
            <w:pPr>
              <w:spacing w:after="0"/>
              <w:rPr>
                <w:sz w:val="16"/>
                <w:szCs w:val="16"/>
                <w:color w:val="auto"/>
              </w:rPr>
            </w:pPr>
          </w:p>
        </w:tc>
        <w:tc>
          <w:tcPr>
            <w:tcW w:w="18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Principal Equityholder</w:t>
            </w:r>
          </w:p>
        </w:tc>
        <w:tc>
          <w:tcPr>
            <w:tcW w:w="1220" w:type="dxa"/>
            <w:vAlign w:val="bottom"/>
          </w:tcPr>
          <w:p>
            <w:pPr>
              <w:spacing w:after="0"/>
              <w:rPr>
                <w:sz w:val="16"/>
                <w:szCs w:val="16"/>
                <w:color w:val="auto"/>
              </w:rPr>
            </w:pPr>
          </w:p>
        </w:tc>
      </w:tr>
      <w:tr>
        <w:trPr>
          <w:trHeight w:val="202"/>
        </w:trPr>
        <w:tc>
          <w:tcPr>
            <w:tcW w:w="5680" w:type="dxa"/>
            <w:vAlign w:val="bottom"/>
            <w:gridSpan w:val="2"/>
          </w:tcPr>
          <w:p>
            <w:pPr>
              <w:spacing w:after="0"/>
              <w:rPr>
                <w:sz w:val="20"/>
                <w:szCs w:val="20"/>
                <w:color w:val="auto"/>
              </w:rPr>
            </w:pPr>
            <w:r>
              <w:rPr>
                <w:rFonts w:ascii="Arial" w:cs="Arial" w:eastAsia="Arial" w:hAnsi="Arial"/>
                <w:sz w:val="17"/>
                <w:szCs w:val="17"/>
                <w:color w:val="auto"/>
              </w:rPr>
              <w:t>Timothy Shannon, M.D.</w:t>
            </w:r>
          </w:p>
        </w:tc>
        <w:tc>
          <w:tcPr>
            <w:tcW w:w="3080" w:type="dxa"/>
            <w:vAlign w:val="bottom"/>
            <w:gridSpan w:val="2"/>
          </w:tcPr>
          <w:p>
            <w:pPr>
              <w:spacing w:after="0"/>
              <w:rPr>
                <w:sz w:val="20"/>
                <w:szCs w:val="20"/>
                <w:color w:val="auto"/>
              </w:rPr>
            </w:pPr>
            <w:r>
              <w:rPr>
                <w:rFonts w:ascii="Arial" w:cs="Arial" w:eastAsia="Arial" w:hAnsi="Arial"/>
                <w:sz w:val="17"/>
                <w:szCs w:val="17"/>
                <w:color w:val="auto"/>
              </w:rPr>
              <w:t>Canaan IX L.P.</w:t>
            </w:r>
          </w:p>
        </w:tc>
      </w:tr>
      <w:tr>
        <w:trPr>
          <w:trHeight w:val="197"/>
        </w:trPr>
        <w:tc>
          <w:tcPr>
            <w:tcW w:w="5680" w:type="dxa"/>
            <w:vAlign w:val="bottom"/>
            <w:gridSpan w:val="2"/>
          </w:tcPr>
          <w:p>
            <w:pPr>
              <w:spacing w:after="0"/>
              <w:rPr>
                <w:sz w:val="20"/>
                <w:szCs w:val="20"/>
                <w:color w:val="auto"/>
              </w:rPr>
            </w:pPr>
            <w:r>
              <w:rPr>
                <w:rFonts w:ascii="Arial" w:cs="Arial" w:eastAsia="Arial" w:hAnsi="Arial"/>
                <w:sz w:val="17"/>
                <w:szCs w:val="17"/>
                <w:color w:val="auto"/>
              </w:rPr>
              <w:t>Andrew Levin, M.D., Ph.D.</w:t>
            </w:r>
          </w:p>
        </w:tc>
        <w:tc>
          <w:tcPr>
            <w:tcW w:w="3080" w:type="dxa"/>
            <w:vAlign w:val="bottom"/>
            <w:gridSpan w:val="2"/>
          </w:tcPr>
          <w:p>
            <w:pPr>
              <w:spacing w:after="0"/>
              <w:rPr>
                <w:sz w:val="20"/>
                <w:szCs w:val="20"/>
                <w:color w:val="auto"/>
              </w:rPr>
            </w:pPr>
            <w:r>
              <w:rPr>
                <w:rFonts w:ascii="Arial" w:cs="Arial" w:eastAsia="Arial" w:hAnsi="Arial"/>
                <w:sz w:val="17"/>
                <w:szCs w:val="17"/>
                <w:color w:val="auto"/>
              </w:rPr>
              <w:t>RA Capital Healthcare Fund, L.P.</w:t>
            </w:r>
          </w:p>
        </w:tc>
      </w:tr>
      <w:tr>
        <w:trPr>
          <w:trHeight w:val="197"/>
        </w:trPr>
        <w:tc>
          <w:tcPr>
            <w:tcW w:w="5680" w:type="dxa"/>
            <w:vAlign w:val="bottom"/>
            <w:gridSpan w:val="2"/>
          </w:tcPr>
          <w:p>
            <w:pPr>
              <w:spacing w:after="0"/>
              <w:rPr>
                <w:sz w:val="20"/>
                <w:szCs w:val="20"/>
                <w:color w:val="auto"/>
              </w:rPr>
            </w:pPr>
            <w:r>
              <w:rPr>
                <w:rFonts w:ascii="Arial" w:cs="Arial" w:eastAsia="Arial" w:hAnsi="Arial"/>
                <w:sz w:val="17"/>
                <w:szCs w:val="17"/>
                <w:color w:val="auto"/>
              </w:rPr>
              <w:t>Jakob Loven, Ph.D.</w:t>
            </w:r>
          </w:p>
        </w:tc>
        <w:tc>
          <w:tcPr>
            <w:tcW w:w="3080" w:type="dxa"/>
            <w:vAlign w:val="bottom"/>
            <w:gridSpan w:val="2"/>
          </w:tcPr>
          <w:p>
            <w:pPr>
              <w:spacing w:after="0"/>
              <w:rPr>
                <w:sz w:val="20"/>
                <w:szCs w:val="20"/>
                <w:color w:val="auto"/>
              </w:rPr>
            </w:pPr>
            <w:r>
              <w:rPr>
                <w:rFonts w:ascii="Arial" w:cs="Arial" w:eastAsia="Arial" w:hAnsi="Arial"/>
                <w:sz w:val="17"/>
                <w:szCs w:val="17"/>
                <w:color w:val="auto"/>
              </w:rPr>
              <w:t>Nextech V Oncology S.C.S., SICAV-SIF</w:t>
            </w:r>
          </w:p>
        </w:tc>
      </w:tr>
      <w:tr>
        <w:trPr>
          <w:trHeight w:val="197"/>
        </w:trPr>
        <w:tc>
          <w:tcPr>
            <w:tcW w:w="5680" w:type="dxa"/>
            <w:vAlign w:val="bottom"/>
            <w:gridSpan w:val="2"/>
          </w:tcPr>
          <w:p>
            <w:pPr>
              <w:spacing w:after="0"/>
              <w:rPr>
                <w:sz w:val="20"/>
                <w:szCs w:val="20"/>
                <w:color w:val="auto"/>
              </w:rPr>
            </w:pPr>
            <w:r>
              <w:rPr>
                <w:rFonts w:ascii="Arial" w:cs="Arial" w:eastAsia="Arial" w:hAnsi="Arial"/>
                <w:sz w:val="17"/>
                <w:szCs w:val="17"/>
                <w:color w:val="auto"/>
              </w:rPr>
              <w:t>Kush Parmar, M.D. Ph.D.</w:t>
            </w:r>
          </w:p>
        </w:tc>
        <w:tc>
          <w:tcPr>
            <w:tcW w:w="3080" w:type="dxa"/>
            <w:vAlign w:val="bottom"/>
            <w:gridSpan w:val="2"/>
          </w:tcPr>
          <w:p>
            <w:pPr>
              <w:spacing w:after="0"/>
              <w:rPr>
                <w:sz w:val="20"/>
                <w:szCs w:val="20"/>
                <w:color w:val="auto"/>
              </w:rPr>
            </w:pPr>
            <w:r>
              <w:rPr>
                <w:rFonts w:ascii="Arial" w:cs="Arial" w:eastAsia="Arial" w:hAnsi="Arial"/>
                <w:sz w:val="17"/>
                <w:szCs w:val="17"/>
                <w:color w:val="auto"/>
              </w:rPr>
              <w:t>5AM Ventures III, L.P. and affiliate</w:t>
            </w:r>
          </w:p>
        </w:tc>
      </w:tr>
      <w:tr>
        <w:trPr>
          <w:trHeight w:val="197"/>
        </w:trPr>
        <w:tc>
          <w:tcPr>
            <w:tcW w:w="5680" w:type="dxa"/>
            <w:vAlign w:val="bottom"/>
            <w:gridSpan w:val="2"/>
          </w:tcPr>
          <w:p>
            <w:pPr>
              <w:spacing w:after="0"/>
              <w:rPr>
                <w:sz w:val="20"/>
                <w:szCs w:val="20"/>
                <w:color w:val="auto"/>
              </w:rPr>
            </w:pPr>
            <w:r>
              <w:rPr>
                <w:rFonts w:ascii="Arial" w:cs="Arial" w:eastAsia="Arial" w:hAnsi="Arial"/>
                <w:sz w:val="17"/>
                <w:szCs w:val="17"/>
                <w:color w:val="auto"/>
              </w:rPr>
              <w:t>Liam Ratcliffe, M.D. Ph.D.</w:t>
            </w:r>
          </w:p>
        </w:tc>
        <w:tc>
          <w:tcPr>
            <w:tcW w:w="3080" w:type="dxa"/>
            <w:vAlign w:val="bottom"/>
            <w:gridSpan w:val="2"/>
          </w:tcPr>
          <w:p>
            <w:pPr>
              <w:spacing w:after="0"/>
              <w:rPr>
                <w:sz w:val="20"/>
                <w:szCs w:val="20"/>
                <w:color w:val="auto"/>
              </w:rPr>
            </w:pPr>
            <w:r>
              <w:rPr>
                <w:rFonts w:ascii="Arial" w:cs="Arial" w:eastAsia="Arial" w:hAnsi="Arial"/>
                <w:sz w:val="17"/>
                <w:szCs w:val="17"/>
                <w:color w:val="auto"/>
              </w:rPr>
              <w:t>New Leaf Ventures III, L.P.</w:t>
            </w:r>
          </w:p>
        </w:tc>
      </w:tr>
      <w:tr>
        <w:trPr>
          <w:trHeight w:val="210"/>
        </w:trPr>
        <w:tc>
          <w:tcPr>
            <w:tcW w:w="5680" w:type="dxa"/>
            <w:vAlign w:val="bottom"/>
            <w:gridSpan w:val="2"/>
          </w:tcPr>
          <w:p>
            <w:pPr>
              <w:spacing w:after="0"/>
              <w:rPr>
                <w:sz w:val="20"/>
                <w:szCs w:val="20"/>
                <w:color w:val="auto"/>
              </w:rPr>
            </w:pPr>
            <w:r>
              <w:rPr>
                <w:rFonts w:ascii="Arial" w:cs="Arial" w:eastAsia="Arial" w:hAnsi="Arial"/>
                <w:sz w:val="17"/>
                <w:szCs w:val="17"/>
                <w:color w:val="auto"/>
              </w:rPr>
              <w:t>Stephen Squinto, Ph.D.</w:t>
            </w:r>
          </w:p>
        </w:tc>
        <w:tc>
          <w:tcPr>
            <w:tcW w:w="3080" w:type="dxa"/>
            <w:vAlign w:val="bottom"/>
            <w:gridSpan w:val="2"/>
          </w:tcPr>
          <w:p>
            <w:pPr>
              <w:spacing w:after="0"/>
              <w:rPr>
                <w:sz w:val="20"/>
                <w:szCs w:val="20"/>
                <w:color w:val="auto"/>
              </w:rPr>
            </w:pPr>
            <w:r>
              <w:rPr>
                <w:rFonts w:ascii="Arial" w:cs="Arial" w:eastAsia="Arial" w:hAnsi="Arial"/>
                <w:sz w:val="17"/>
                <w:szCs w:val="17"/>
                <w:color w:val="auto"/>
              </w:rPr>
              <w:t>OrbiMed Private Investments VI, LP</w:t>
            </w:r>
          </w:p>
        </w:tc>
      </w:tr>
    </w:tbl>
    <w:p>
      <w:pPr>
        <w:spacing w:after="0" w:line="279"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Relationship with Yale University</w:t>
      </w:r>
    </w:p>
    <w:p>
      <w:pPr>
        <w:spacing w:after="0" w:line="233"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We entered into a license agreement in 2013 and a sponsored research agreement in 2016 with Yale University. The Yale license</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agreement relates to certain intellectual property developed in the course of research conducted under Yale auspices by Professor Crews,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our former officer and director, our current Chief Scientific Advisor and a holder of more than 5% of our outstanding voting securities.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Professor Crews is the Lewis B. Cullman Professor of Molecular, Cellular, and Developmental Biology and the head of the Crews Lab at</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Yale. Pursuant to the license agreement we paid to Yale an upfront payment of $149,511. We are responsible for paying Yale an annual</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license maintenance fee in varying amounts until the first sale to a third party of any licensed product, which is creditable against our</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royalty obligations for the given year. As of June 30, 2018, we have paid a total of $135,000 in license maintenance fees to Yale. We are</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also required to pay Yale certain development and regulatory milestone payments. While the agreement remains in effect, we are required</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to pay Yale low-single digit royalties on aggregate worldwide net sales of certain licensed products, which may be subject to reductions.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Yale is guaranteed a minimum royalty payment amount for each year after the first sale of a licensed product that results in net sales. We</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must also make payments to Yale for sublicensee consideration. As the inventor of the patents that we license from Yale, Professor Crews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is entitled to receive a share of any royalties that we pay to Yale under the agreement with respect to the covered intellectual property,</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under Yale’s policies. Under the sponsored research agreement, as amended, we agreed to pay Yale an aggregate of $3.7 million over</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five years, ending in the first quarter of 2021, and as of June 30, 2018, we had paid Yale an aggregate of approximately $1.0 million. The</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research is performed by and under the supervision and direction of Professor Crews for so long as he is employed by Yale. E. Jonathan</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Soderstrom, a member of our board of directors, is the Managing Director of the Office of Cooperative Research at Yale, which was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partially responsible for Yale’s entry into the license and sponsored research agreements. In addition, in March 2014, we donated</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$125,000 to Yale to provide general support of Dr. Crews’ research program. See “Business—Collaborations and Licensing Agreements—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Yale License Agreement” for more information about this relationship.</w:t>
      </w:r>
    </w:p>
    <w:p>
      <w:pPr>
        <w:spacing w:after="0" w:line="294" w:lineRule="exact"/>
        <w:rPr>
          <w:sz w:val="20"/>
          <w:szCs w:val="20"/>
          <w:color w:val="auto"/>
        </w:rPr>
      </w:pPr>
    </w:p>
    <w:p>
      <w:pPr>
        <w:ind w:left="3860"/>
        <w:spacing w:after="0"/>
        <w:rPr>
          <w:sz w:val="20"/>
          <w:szCs w:val="20"/>
          <w:color w:val="auto"/>
        </w:rPr>
      </w:pPr>
      <w:r>
        <w:rPr>
          <w:rFonts w:ascii="Arial" w:cs="Arial" w:eastAsia="Arial" w:hAnsi="Arial"/>
          <w:sz w:val="17"/>
          <w:szCs w:val="17"/>
          <w:b w:val="1"/>
          <w:bCs w:val="1"/>
          <w:color w:val="auto"/>
        </w:rPr>
        <w:t>Consulting Agreement with Professor Crews</w:t>
      </w:r>
    </w:p>
    <w:p>
      <w:pPr>
        <w:spacing w:after="0" w:line="233" w:lineRule="exact"/>
        <w:rPr>
          <w:sz w:val="20"/>
          <w:szCs w:val="20"/>
          <w:color w:val="auto"/>
        </w:rPr>
      </w:pPr>
    </w:p>
    <w:p>
      <w:pPr>
        <w:ind w:left="360" w:right="20" w:firstLine="535"/>
        <w:spacing w:after="0" w:line="245" w:lineRule="auto"/>
        <w:rPr>
          <w:sz w:val="20"/>
          <w:szCs w:val="20"/>
          <w:color w:val="auto"/>
        </w:rPr>
      </w:pPr>
      <w:r>
        <w:rPr>
          <w:rFonts w:ascii="Arial" w:cs="Arial" w:eastAsia="Arial" w:hAnsi="Arial"/>
          <w:sz w:val="17"/>
          <w:szCs w:val="17"/>
          <w:color w:val="auto"/>
        </w:rPr>
        <w:t>In July 2013, we entered into a consulting agreement with Professor Crews, a professor at Yale, our current Chief Scientific Advisor and a holder of more than 5% of our outstanding voting securities, and amended and restated this consulting agreement in October 2015. Pursuant to such amended and restated consulting agreement, we pay Professor Crews $12,500 per month for his services. In accordance with his consulting agreement, we granted Professor Crews an incentive award for 101,666 incentive units upon execution of the consulting agreement. In November 2015, we granted Professor Crews an incentive award for an additional 603,260 incentive units upon execution of the</w:t>
      </w:r>
    </w:p>
    <w:p>
      <w:pPr>
        <w:spacing w:after="0" w:line="127"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172</w:t>
      </w:r>
    </w:p>
    <w:p>
      <w:pPr>
        <w:sectPr>
          <w:pgSz w:w="11900" w:h="16838" w:orient="portrait"/>
          <w:cols w:equalWidth="0" w:num="1">
            <w:col w:w="11040"/>
          </w:cols>
          <w:pgMar w:left="240" w:top="450" w:right="619" w:bottom="1440" w:gutter="0" w:footer="0" w:header="0"/>
        </w:sectPr>
      </w:pPr>
    </w:p>
    <w:bookmarkStart w:id="174" w:name="page175"/>
    <w:bookmarkEnd w:id="1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420"/>
        <w:spacing w:after="0" w:line="250" w:lineRule="auto"/>
        <w:rPr>
          <w:sz w:val="20"/>
          <w:szCs w:val="20"/>
          <w:color w:val="auto"/>
        </w:rPr>
      </w:pPr>
      <w:r>
        <w:rPr>
          <w:rFonts w:ascii="Arial" w:cs="Arial" w:eastAsia="Arial" w:hAnsi="Arial"/>
          <w:sz w:val="17"/>
          <w:szCs w:val="17"/>
          <w:color w:val="auto"/>
        </w:rPr>
        <w:t>amended and restated consulting agreement. The consulting agreement provides that Professor Crews will assign certain intellectual property that he develops while engaged as our consultant, and he has agreed to cooperate in perfecting rights to certain company intellectual property. As of June 30, 2018, we had paid Dr. Crews an aggregate of $601,990 pursuant to this consulting agreement.</w:t>
      </w:r>
    </w:p>
    <w:p>
      <w:pPr>
        <w:spacing w:after="0" w:line="189" w:lineRule="exact"/>
        <w:rPr>
          <w:sz w:val="20"/>
          <w:szCs w:val="20"/>
          <w:color w:val="auto"/>
        </w:rPr>
      </w:pPr>
    </w:p>
    <w:p>
      <w:pPr>
        <w:jc w:val="both"/>
        <w:ind w:left="360" w:right="240" w:firstLine="535"/>
        <w:spacing w:after="0" w:line="250" w:lineRule="auto"/>
        <w:rPr>
          <w:sz w:val="20"/>
          <w:szCs w:val="20"/>
          <w:color w:val="auto"/>
        </w:rPr>
      </w:pPr>
      <w:r>
        <w:rPr>
          <w:rFonts w:ascii="Arial" w:cs="Arial" w:eastAsia="Arial" w:hAnsi="Arial"/>
          <w:sz w:val="17"/>
          <w:szCs w:val="17"/>
          <w:color w:val="auto"/>
        </w:rPr>
        <w:t>In August 2018, we entered into an amendment to the amended and restated consulting agreement with Professor Crews, which will become effective upon the closing of this offering and continue in effect for three years from such date. Pursuant to the amendment, beginning on the date of the closing of this offering, we will pay Professor Crews $20,833 per month for his services.</w:t>
      </w:r>
    </w:p>
    <w:p>
      <w:pPr>
        <w:spacing w:after="0" w:line="272"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Silverstein Grant Agreement</w:t>
      </w:r>
    </w:p>
    <w:p>
      <w:pPr>
        <w:spacing w:after="0" w:line="233" w:lineRule="exact"/>
        <w:rPr>
          <w:sz w:val="20"/>
          <w:szCs w:val="20"/>
          <w:color w:val="auto"/>
        </w:rPr>
      </w:pPr>
    </w:p>
    <w:p>
      <w:pPr>
        <w:ind w:left="360" w:right="220" w:firstLine="535"/>
        <w:spacing w:after="0" w:line="246" w:lineRule="auto"/>
        <w:rPr>
          <w:sz w:val="20"/>
          <w:szCs w:val="20"/>
          <w:color w:val="auto"/>
        </w:rPr>
      </w:pPr>
      <w:r>
        <w:rPr>
          <w:rFonts w:ascii="Arial" w:cs="Arial" w:eastAsia="Arial" w:hAnsi="Arial"/>
          <w:sz w:val="17"/>
          <w:szCs w:val="17"/>
          <w:color w:val="auto"/>
        </w:rPr>
        <w:t>In March 2018, we entered into a sponsored research agreement, or the TSF Agreement, with The Silverstein Foundation for Parkinson’s with GBA, or the Silverstein Foundation. Pursuant to the TSF Agreement, we are obligated to undertake certain research involving the use of our PROTAC platform and its potential ability to degrade a-synuclein, a protein implicated in individuals with Parkinson’s disease. The Silverstein Foundation has agreed to pay us $800,000 in connection with the TSF Agreement. In the event we undergo certain corporate transactions within a specified timeframe, including an initial public offering, we may be obligated to repay the aggregate amount received as of such date plus a specified premium. Jon Silverstein, the founder and a trustee of the Silverstein Foundation, is a general partner of OrbiMed, a beneficial owner of OrbiMed Private Investments VI, LP, a holder of 5% or more of our voting securities.</w:t>
      </w:r>
    </w:p>
    <w:p>
      <w:pPr>
        <w:spacing w:after="0" w:line="276"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LLC Operating Agreement</w:t>
      </w:r>
    </w:p>
    <w:p>
      <w:pPr>
        <w:spacing w:after="0" w:line="233" w:lineRule="exact"/>
        <w:rPr>
          <w:sz w:val="20"/>
          <w:szCs w:val="20"/>
          <w:color w:val="auto"/>
        </w:rPr>
      </w:pPr>
    </w:p>
    <w:p>
      <w:pPr>
        <w:ind w:left="360" w:firstLine="535"/>
        <w:spacing w:after="0" w:line="243" w:lineRule="auto"/>
        <w:rPr>
          <w:sz w:val="20"/>
          <w:szCs w:val="20"/>
          <w:color w:val="auto"/>
        </w:rPr>
      </w:pPr>
      <w:r>
        <w:rPr>
          <w:rFonts w:ascii="Arial" w:cs="Arial" w:eastAsia="Arial" w:hAnsi="Arial"/>
          <w:sz w:val="17"/>
          <w:szCs w:val="17"/>
          <w:color w:val="auto"/>
        </w:rPr>
        <w:t>In conjunction with our January 2015 reorganization into a limited liability structure, the members of Arvinas Holding Company, LLC entered into a limited liability company agreement, or the LLC Agreement, which governed our operations prior to the consummation of the Conversion. The LLC Agreement set forth the authorized classes of Arvinas LLC equity securities, the allocation of profits and losses among the classes and the preferences of the preferred classes. The LLC Agreement also set forth the rights of and restrictions on members, including rights with respect to the election of directors, management and certain transfer restrictions on the holders of shares. The LLC Agreement also provided for registration rights, preemptive rights and transfer restrictions in respect of securities held by certain holders of our capital stock, as well as rights of first refusal and co-sale rights in respect of sales of securities by certain holders of our capital stock. The preemptive rights, transfer restrictions, rights of first refusal and co-sale rights under the LLC Agreement do not apply to this offering. The LLC Agreement included indemnification and exculpation provisions applicable to the directors, officers, members, employees and agents of Arvinas LLC. Concurrent with the consummation of the Conversion, the LLC Agreement was terminated.</w:t>
      </w:r>
    </w:p>
    <w:p>
      <w:pPr>
        <w:spacing w:after="0" w:line="280"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Registration Rights Agreement</w:t>
      </w:r>
    </w:p>
    <w:p>
      <w:pPr>
        <w:spacing w:after="0" w:line="233" w:lineRule="exact"/>
        <w:rPr>
          <w:sz w:val="20"/>
          <w:szCs w:val="20"/>
          <w:color w:val="auto"/>
        </w:rPr>
      </w:pPr>
    </w:p>
    <w:p>
      <w:pPr>
        <w:ind w:left="360" w:right="80" w:firstLine="535"/>
        <w:spacing w:after="0" w:line="247" w:lineRule="auto"/>
        <w:rPr>
          <w:sz w:val="20"/>
          <w:szCs w:val="20"/>
          <w:color w:val="auto"/>
        </w:rPr>
      </w:pPr>
      <w:r>
        <w:rPr>
          <w:rFonts w:ascii="Arial" w:cs="Arial" w:eastAsia="Arial" w:hAnsi="Arial"/>
          <w:sz w:val="17"/>
          <w:szCs w:val="17"/>
          <w:color w:val="auto"/>
        </w:rPr>
        <w:t>In connection with the Conversion, we entered into a registration rights agreement with current holders of our preferred stock, including some of our directors, executive officers and holders of 5% or more of our voting securities and their affiliates and entities affiliated with our officers and directors. See the “Description of Capital Stock—Registration Rights” section of this prospectus for a further discussion of these arrangements.</w:t>
      </w:r>
    </w:p>
    <w:p>
      <w:pPr>
        <w:spacing w:after="0" w:line="274"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Put Agreement</w:t>
      </w:r>
    </w:p>
    <w:p>
      <w:pPr>
        <w:spacing w:after="0" w:line="233" w:lineRule="exact"/>
        <w:rPr>
          <w:sz w:val="20"/>
          <w:szCs w:val="20"/>
          <w:color w:val="auto"/>
        </w:rPr>
      </w:pPr>
    </w:p>
    <w:p>
      <w:pPr>
        <w:ind w:left="360" w:right="400" w:firstLine="535"/>
        <w:spacing w:after="0" w:line="259" w:lineRule="auto"/>
        <w:rPr>
          <w:sz w:val="20"/>
          <w:szCs w:val="20"/>
          <w:color w:val="auto"/>
        </w:rPr>
      </w:pPr>
      <w:r>
        <w:rPr>
          <w:rFonts w:ascii="Arial" w:cs="Arial" w:eastAsia="Arial" w:hAnsi="Arial"/>
          <w:sz w:val="17"/>
          <w:szCs w:val="17"/>
          <w:color w:val="auto"/>
        </w:rPr>
        <w:t>In March 2018, we, Connecticut Innovations Incorporated, or CII, the strategic venture capital arm and a component unit of the State of Connecticut, and certain of our equityholders, entered into a</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173</w:t>
      </w:r>
    </w:p>
    <w:p>
      <w:pPr>
        <w:sectPr>
          <w:pgSz w:w="11900" w:h="16838" w:orient="portrait"/>
          <w:cols w:equalWidth="0" w:num="1">
            <w:col w:w="11060"/>
          </w:cols>
          <w:pgMar w:left="240" w:top="450" w:right="599" w:bottom="1440" w:gutter="0" w:footer="0" w:header="0"/>
        </w:sectPr>
      </w:pPr>
    </w:p>
    <w:bookmarkStart w:id="175" w:name="page176"/>
    <w:bookmarkEnd w:id="1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spacing w:after="0" w:line="244" w:lineRule="auto"/>
        <w:rPr>
          <w:sz w:val="20"/>
          <w:szCs w:val="20"/>
          <w:color w:val="auto"/>
        </w:rPr>
      </w:pPr>
      <w:r>
        <w:rPr>
          <w:rFonts w:ascii="Arial" w:cs="Arial" w:eastAsia="Arial" w:hAnsi="Arial"/>
          <w:sz w:val="17"/>
          <w:szCs w:val="17"/>
          <w:color w:val="auto"/>
        </w:rPr>
        <w:t>second amended and restated put agreement, or the Put Agreement, which was originally entered into in July 2013 and subsequently amended. The Put Agreement grants CII the right to sell, or the Put Option, to us all or any part of any warrant rights, shares, or notes held by CII at the greater of the current market price of such securities or a price that provides CII with a required annualized rate of return of 25% on its total investment. CII may exercise the Put Option for all or any portion of its shares, warrant rights, or notes immediately upon our breach of the covenant to maintain a Connecticut presence, as defined in the Put Agreement. Prior to this offering, if CII exercised the Put Option, the equityholders who were party to the Put Agreement then also had the right to sell us all or any party of warrant rights, shares, or notes held by such equityholder at a price set forth in the Put Agreement. Based on the initial offering price per share of $16.00, the current market price of securities held by CII exceeds its required annualized rate of return.</w:t>
      </w:r>
    </w:p>
    <w:p>
      <w:pPr>
        <w:spacing w:after="0" w:line="276"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Indemnification Agreements</w:t>
      </w:r>
    </w:p>
    <w:p>
      <w:pPr>
        <w:spacing w:after="0" w:line="233" w:lineRule="exact"/>
        <w:rPr>
          <w:sz w:val="20"/>
          <w:szCs w:val="20"/>
          <w:color w:val="auto"/>
        </w:rPr>
      </w:pPr>
    </w:p>
    <w:p>
      <w:pPr>
        <w:ind w:left="360" w:firstLine="535"/>
        <w:spacing w:after="0" w:line="247" w:lineRule="auto"/>
        <w:rPr>
          <w:sz w:val="20"/>
          <w:szCs w:val="20"/>
          <w:color w:val="auto"/>
        </w:rPr>
      </w:pPr>
      <w:r>
        <w:rPr>
          <w:rFonts w:ascii="Arial" w:cs="Arial" w:eastAsia="Arial" w:hAnsi="Arial"/>
          <w:sz w:val="17"/>
          <w:szCs w:val="17"/>
          <w:color w:val="auto"/>
        </w:rPr>
        <w:t>Our restated certificate of incorporation that will become effective upon the closing of this offering provides that we will indemnify our directors and officers to the fullest extent permitted by Delaware law. In addition, we entered into indemnification agreements with all of our directors and executive officers. See “Executive Compensation—Limitation of Liability and Indemnification” for additional information regarding these agreements.</w:t>
      </w:r>
    </w:p>
    <w:p>
      <w:pPr>
        <w:spacing w:after="0" w:line="274"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Corporate Conversion</w:t>
      </w:r>
    </w:p>
    <w:p>
      <w:pPr>
        <w:spacing w:after="0" w:line="233" w:lineRule="exact"/>
        <w:rPr>
          <w:sz w:val="20"/>
          <w:szCs w:val="20"/>
          <w:color w:val="auto"/>
        </w:rPr>
      </w:pPr>
    </w:p>
    <w:p>
      <w:pPr>
        <w:jc w:val="both"/>
        <w:ind w:left="360" w:right="480" w:firstLine="535"/>
        <w:spacing w:after="0" w:line="250" w:lineRule="auto"/>
        <w:rPr>
          <w:sz w:val="20"/>
          <w:szCs w:val="20"/>
          <w:color w:val="auto"/>
        </w:rPr>
      </w:pPr>
      <w:r>
        <w:rPr>
          <w:rFonts w:ascii="Arial" w:cs="Arial" w:eastAsia="Arial" w:hAnsi="Arial"/>
          <w:sz w:val="17"/>
          <w:szCs w:val="17"/>
          <w:color w:val="auto"/>
        </w:rPr>
        <w:t>Immediately prior to the effectiveness of the registration statement of which this prospectus forms a part, we converted from a Delaware limited liability company to a Delaware corporation, which we refer to as the Conversion. See the “Corporate Conversion” section of this prospectus for a further discussion of the Conversion.</w:t>
      </w:r>
    </w:p>
    <w:p>
      <w:pPr>
        <w:spacing w:after="0" w:line="272" w:lineRule="exact"/>
        <w:rPr>
          <w:sz w:val="20"/>
          <w:szCs w:val="20"/>
          <w:color w:val="auto"/>
        </w:rPr>
      </w:pPr>
    </w:p>
    <w:p>
      <w:pPr>
        <w:ind w:left="3340"/>
        <w:spacing w:after="0"/>
        <w:rPr>
          <w:sz w:val="20"/>
          <w:szCs w:val="20"/>
          <w:color w:val="auto"/>
        </w:rPr>
      </w:pPr>
      <w:r>
        <w:rPr>
          <w:rFonts w:ascii="Arial" w:cs="Arial" w:eastAsia="Arial" w:hAnsi="Arial"/>
          <w:sz w:val="17"/>
          <w:szCs w:val="17"/>
          <w:b w:val="1"/>
          <w:bCs w:val="1"/>
          <w:color w:val="auto"/>
        </w:rPr>
        <w:t>Policies and Procedures for Related Person Transactions</w:t>
      </w:r>
    </w:p>
    <w:p>
      <w:pPr>
        <w:spacing w:after="0" w:line="233" w:lineRule="exact"/>
        <w:rPr>
          <w:sz w:val="20"/>
          <w:szCs w:val="20"/>
          <w:color w:val="auto"/>
        </w:rPr>
      </w:pPr>
    </w:p>
    <w:p>
      <w:pPr>
        <w:ind w:left="360" w:right="40" w:firstLine="535"/>
        <w:spacing w:after="0" w:line="248" w:lineRule="auto"/>
        <w:rPr>
          <w:sz w:val="20"/>
          <w:szCs w:val="20"/>
          <w:color w:val="auto"/>
        </w:rPr>
      </w:pPr>
      <w:r>
        <w:rPr>
          <w:rFonts w:ascii="Arial" w:cs="Arial" w:eastAsia="Arial" w:hAnsi="Arial"/>
          <w:sz w:val="17"/>
          <w:szCs w:val="17"/>
          <w:color w:val="auto"/>
        </w:rPr>
        <w:t>Our board of directors has adopted written policies and procedures for the review of any transaction, arrangement or relationship in which Arvinas is a participant, the amount involved exceeds $ 120,000 and one of our executive officers, directors, director nominees or 5% stockholders, or their immediate family members, each of whom we refer to as a “related person,” has a direct or indirect material interest.</w:t>
      </w:r>
    </w:p>
    <w:p>
      <w:pPr>
        <w:spacing w:after="0" w:line="390" w:lineRule="exact"/>
        <w:rPr>
          <w:sz w:val="20"/>
          <w:szCs w:val="20"/>
          <w:color w:val="auto"/>
        </w:rPr>
      </w:pPr>
    </w:p>
    <w:p>
      <w:pPr>
        <w:ind w:left="360" w:right="100" w:firstLine="535"/>
        <w:spacing w:after="0" w:line="244" w:lineRule="auto"/>
        <w:rPr>
          <w:sz w:val="20"/>
          <w:szCs w:val="20"/>
          <w:color w:val="auto"/>
        </w:rPr>
      </w:pPr>
      <w:r>
        <w:rPr>
          <w:rFonts w:ascii="Arial" w:cs="Arial" w:eastAsia="Arial" w:hAnsi="Arial"/>
          <w:sz w:val="17"/>
          <w:szCs w:val="17"/>
          <w:color w:val="auto"/>
        </w:rPr>
        <w:t>If a related person proposes to enter into such a transaction, arrangement or relationship, which we refer to as a “related person transaction,” the related person must report the proposed related person transaction to our Chief Financial Officer. The policy calls for the proposed related person transaction to be reviewed and, if deemed appropriate, approved by our audit committee. Whenever practicable, the reporting, review and approval will occur prior to entry into the transaction. If advance review and approval is not practicable, the committee will review, and, in its discretion, may ratify the related person transaction. The policy also permits the chairman of the audit committee to review and, if deemed appropriate, approve proposed related person transactions that arise between committee meetings, subject to ratification by the committee at its next meeting. Any related person transactions that are ongoing in nature will be reviewed annually.</w:t>
      </w:r>
    </w:p>
    <w:p>
      <w:pPr>
        <w:spacing w:after="0" w:line="392" w:lineRule="exact"/>
        <w:rPr>
          <w:sz w:val="20"/>
          <w:szCs w:val="20"/>
          <w:color w:val="auto"/>
        </w:rPr>
      </w:pPr>
    </w:p>
    <w:p>
      <w:pPr>
        <w:ind w:left="360" w:right="180" w:firstLine="535"/>
        <w:spacing w:after="0" w:line="250" w:lineRule="auto"/>
        <w:rPr>
          <w:sz w:val="20"/>
          <w:szCs w:val="20"/>
          <w:color w:val="auto"/>
        </w:rPr>
      </w:pPr>
      <w:r>
        <w:rPr>
          <w:rFonts w:ascii="Arial" w:cs="Arial" w:eastAsia="Arial" w:hAnsi="Arial"/>
          <w:sz w:val="17"/>
          <w:szCs w:val="17"/>
          <w:color w:val="auto"/>
        </w:rPr>
        <w:t>A related person transaction reviewed under the policy will be considered approved or ratified if it is authorized by the audit committee after full disclosure of the related person’s interest in the transaction. As appropriate for the circumstances, the committee will review and consider:</w:t>
      </w:r>
    </w:p>
    <w:p>
      <w:pPr>
        <w:spacing w:after="0" w:line="97" w:lineRule="exact"/>
        <w:rPr>
          <w:sz w:val="20"/>
          <w:szCs w:val="20"/>
          <w:color w:val="auto"/>
        </w:rPr>
      </w:pPr>
    </w:p>
    <w:p>
      <w:pPr>
        <w:jc w:val="right"/>
        <w:ind w:left="5560" w:right="5200" w:hanging="4670"/>
        <w:spacing w:after="0" w:line="436" w:lineRule="auto"/>
        <w:tabs>
          <w:tab w:leader="none" w:pos="1091"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related person’s interest in the related person transaction; 174</w:t>
      </w:r>
    </w:p>
    <w:p>
      <w:pPr>
        <w:sectPr>
          <w:pgSz w:w="11900" w:h="16838" w:orient="portrait"/>
          <w:cols w:equalWidth="0" w:num="1">
            <w:col w:w="11060"/>
          </w:cols>
          <w:pgMar w:left="240" w:top="450" w:right="599" w:bottom="1440" w:gutter="0" w:footer="0" w:header="0"/>
        </w:sectPr>
      </w:pPr>
    </w:p>
    <w:bookmarkStart w:id="176" w:name="page177"/>
    <w:bookmarkEnd w:id="1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1100" w:hanging="210"/>
        <w:spacing w:after="0"/>
        <w:tabs>
          <w:tab w:leader="none" w:pos="11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approximate dollar value of the amount involved in the related person transaction;</w:t>
      </w:r>
    </w:p>
    <w:p>
      <w:pPr>
        <w:spacing w:after="0" w:line="119" w:lineRule="exact"/>
        <w:rPr>
          <w:rFonts w:ascii="Arial" w:cs="Arial" w:eastAsia="Arial" w:hAnsi="Arial"/>
          <w:sz w:val="17"/>
          <w:szCs w:val="17"/>
          <w:color w:val="auto"/>
        </w:rPr>
      </w:pPr>
    </w:p>
    <w:p>
      <w:pPr>
        <w:ind w:left="1100" w:right="40" w:hanging="210"/>
        <w:spacing w:after="0" w:line="259" w:lineRule="auto"/>
        <w:tabs>
          <w:tab w:leader="none" w:pos="11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approximate dollar value of the amount of the related person’s interest in the transaction without regard to the amount of any profit or loss;</w:t>
      </w:r>
    </w:p>
    <w:p>
      <w:pPr>
        <w:spacing w:after="0" w:line="89" w:lineRule="exact"/>
        <w:rPr>
          <w:rFonts w:ascii="Arial" w:cs="Arial" w:eastAsia="Arial" w:hAnsi="Arial"/>
          <w:sz w:val="17"/>
          <w:szCs w:val="17"/>
          <w:color w:val="auto"/>
        </w:rPr>
      </w:pPr>
    </w:p>
    <w:p>
      <w:pPr>
        <w:ind w:left="1100" w:hanging="210"/>
        <w:spacing w:after="0"/>
        <w:tabs>
          <w:tab w:leader="none" w:pos="11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whether the transaction was undertaken in the ordinary course of our business;</w:t>
      </w:r>
    </w:p>
    <w:p>
      <w:pPr>
        <w:spacing w:after="0" w:line="119" w:lineRule="exact"/>
        <w:rPr>
          <w:rFonts w:ascii="Arial" w:cs="Arial" w:eastAsia="Arial" w:hAnsi="Arial"/>
          <w:sz w:val="17"/>
          <w:szCs w:val="17"/>
          <w:color w:val="auto"/>
        </w:rPr>
      </w:pPr>
    </w:p>
    <w:p>
      <w:pPr>
        <w:ind w:left="1100" w:right="40" w:hanging="210"/>
        <w:spacing w:after="0" w:line="259" w:lineRule="auto"/>
        <w:tabs>
          <w:tab w:leader="none" w:pos="11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whether the terms of the transaction are no less favorable to us than terms that could have been reached with an unrelated third party;</w:t>
      </w:r>
    </w:p>
    <w:p>
      <w:pPr>
        <w:spacing w:after="0" w:line="89" w:lineRule="exact"/>
        <w:rPr>
          <w:rFonts w:ascii="Arial" w:cs="Arial" w:eastAsia="Arial" w:hAnsi="Arial"/>
          <w:sz w:val="17"/>
          <w:szCs w:val="17"/>
          <w:color w:val="auto"/>
        </w:rPr>
      </w:pPr>
    </w:p>
    <w:p>
      <w:pPr>
        <w:ind w:left="1100" w:hanging="210"/>
        <w:spacing w:after="0"/>
        <w:tabs>
          <w:tab w:leader="none" w:pos="11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purpose of, and the potential benefits to us of, the transaction; and</w:t>
      </w:r>
    </w:p>
    <w:p>
      <w:pPr>
        <w:spacing w:after="0" w:line="119" w:lineRule="exact"/>
        <w:rPr>
          <w:rFonts w:ascii="Arial" w:cs="Arial" w:eastAsia="Arial" w:hAnsi="Arial"/>
          <w:sz w:val="17"/>
          <w:szCs w:val="17"/>
          <w:color w:val="auto"/>
        </w:rPr>
      </w:pPr>
    </w:p>
    <w:p>
      <w:pPr>
        <w:ind w:left="1100" w:right="220" w:hanging="210"/>
        <w:spacing w:after="0" w:line="259" w:lineRule="auto"/>
        <w:tabs>
          <w:tab w:leader="none" w:pos="11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181" w:lineRule="exact"/>
        <w:rPr>
          <w:sz w:val="20"/>
          <w:szCs w:val="20"/>
          <w:color w:val="auto"/>
        </w:rPr>
      </w:pPr>
    </w:p>
    <w:p>
      <w:pPr>
        <w:jc w:val="both"/>
        <w:ind w:left="360" w:firstLine="535"/>
        <w:spacing w:after="0" w:line="259" w:lineRule="auto"/>
        <w:rPr>
          <w:sz w:val="20"/>
          <w:szCs w:val="20"/>
          <w:color w:val="auto"/>
        </w:rPr>
      </w:pPr>
      <w:r>
        <w:rPr>
          <w:rFonts w:ascii="Arial" w:cs="Arial" w:eastAsia="Arial" w:hAnsi="Arial"/>
          <w:sz w:val="17"/>
          <w:szCs w:val="17"/>
          <w:color w:val="auto"/>
        </w:rPr>
        <w:t>The audit committee may approve or ratify the transaction only if the committee determines that, under all of the circumstances, the transaction is in our best interests. The committee may impose any conditions on the related person transaction that it deems appropriate.</w:t>
      </w:r>
    </w:p>
    <w:p>
      <w:pPr>
        <w:spacing w:after="0" w:line="181" w:lineRule="exact"/>
        <w:rPr>
          <w:sz w:val="20"/>
          <w:szCs w:val="20"/>
          <w:color w:val="auto"/>
        </w:rPr>
      </w:pPr>
    </w:p>
    <w:p>
      <w:pPr>
        <w:jc w:val="both"/>
        <w:ind w:left="360" w:right="340" w:firstLine="535"/>
        <w:spacing w:after="0" w:line="250" w:lineRule="auto"/>
        <w:rPr>
          <w:sz w:val="20"/>
          <w:szCs w:val="20"/>
          <w:color w:val="auto"/>
        </w:rPr>
      </w:pPr>
      <w:r>
        <w:rPr>
          <w:rFonts w:ascii="Arial" w:cs="Arial" w:eastAsia="Arial" w:hAnsi="Arial"/>
          <w:sz w:val="17"/>
          <w:szCs w:val="17"/>
          <w:color w:val="auto"/>
        </w:rPr>
        <w:t>In addition to the transactions that are excluded by the instructions to the SEC’s related person transaction disclosure rule, our board of directors has determined that the following transactions do not create a material direct or indirect interest on behalf of related persons and, therefore, are not related person transactions for purposes of this policy:</w:t>
      </w:r>
    </w:p>
    <w:p>
      <w:pPr>
        <w:spacing w:after="0" w:line="97" w:lineRule="exact"/>
        <w:rPr>
          <w:sz w:val="20"/>
          <w:szCs w:val="20"/>
          <w:color w:val="auto"/>
        </w:rPr>
      </w:pPr>
    </w:p>
    <w:p>
      <w:pPr>
        <w:ind w:left="1100" w:right="60" w:hanging="210"/>
        <w:spacing w:after="0" w:line="245" w:lineRule="auto"/>
        <w:tabs>
          <w:tab w:leader="none" w:pos="11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interests arising solely from the related person’s position as an executive officer of another entity (whether or not the person is also a director of such entity) that is a participant in the transaction, where (1) the related person and all other related persons own in the aggregate less than a 10% equity interest in such entity, (2) the related person and his or her immediate family members are not involved in the negotiation of the terms of the transaction and do not receive any special benefits as a result of the transaction and (3) the amount involved in the transaction is less than the greater of $200,000 or 5% of the annual gross revenues of the company receiving payment under the transaction; and</w:t>
      </w:r>
    </w:p>
    <w:p>
      <w:pPr>
        <w:spacing w:after="0" w:line="100" w:lineRule="exact"/>
        <w:rPr>
          <w:rFonts w:ascii="Arial" w:cs="Arial" w:eastAsia="Arial" w:hAnsi="Arial"/>
          <w:sz w:val="17"/>
          <w:szCs w:val="17"/>
          <w:color w:val="auto"/>
        </w:rPr>
      </w:pPr>
    </w:p>
    <w:p>
      <w:pPr>
        <w:ind w:left="1100" w:hanging="210"/>
        <w:spacing w:after="0"/>
        <w:tabs>
          <w:tab w:leader="none" w:pos="11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 transaction that is specifically contemplated by provisions of our charter or bylaws.</w:t>
      </w:r>
    </w:p>
    <w:p>
      <w:pPr>
        <w:spacing w:after="0" w:line="211" w:lineRule="exact"/>
        <w:rPr>
          <w:sz w:val="20"/>
          <w:szCs w:val="20"/>
          <w:color w:val="auto"/>
        </w:rPr>
      </w:pPr>
    </w:p>
    <w:p>
      <w:pPr>
        <w:ind w:left="360" w:right="780" w:firstLine="535"/>
        <w:spacing w:after="0" w:line="259" w:lineRule="auto"/>
        <w:rPr>
          <w:sz w:val="20"/>
          <w:szCs w:val="20"/>
          <w:color w:val="auto"/>
        </w:rPr>
      </w:pPr>
      <w:r>
        <w:rPr>
          <w:rFonts w:ascii="Arial" w:cs="Arial" w:eastAsia="Arial" w:hAnsi="Arial"/>
          <w:sz w:val="17"/>
          <w:szCs w:val="17"/>
          <w:color w:val="auto"/>
        </w:rPr>
        <w:t>The policy provides that transactions involving compensation of executive officers shall be reviewed and approved by the compensation committee in the manner specified in its charter.</w:t>
      </w:r>
    </w:p>
    <w:p>
      <w:pPr>
        <w:spacing w:after="0" w:line="18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We did not have a written policy regarding the review and approval of related person transactions prior to this offering.</w:t>
      </w:r>
    </w:p>
    <w:p>
      <w:pPr>
        <w:spacing w:after="0" w:line="145"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175</w:t>
      </w:r>
    </w:p>
    <w:p>
      <w:pPr>
        <w:sectPr>
          <w:pgSz w:w="11900" w:h="16838" w:orient="portrait"/>
          <w:cols w:equalWidth="0" w:num="1">
            <w:col w:w="11020"/>
          </w:cols>
          <w:pgMar w:left="240" w:top="450" w:right="639" w:bottom="1440" w:gutter="0" w:footer="0" w:header="0"/>
        </w:sectPr>
      </w:pPr>
    </w:p>
    <w:bookmarkStart w:id="177" w:name="page178"/>
    <w:bookmarkEnd w:id="1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PRINCIPAL STOCKHOLDERS</w:t>
      </w:r>
    </w:p>
    <w:p>
      <w:pPr>
        <w:spacing w:after="0" w:line="233"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following table sets forth information with respect to the beneficial ownership of our common stock as of August 31, 2018 by:</w:t>
      </w:r>
    </w:p>
    <w:p>
      <w:pPr>
        <w:spacing w:after="0" w:line="119" w:lineRule="exact"/>
        <w:rPr>
          <w:sz w:val="20"/>
          <w:szCs w:val="20"/>
          <w:color w:val="auto"/>
        </w:rPr>
      </w:pPr>
    </w:p>
    <w:p>
      <w:pPr>
        <w:ind w:left="1100" w:hanging="210"/>
        <w:spacing w:after="0"/>
        <w:tabs>
          <w:tab w:leader="none" w:pos="11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each of our directors;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each of our named executive officers;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all of our directors and executive officers as a group; and</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each person, or group of affiliated persons, who is known by us to beneficially own more than 5% of our common stock.</w:t>
      </w:r>
    </w:p>
    <w:p>
      <w:pPr>
        <w:spacing w:after="0" w:line="211" w:lineRule="exact"/>
        <w:rPr>
          <w:sz w:val="20"/>
          <w:szCs w:val="20"/>
          <w:color w:val="auto"/>
        </w:rPr>
      </w:pPr>
    </w:p>
    <w:p>
      <w:pPr>
        <w:ind w:left="360" w:right="120" w:firstLine="535"/>
        <w:spacing w:after="0" w:line="245" w:lineRule="auto"/>
        <w:rPr>
          <w:sz w:val="20"/>
          <w:szCs w:val="20"/>
          <w:color w:val="auto"/>
        </w:rPr>
      </w:pPr>
      <w:r>
        <w:rPr>
          <w:rFonts w:ascii="Arial" w:cs="Arial" w:eastAsia="Arial" w:hAnsi="Arial"/>
          <w:sz w:val="17"/>
          <w:szCs w:val="17"/>
          <w:color w:val="auto"/>
        </w:rPr>
        <w:t>The percentage ownership calculations for beneficial ownership prior to this offering are based on 24,658,748 shares outstanding as of August 31, 2018, and gives effect to the cash exercise of an outstanding warrant to purchase 110,116 shares of our series A preferred stock in July 2018, the Conversion and the conversion of all outstanding shares of our preferred stock issued in the Conversion into 19,697,928 shares of common stock that will become effective upon the closing of this offering. The calculations assume no exercise of the underwriters’ option to purchase additional shares. Percentage ownership calculations for beneficial ownership after this offering also include the shares we are offering hereby.</w:t>
      </w:r>
    </w:p>
    <w:p>
      <w:pPr>
        <w:spacing w:after="0" w:line="192" w:lineRule="exact"/>
        <w:rPr>
          <w:sz w:val="20"/>
          <w:szCs w:val="20"/>
          <w:color w:val="auto"/>
        </w:rPr>
      </w:pPr>
    </w:p>
    <w:p>
      <w:pPr>
        <w:jc w:val="both"/>
        <w:ind w:left="360" w:right="80" w:firstLine="535"/>
        <w:spacing w:after="0" w:line="250" w:lineRule="auto"/>
        <w:rPr>
          <w:sz w:val="20"/>
          <w:szCs w:val="20"/>
          <w:color w:val="auto"/>
        </w:rPr>
      </w:pPr>
      <w:r>
        <w:rPr>
          <w:rFonts w:ascii="Arial" w:cs="Arial" w:eastAsia="Arial" w:hAnsi="Arial"/>
          <w:sz w:val="17"/>
          <w:szCs w:val="17"/>
          <w:color w:val="auto"/>
        </w:rPr>
        <w:t>The number of shares of common stock, and the number of options to purchase shares of common stock, of us that holders of our incentive shares will receive in the Conversion will vary depending on the fair value per common unit determined by our board of directors immediately prior to the Conversion. See “Corporate Conversion” for additional information.</w:t>
      </w:r>
    </w:p>
    <w:p>
      <w:pPr>
        <w:spacing w:after="0" w:line="189" w:lineRule="exact"/>
        <w:rPr>
          <w:sz w:val="20"/>
          <w:szCs w:val="20"/>
          <w:color w:val="auto"/>
        </w:rPr>
      </w:pPr>
    </w:p>
    <w:p>
      <w:pPr>
        <w:ind w:left="360" w:firstLine="535"/>
        <w:spacing w:after="0" w:line="244" w:lineRule="auto"/>
        <w:rPr>
          <w:sz w:val="20"/>
          <w:szCs w:val="20"/>
          <w:color w:val="auto"/>
        </w:rPr>
      </w:pPr>
      <w:r>
        <w:rPr>
          <w:rFonts w:ascii="Arial" w:cs="Arial" w:eastAsia="Arial" w:hAnsi="Arial"/>
          <w:sz w:val="17"/>
          <w:szCs w:val="17"/>
          <w:color w:val="auto"/>
        </w:rPr>
        <w:t>Certain of our existing principal stockholders and their affiliated entities have indicated an interest in purchasing an aggregate of approximately $53 million in shares of our common stock in this offering at the initial public offering price and on the same terms and conditions as the other purchasers in this offering. However, because indications of interest are not binding agreements or commitments to purchase, the underwriters could determine to sell more, fewer or no shares to any of these potential purchasers, and any of these potential purchasers could determine to purchase more, fewer or no shares in this offering. The following table does not reflect any potential purchases by these potential purchasers. If any shares are purchased by our existing principal stockholders or their affiliated entities, the number and percentage of shares of our common stock beneficially owned by them after this offering will differ from those set forth in the following table.</w:t>
      </w:r>
    </w:p>
    <w:p>
      <w:pPr>
        <w:spacing w:after="0" w:line="32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176</w:t>
      </w:r>
    </w:p>
    <w:p>
      <w:pPr>
        <w:sectPr>
          <w:pgSz w:w="11900" w:h="16838" w:orient="portrait"/>
          <w:cols w:equalWidth="0" w:num="1">
            <w:col w:w="11060"/>
          </w:cols>
          <w:pgMar w:left="240" w:top="450" w:right="599" w:bottom="1440" w:gutter="0" w:footer="0" w:header="0"/>
        </w:sectPr>
      </w:pPr>
    </w:p>
    <w:bookmarkStart w:id="178" w:name="page179"/>
    <w:bookmarkEnd w:id="1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100" w:firstLine="535"/>
        <w:spacing w:after="0" w:line="245" w:lineRule="auto"/>
        <w:rPr>
          <w:sz w:val="20"/>
          <w:szCs w:val="20"/>
          <w:color w:val="auto"/>
        </w:rPr>
      </w:pPr>
      <w:r>
        <w:rPr>
          <w:rFonts w:ascii="Arial" w:cs="Arial" w:eastAsia="Arial" w:hAnsi="Arial"/>
          <w:sz w:val="17"/>
          <w:szCs w:val="17"/>
          <w:color w:val="auto"/>
        </w:rPr>
        <w:t>Beneficial ownership is determined in accordance with the rules and regulations of the SEC. These rules generally attribute beneficial ownership of securities to persons who possess sole or shared voting power or investment power with respect to those securities. Except as otherwise set forth below, the address of the beneficial owner is c/o Arvinas, Inc., 5 Science Park, 395 Winchester Ave., New Haven, CT 06511. Each of the stockholders listed has sole voting and investment power with respect to the shares beneficially owned by the stockholder unless noted otherwise, subject to community property laws where applicable. Beneficial ownership representing less than 1% is denoted with an asterisk (*).</w:t>
      </w:r>
    </w:p>
    <w:p>
      <w:pPr>
        <w:spacing w:after="0" w:line="204"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Percentage of Shares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740" w:type="dxa"/>
            <w:vAlign w:val="bottom"/>
            <w:gridSpan w:val="3"/>
            <w:vMerge w:val="restart"/>
          </w:tcPr>
          <w:p>
            <w:pPr>
              <w:jc w:val="center"/>
              <w:ind w:left="93"/>
              <w:spacing w:after="0"/>
              <w:rPr>
                <w:sz w:val="20"/>
                <w:szCs w:val="20"/>
                <w:color w:val="auto"/>
              </w:rPr>
            </w:pPr>
            <w:r>
              <w:rPr>
                <w:rFonts w:ascii="Arial" w:cs="Arial" w:eastAsia="Arial" w:hAnsi="Arial"/>
                <w:sz w:val="14"/>
                <w:szCs w:val="14"/>
                <w:b w:val="1"/>
                <w:bCs w:val="1"/>
                <w:color w:val="auto"/>
                <w:w w:val="99"/>
              </w:rPr>
              <w:t>Shares Beneficially</w:t>
            </w:r>
          </w:p>
        </w:tc>
        <w:tc>
          <w:tcPr>
            <w:tcW w:w="21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139"/>
        </w:trPr>
        <w:tc>
          <w:tcPr>
            <w:tcW w:w="5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2740" w:type="dxa"/>
            <w:vAlign w:val="bottom"/>
            <w:gridSpan w:val="3"/>
            <w:vMerge w:val="continue"/>
          </w:tcPr>
          <w:p>
            <w:pPr>
              <w:spacing w:after="0"/>
              <w:rPr>
                <w:sz w:val="12"/>
                <w:szCs w:val="12"/>
                <w:color w:val="auto"/>
              </w:rPr>
            </w:pPr>
          </w:p>
        </w:tc>
        <w:tc>
          <w:tcPr>
            <w:tcW w:w="1320" w:type="dxa"/>
            <w:vAlign w:val="bottom"/>
            <w:tcBorders>
              <w:top w:val="single" w:sz="8" w:color="auto"/>
            </w:tcBorders>
            <w:gridSpan w:val="2"/>
          </w:tcPr>
          <w:p>
            <w:pPr>
              <w:jc w:val="right"/>
              <w:ind w:right="840"/>
              <w:spacing w:after="0" w:line="139" w:lineRule="exact"/>
              <w:rPr>
                <w:sz w:val="20"/>
                <w:szCs w:val="20"/>
                <w:color w:val="auto"/>
              </w:rPr>
            </w:pPr>
            <w:r>
              <w:rPr>
                <w:rFonts w:ascii="Arial" w:cs="Arial" w:eastAsia="Arial" w:hAnsi="Arial"/>
                <w:sz w:val="14"/>
                <w:szCs w:val="14"/>
                <w:b w:val="1"/>
                <w:bCs w:val="1"/>
                <w:color w:val="auto"/>
              </w:rPr>
              <w:t>Before</w:t>
            </w:r>
          </w:p>
        </w:tc>
        <w:tc>
          <w:tcPr>
            <w:tcW w:w="600" w:type="dxa"/>
            <w:vAlign w:val="bottom"/>
            <w:tcBorders>
              <w:top w:val="single" w:sz="8" w:color="auto"/>
            </w:tcBorders>
          </w:tcPr>
          <w:p>
            <w:pPr>
              <w:jc w:val="right"/>
              <w:ind w:right="54"/>
              <w:spacing w:after="0" w:line="139" w:lineRule="exact"/>
              <w:rPr>
                <w:sz w:val="20"/>
                <w:szCs w:val="20"/>
                <w:color w:val="auto"/>
              </w:rPr>
            </w:pPr>
            <w:r>
              <w:rPr>
                <w:rFonts w:ascii="Arial" w:cs="Arial" w:eastAsia="Arial" w:hAnsi="Arial"/>
                <w:sz w:val="14"/>
                <w:szCs w:val="14"/>
                <w:b w:val="1"/>
                <w:bCs w:val="1"/>
                <w:color w:val="auto"/>
              </w:rPr>
              <w:t>After</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840" w:type="dxa"/>
            <w:vAlign w:val="bottom"/>
            <w:gridSpan w:val="3"/>
            <w:vMerge w:val="continue"/>
          </w:tcPr>
          <w:p>
            <w:pPr>
              <w:spacing w:after="0"/>
              <w:rPr>
                <w:sz w:val="15"/>
                <w:szCs w:val="15"/>
                <w:color w:val="auto"/>
              </w:rPr>
            </w:pPr>
          </w:p>
        </w:tc>
        <w:tc>
          <w:tcPr>
            <w:tcW w:w="840" w:type="dxa"/>
            <w:vAlign w:val="bottom"/>
          </w:tcPr>
          <w:p>
            <w:pPr>
              <w:spacing w:after="0"/>
              <w:rPr>
                <w:sz w:val="15"/>
                <w:szCs w:val="15"/>
                <w:color w:val="auto"/>
              </w:rPr>
            </w:pPr>
          </w:p>
        </w:tc>
        <w:tc>
          <w:tcPr>
            <w:tcW w:w="1900" w:type="dxa"/>
            <w:vAlign w:val="bottom"/>
            <w:gridSpan w:val="2"/>
          </w:tcPr>
          <w:p>
            <w:pPr>
              <w:jc w:val="center"/>
              <w:ind w:right="640"/>
              <w:spacing w:after="0" w:line="155" w:lineRule="exact"/>
              <w:rPr>
                <w:sz w:val="20"/>
                <w:szCs w:val="20"/>
                <w:color w:val="auto"/>
              </w:rPr>
            </w:pPr>
            <w:r>
              <w:rPr>
                <w:rFonts w:ascii="Arial" w:cs="Arial" w:eastAsia="Arial" w:hAnsi="Arial"/>
                <w:sz w:val="14"/>
                <w:szCs w:val="14"/>
                <w:b w:val="1"/>
                <w:bCs w:val="1"/>
                <w:color w:val="auto"/>
                <w:w w:val="98"/>
              </w:rPr>
              <w:t>Owned</w:t>
            </w:r>
          </w:p>
        </w:tc>
        <w:tc>
          <w:tcPr>
            <w:tcW w:w="1320" w:type="dxa"/>
            <w:vAlign w:val="bottom"/>
            <w:gridSpan w:val="2"/>
          </w:tcPr>
          <w:p>
            <w:pPr>
              <w:jc w:val="right"/>
              <w:ind w:right="780"/>
              <w:spacing w:after="0" w:line="155" w:lineRule="exact"/>
              <w:rPr>
                <w:sz w:val="20"/>
                <w:szCs w:val="20"/>
                <w:color w:val="auto"/>
              </w:rPr>
            </w:pPr>
            <w:r>
              <w:rPr>
                <w:rFonts w:ascii="Arial" w:cs="Arial" w:eastAsia="Arial" w:hAnsi="Arial"/>
                <w:sz w:val="14"/>
                <w:szCs w:val="14"/>
                <w:b w:val="1"/>
                <w:bCs w:val="1"/>
                <w:color w:val="auto"/>
                <w:w w:val="95"/>
              </w:rPr>
              <w:t>Offering</w:t>
            </w:r>
          </w:p>
        </w:tc>
        <w:tc>
          <w:tcPr>
            <w:tcW w:w="800" w:type="dxa"/>
            <w:vAlign w:val="bottom"/>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w w:val="99"/>
              </w:rPr>
              <w:t>Offering</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72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7"/>
                <w:szCs w:val="17"/>
                <w:b w:val="1"/>
                <w:bCs w:val="1"/>
                <w:i w:val="1"/>
                <w:iCs w:val="1"/>
                <w:color w:val="auto"/>
              </w:rPr>
              <w:t>5% Stockholders</w:t>
            </w:r>
          </w:p>
        </w:tc>
        <w:tc>
          <w:tcPr>
            <w:tcW w:w="41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7"/>
                <w:szCs w:val="17"/>
                <w:color w:val="auto"/>
              </w:rPr>
              <w:t>Canaan IX L.P.(1)</w:t>
            </w:r>
          </w:p>
        </w:tc>
        <w:tc>
          <w:tcPr>
            <w:tcW w:w="2120" w:type="dxa"/>
            <w:vAlign w:val="bottom"/>
            <w:gridSpan w:val="2"/>
          </w:tcPr>
          <w:p>
            <w:pPr>
              <w:jc w:val="right"/>
              <w:spacing w:after="0"/>
              <w:rPr>
                <w:sz w:val="20"/>
                <w:szCs w:val="20"/>
                <w:color w:val="auto"/>
              </w:rPr>
            </w:pPr>
            <w:r>
              <w:rPr>
                <w:rFonts w:ascii="Arial" w:cs="Arial" w:eastAsia="Arial" w:hAnsi="Arial"/>
                <w:sz w:val="17"/>
                <w:szCs w:val="17"/>
                <w:color w:val="auto"/>
              </w:rPr>
              <w:t>4,989,554</w:t>
            </w:r>
          </w:p>
        </w:tc>
        <w:tc>
          <w:tcPr>
            <w:tcW w:w="620" w:type="dxa"/>
            <w:vAlign w:val="bottom"/>
          </w:tcPr>
          <w:p>
            <w:pPr>
              <w:spacing w:after="0"/>
              <w:rPr>
                <w:sz w:val="17"/>
                <w:szCs w:val="17"/>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7"/>
                <w:szCs w:val="17"/>
                <w:color w:val="auto"/>
              </w:rPr>
              <w:t>20.23%</w:t>
            </w: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15.52%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Entities affiliated with 5AM Partners III, LLC(2)</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4,989,552</w:t>
            </w:r>
          </w:p>
        </w:tc>
        <w:tc>
          <w:tcPr>
            <w:tcW w:w="6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20.23%</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15.52%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7"/>
                <w:szCs w:val="17"/>
                <w:color w:val="auto"/>
              </w:rPr>
              <w:t>Craig Crews, Ph.D.(3)</w:t>
            </w:r>
          </w:p>
        </w:tc>
        <w:tc>
          <w:tcPr>
            <w:tcW w:w="2120" w:type="dxa"/>
            <w:vAlign w:val="bottom"/>
            <w:gridSpan w:val="2"/>
          </w:tcPr>
          <w:p>
            <w:pPr>
              <w:jc w:val="right"/>
              <w:spacing w:after="0"/>
              <w:rPr>
                <w:sz w:val="20"/>
                <w:szCs w:val="20"/>
                <w:color w:val="auto"/>
              </w:rPr>
            </w:pPr>
            <w:r>
              <w:rPr>
                <w:rFonts w:ascii="Arial" w:cs="Arial" w:eastAsia="Arial" w:hAnsi="Arial"/>
                <w:sz w:val="17"/>
                <w:szCs w:val="17"/>
                <w:color w:val="auto"/>
              </w:rPr>
              <w:t>2,160,152</w:t>
            </w:r>
          </w:p>
        </w:tc>
        <w:tc>
          <w:tcPr>
            <w:tcW w:w="620" w:type="dxa"/>
            <w:vAlign w:val="bottom"/>
          </w:tcPr>
          <w:p>
            <w:pPr>
              <w:spacing w:after="0"/>
              <w:rPr>
                <w:sz w:val="17"/>
                <w:szCs w:val="17"/>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7"/>
                <w:szCs w:val="17"/>
                <w:color w:val="auto"/>
              </w:rPr>
              <w:t>8.76%</w:t>
            </w: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6.72%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Entities affiliated with RA Capital Management, LLC(4)</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2,138,412</w:t>
            </w:r>
          </w:p>
        </w:tc>
        <w:tc>
          <w:tcPr>
            <w:tcW w:w="6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8.67%</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6.65%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7"/>
                <w:szCs w:val="17"/>
                <w:color w:val="auto"/>
              </w:rPr>
              <w:t>OrbiMed Private Investments VI, LP(5)</w:t>
            </w:r>
          </w:p>
        </w:tc>
        <w:tc>
          <w:tcPr>
            <w:tcW w:w="2120" w:type="dxa"/>
            <w:vAlign w:val="bottom"/>
            <w:gridSpan w:val="2"/>
          </w:tcPr>
          <w:p>
            <w:pPr>
              <w:jc w:val="right"/>
              <w:spacing w:after="0"/>
              <w:rPr>
                <w:sz w:val="20"/>
                <w:szCs w:val="20"/>
                <w:color w:val="auto"/>
              </w:rPr>
            </w:pPr>
            <w:r>
              <w:rPr>
                <w:rFonts w:ascii="Arial" w:cs="Arial" w:eastAsia="Arial" w:hAnsi="Arial"/>
                <w:sz w:val="17"/>
                <w:szCs w:val="17"/>
                <w:color w:val="auto"/>
              </w:rPr>
              <w:t>1,603,810</w:t>
            </w:r>
          </w:p>
        </w:tc>
        <w:tc>
          <w:tcPr>
            <w:tcW w:w="620" w:type="dxa"/>
            <w:vAlign w:val="bottom"/>
          </w:tcPr>
          <w:p>
            <w:pPr>
              <w:spacing w:after="0"/>
              <w:rPr>
                <w:sz w:val="17"/>
                <w:szCs w:val="17"/>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7"/>
                <w:szCs w:val="17"/>
                <w:color w:val="auto"/>
              </w:rPr>
              <w:t>6.50%</w:t>
            </w: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4.99%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Nextech V Oncology S.C.S., SICAV-SIF(6)</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1,381,851</w:t>
            </w:r>
          </w:p>
        </w:tc>
        <w:tc>
          <w:tcPr>
            <w:tcW w:w="6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5.60%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7"/>
                <w:szCs w:val="17"/>
                <w:color w:val="auto"/>
              </w:rPr>
              <w:t>New Leaf Ventures III, L.P.(7)</w:t>
            </w:r>
          </w:p>
        </w:tc>
        <w:tc>
          <w:tcPr>
            <w:tcW w:w="2120" w:type="dxa"/>
            <w:vAlign w:val="bottom"/>
            <w:gridSpan w:val="2"/>
          </w:tcPr>
          <w:p>
            <w:pPr>
              <w:jc w:val="right"/>
              <w:spacing w:after="0"/>
              <w:rPr>
                <w:sz w:val="20"/>
                <w:szCs w:val="20"/>
                <w:color w:val="auto"/>
              </w:rPr>
            </w:pPr>
            <w:r>
              <w:rPr>
                <w:rFonts w:ascii="Arial" w:cs="Arial" w:eastAsia="Arial" w:hAnsi="Arial"/>
                <w:sz w:val="17"/>
                <w:szCs w:val="17"/>
                <w:color w:val="auto"/>
              </w:rPr>
              <w:t>1,283,048</w:t>
            </w:r>
          </w:p>
        </w:tc>
        <w:tc>
          <w:tcPr>
            <w:tcW w:w="62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7"/>
                <w:szCs w:val="17"/>
                <w:color w:val="auto"/>
              </w:rPr>
              <w:t>5.20%</w:t>
            </w: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3.99%</w:t>
            </w: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1720" w:type="dxa"/>
            <w:vAlign w:val="bottom"/>
          </w:tcPr>
          <w:p>
            <w:pPr>
              <w:spacing w:after="0"/>
              <w:rPr>
                <w:sz w:val="7"/>
                <w:szCs w:val="7"/>
                <w:color w:val="auto"/>
              </w:rPr>
            </w:pPr>
          </w:p>
        </w:tc>
        <w:tc>
          <w:tcPr>
            <w:tcW w:w="4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i w:val="1"/>
                <w:iCs w:val="1"/>
                <w:color w:val="auto"/>
              </w:rPr>
              <w:t>Named Executive Officers and Directors</w:t>
            </w:r>
          </w:p>
        </w:tc>
        <w:tc>
          <w:tcPr>
            <w:tcW w:w="8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7"/>
                <w:szCs w:val="17"/>
                <w:color w:val="auto"/>
              </w:rPr>
              <w:t>John Houston, Ph.D.(8)</w:t>
            </w:r>
          </w:p>
        </w:tc>
        <w:tc>
          <w:tcPr>
            <w:tcW w:w="2120" w:type="dxa"/>
            <w:vAlign w:val="bottom"/>
            <w:gridSpan w:val="2"/>
          </w:tcPr>
          <w:p>
            <w:pPr>
              <w:jc w:val="right"/>
              <w:spacing w:after="0"/>
              <w:rPr>
                <w:sz w:val="20"/>
                <w:szCs w:val="20"/>
                <w:color w:val="auto"/>
              </w:rPr>
            </w:pPr>
            <w:r>
              <w:rPr>
                <w:rFonts w:ascii="Arial" w:cs="Arial" w:eastAsia="Arial" w:hAnsi="Arial"/>
                <w:sz w:val="17"/>
                <w:szCs w:val="17"/>
                <w:color w:val="auto"/>
              </w:rPr>
              <w:t>856,397</w:t>
            </w:r>
          </w:p>
        </w:tc>
        <w:tc>
          <w:tcPr>
            <w:tcW w:w="620" w:type="dxa"/>
            <w:vAlign w:val="bottom"/>
          </w:tcPr>
          <w:p>
            <w:pPr>
              <w:spacing w:after="0"/>
              <w:rPr>
                <w:sz w:val="17"/>
                <w:szCs w:val="17"/>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7"/>
                <w:szCs w:val="17"/>
                <w:color w:val="auto"/>
              </w:rPr>
              <w:t>3.46%</w:t>
            </w: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2.65%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Manuel Litchman, M.D.(9)</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319,287</w:t>
            </w:r>
          </w:p>
        </w:tc>
        <w:tc>
          <w:tcPr>
            <w:tcW w:w="6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1.29%</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7"/>
                <w:szCs w:val="17"/>
                <w:color w:val="auto"/>
              </w:rPr>
              <w:t>Sean Cassidy(10)</w:t>
            </w:r>
          </w:p>
        </w:tc>
        <w:tc>
          <w:tcPr>
            <w:tcW w:w="2120" w:type="dxa"/>
            <w:vAlign w:val="bottom"/>
            <w:gridSpan w:val="2"/>
          </w:tcPr>
          <w:p>
            <w:pPr>
              <w:jc w:val="right"/>
              <w:spacing w:after="0"/>
              <w:rPr>
                <w:sz w:val="20"/>
                <w:szCs w:val="20"/>
                <w:color w:val="auto"/>
              </w:rPr>
            </w:pPr>
            <w:r>
              <w:rPr>
                <w:rFonts w:ascii="Arial" w:cs="Arial" w:eastAsia="Arial" w:hAnsi="Arial"/>
                <w:sz w:val="17"/>
                <w:szCs w:val="17"/>
                <w:color w:val="auto"/>
              </w:rPr>
              <w:t>217,322</w:t>
            </w:r>
          </w:p>
        </w:tc>
        <w:tc>
          <w:tcPr>
            <w:tcW w:w="6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Ian Taylor, Ph.D.(11)</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98,140</w:t>
            </w: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7"/>
                <w:szCs w:val="17"/>
                <w:color w:val="auto"/>
              </w:rPr>
              <w:t>Timothy Shannon, M.D.(12)</w:t>
            </w:r>
          </w:p>
        </w:tc>
        <w:tc>
          <w:tcPr>
            <w:tcW w:w="2120" w:type="dxa"/>
            <w:vAlign w:val="bottom"/>
            <w:gridSpan w:val="2"/>
          </w:tcPr>
          <w:p>
            <w:pPr>
              <w:jc w:val="right"/>
              <w:spacing w:after="0"/>
              <w:rPr>
                <w:sz w:val="20"/>
                <w:szCs w:val="20"/>
                <w:color w:val="auto"/>
              </w:rPr>
            </w:pPr>
            <w:r>
              <w:rPr>
                <w:rFonts w:ascii="Arial" w:cs="Arial" w:eastAsia="Arial" w:hAnsi="Arial"/>
                <w:sz w:val="17"/>
                <w:szCs w:val="17"/>
                <w:color w:val="auto"/>
              </w:rPr>
              <w:t>51,398</w:t>
            </w:r>
          </w:p>
        </w:tc>
        <w:tc>
          <w:tcPr>
            <w:tcW w:w="6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Edward Kennedy, Jr.(13)</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18,863</w:t>
            </w: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7"/>
                <w:szCs w:val="17"/>
                <w:color w:val="auto"/>
              </w:rPr>
              <w:t>Andrew Levin, M.D., Ph.D.(14)</w:t>
            </w:r>
          </w:p>
        </w:tc>
        <w:tc>
          <w:tcPr>
            <w:tcW w:w="2120" w:type="dxa"/>
            <w:vAlign w:val="bottom"/>
            <w:gridSpan w:val="2"/>
          </w:tcPr>
          <w:p>
            <w:pPr>
              <w:jc w:val="right"/>
              <w:spacing w:after="0"/>
              <w:rPr>
                <w:sz w:val="20"/>
                <w:szCs w:val="20"/>
                <w:color w:val="auto"/>
              </w:rPr>
            </w:pPr>
            <w:r>
              <w:rPr>
                <w:rFonts w:ascii="Arial" w:cs="Arial" w:eastAsia="Arial" w:hAnsi="Arial"/>
                <w:sz w:val="17"/>
                <w:szCs w:val="17"/>
                <w:color w:val="auto"/>
              </w:rPr>
              <w:t>2,138,412</w:t>
            </w:r>
          </w:p>
        </w:tc>
        <w:tc>
          <w:tcPr>
            <w:tcW w:w="620" w:type="dxa"/>
            <w:vAlign w:val="bottom"/>
          </w:tcPr>
          <w:p>
            <w:pPr>
              <w:spacing w:after="0"/>
              <w:rPr>
                <w:sz w:val="17"/>
                <w:szCs w:val="17"/>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7"/>
                <w:szCs w:val="17"/>
                <w:color w:val="auto"/>
              </w:rPr>
              <w:t>8.67%</w:t>
            </w: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6.65%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Jakob Loven, Ph.D.(15)</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1,381,851</w:t>
            </w:r>
          </w:p>
        </w:tc>
        <w:tc>
          <w:tcPr>
            <w:tcW w:w="6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5.60%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4.30%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7"/>
                <w:szCs w:val="17"/>
                <w:color w:val="auto"/>
              </w:rPr>
              <w:t>Bradley Margus(16)</w:t>
            </w:r>
          </w:p>
        </w:tc>
        <w:tc>
          <w:tcPr>
            <w:tcW w:w="2120" w:type="dxa"/>
            <w:vAlign w:val="bottom"/>
            <w:gridSpan w:val="2"/>
          </w:tcPr>
          <w:p>
            <w:pPr>
              <w:jc w:val="right"/>
              <w:spacing w:after="0"/>
              <w:rPr>
                <w:sz w:val="20"/>
                <w:szCs w:val="20"/>
                <w:color w:val="auto"/>
              </w:rPr>
            </w:pPr>
            <w:r>
              <w:rPr>
                <w:rFonts w:ascii="Arial" w:cs="Arial" w:eastAsia="Arial" w:hAnsi="Arial"/>
                <w:sz w:val="17"/>
                <w:szCs w:val="17"/>
                <w:color w:val="auto"/>
              </w:rPr>
              <w:t>127,274</w:t>
            </w:r>
          </w:p>
        </w:tc>
        <w:tc>
          <w:tcPr>
            <w:tcW w:w="6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Briggs Morrison, M.D.(17)</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36,123</w:t>
            </w: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7"/>
                <w:szCs w:val="17"/>
                <w:color w:val="auto"/>
              </w:rPr>
              <w:t>Kush Parmar, M.D., Ph.D.(18)</w:t>
            </w:r>
          </w:p>
        </w:tc>
        <w:tc>
          <w:tcPr>
            <w:tcW w:w="2120" w:type="dxa"/>
            <w:vAlign w:val="bottom"/>
            <w:gridSpan w:val="2"/>
          </w:tcPr>
          <w:p>
            <w:pPr>
              <w:jc w:val="right"/>
              <w:spacing w:after="0"/>
              <w:rPr>
                <w:sz w:val="20"/>
                <w:szCs w:val="20"/>
                <w:color w:val="auto"/>
              </w:rPr>
            </w:pPr>
            <w:r>
              <w:rPr>
                <w:rFonts w:ascii="Arial" w:cs="Arial" w:eastAsia="Arial" w:hAnsi="Arial"/>
                <w:sz w:val="17"/>
                <w:szCs w:val="17"/>
                <w:color w:val="auto"/>
              </w:rPr>
              <w:t>4,989,552</w:t>
            </w:r>
          </w:p>
        </w:tc>
        <w:tc>
          <w:tcPr>
            <w:tcW w:w="620" w:type="dxa"/>
            <w:vAlign w:val="bottom"/>
          </w:tcPr>
          <w:p>
            <w:pPr>
              <w:spacing w:after="0"/>
              <w:rPr>
                <w:sz w:val="17"/>
                <w:szCs w:val="17"/>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7"/>
                <w:szCs w:val="17"/>
                <w:color w:val="auto"/>
              </w:rPr>
              <w:t>20.23%</w:t>
            </w: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15.52%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Liam Ratcliffe, M.D., Ph.D.(19)</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1,283,048</w:t>
            </w:r>
          </w:p>
        </w:tc>
        <w:tc>
          <w:tcPr>
            <w:tcW w:w="6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5.20%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3.99%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7"/>
                <w:szCs w:val="17"/>
                <w:color w:val="auto"/>
              </w:rPr>
              <w:t>E. Jonathan Soderstrom, Ph.D.(20)</w:t>
            </w:r>
          </w:p>
        </w:tc>
        <w:tc>
          <w:tcPr>
            <w:tcW w:w="2120" w:type="dxa"/>
            <w:vAlign w:val="bottom"/>
            <w:gridSpan w:val="2"/>
          </w:tcPr>
          <w:p>
            <w:pPr>
              <w:jc w:val="right"/>
              <w:spacing w:after="0"/>
              <w:rPr>
                <w:sz w:val="20"/>
                <w:szCs w:val="20"/>
                <w:color w:val="auto"/>
              </w:rPr>
            </w:pPr>
            <w:r>
              <w:rPr>
                <w:rFonts w:ascii="Arial" w:cs="Arial" w:eastAsia="Arial" w:hAnsi="Arial"/>
                <w:sz w:val="17"/>
                <w:szCs w:val="17"/>
                <w:color w:val="auto"/>
              </w:rPr>
              <w:t>184,615</w:t>
            </w:r>
          </w:p>
        </w:tc>
        <w:tc>
          <w:tcPr>
            <w:tcW w:w="6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Stephen Squinto, Ph.D.(21)</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1,666,540</w:t>
            </w:r>
          </w:p>
        </w:tc>
        <w:tc>
          <w:tcPr>
            <w:tcW w:w="6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6.75%</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7"/>
                <w:szCs w:val="17"/>
                <w:color w:val="auto"/>
              </w:rPr>
              <w:t>All Executive Officers and Directors as a Group (14 persons)(22)</w:t>
            </w:r>
          </w:p>
        </w:tc>
        <w:tc>
          <w:tcPr>
            <w:tcW w:w="2120" w:type="dxa"/>
            <w:vAlign w:val="bottom"/>
            <w:gridSpan w:val="2"/>
          </w:tcPr>
          <w:p>
            <w:pPr>
              <w:jc w:val="right"/>
              <w:spacing w:after="0"/>
              <w:rPr>
                <w:sz w:val="20"/>
                <w:szCs w:val="20"/>
                <w:color w:val="auto"/>
              </w:rPr>
            </w:pPr>
            <w:r>
              <w:rPr>
                <w:rFonts w:ascii="Arial" w:cs="Arial" w:eastAsia="Arial" w:hAnsi="Arial"/>
                <w:sz w:val="17"/>
                <w:szCs w:val="17"/>
                <w:color w:val="auto"/>
              </w:rPr>
              <w:t>13,173,777</w:t>
            </w:r>
          </w:p>
        </w:tc>
        <w:tc>
          <w:tcPr>
            <w:tcW w:w="62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7"/>
                <w:szCs w:val="17"/>
                <w:color w:val="auto"/>
              </w:rPr>
              <w:t>52.90%</w:t>
            </w: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40.66%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74930</wp:posOffset>
            </wp:positionV>
            <wp:extent cx="6743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74370" cy="8255"/>
                    </a:xfrm>
                    <a:prstGeom prst="rect">
                      <a:avLst/>
                    </a:prstGeom>
                    <a:noFill/>
                  </pic:spPr>
                </pic:pic>
              </a:graphicData>
            </a:graphic>
          </wp:anchor>
        </w:drawing>
      </w:r>
    </w:p>
    <w:p>
      <w:pPr>
        <w:spacing w:after="0" w:line="149" w:lineRule="exact"/>
        <w:rPr>
          <w:sz w:val="20"/>
          <w:szCs w:val="20"/>
          <w:color w:val="auto"/>
        </w:rPr>
      </w:pPr>
    </w:p>
    <w:p>
      <w:pPr>
        <w:ind w:left="880" w:right="60" w:hanging="515"/>
        <w:spacing w:after="0" w:line="241" w:lineRule="auto"/>
        <w:tabs>
          <w:tab w:leader="none" w:pos="88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Consists of 4,989,554 shares of common stock issuable upon the automatic conversion of shares of our preferred stock upon the closing of this offering held by Canaan IX L.P. Canaan Partners IX LLC is the general partner of Canaan IX L.P. and may be deemed to have sole investment and voting power of the shares held by Canaan IX L.P. The managing members of Canaan Partners IX LLC are Brenton K. Ahrens, Stephen M. Bloch, Daniel T. Ciporin, Wende S. Hutton, Maha S. Ibrahim, Deepak Kamra, and Guy M. Russo. Investment, voting and dispositive decisions with respect to the shares held by Canaan IX L.P. are made by the managers of Canaan Partners IX LLC, collectively. Timothy M. Shannon, M.D. is a non-managing member of Canaan Partners IX LLC, the general partner of Canaan IX L.P., and a member of our board of directors. Neither any manager of Canaan Partners IX LLC nor Dr. Shannon has beneficial ownership (within the meaning of Rule 13d-3 promulgated under the Exchange Act) of any shares held by Canaan IX L.P. The address of Canaan IX L.P. is 2765 Sand Hill Road, Menlo Park, CA 94025.</w:t>
      </w:r>
    </w:p>
    <w:p>
      <w:pPr>
        <w:spacing w:after="0" w:line="3" w:lineRule="exact"/>
        <w:rPr>
          <w:rFonts w:ascii="Arial" w:cs="Arial" w:eastAsia="Arial" w:hAnsi="Arial"/>
          <w:sz w:val="17"/>
          <w:szCs w:val="17"/>
          <w:color w:val="auto"/>
        </w:rPr>
      </w:pPr>
    </w:p>
    <w:p>
      <w:pPr>
        <w:ind w:left="880" w:right="160" w:hanging="515"/>
        <w:spacing w:after="0" w:line="250" w:lineRule="auto"/>
        <w:tabs>
          <w:tab w:leader="none" w:pos="88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Consists of (i) 125,360 shares of common stock issuable upon the automatic conversion of shares of our preferred stock upon the closing of this offering held by 5AM Co-Investors III, L.P. and (ii) 4,864,192 shares of common stock issuable upon the automatic conversion of shares of</w:t>
      </w:r>
    </w:p>
    <w:p>
      <w:pPr>
        <w:spacing w:after="0" w:line="12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177</w:t>
      </w:r>
    </w:p>
    <w:p>
      <w:pPr>
        <w:sectPr>
          <w:pgSz w:w="11900" w:h="16838" w:orient="portrait"/>
          <w:cols w:equalWidth="0" w:num="1">
            <w:col w:w="11060"/>
          </w:cols>
          <w:pgMar w:left="240" w:top="450" w:right="599" w:bottom="1440" w:gutter="0" w:footer="0" w:header="0"/>
        </w:sectPr>
      </w:pPr>
    </w:p>
    <w:bookmarkStart w:id="179" w:name="page180"/>
    <w:bookmarkEnd w:id="1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880" w:right="20"/>
        <w:spacing w:after="0" w:line="241" w:lineRule="auto"/>
        <w:rPr>
          <w:sz w:val="20"/>
          <w:szCs w:val="20"/>
          <w:color w:val="auto"/>
        </w:rPr>
      </w:pPr>
      <w:r>
        <w:rPr>
          <w:rFonts w:ascii="Arial" w:cs="Arial" w:eastAsia="Arial" w:hAnsi="Arial"/>
          <w:sz w:val="17"/>
          <w:szCs w:val="17"/>
          <w:color w:val="auto"/>
        </w:rPr>
        <w:t>our preferred stock upon the closing of this offering held by 5AM Ventures III, L.P. 5AM Partners III, LLC is the general partner of 5AM Co-Investors III, L.P. and 5AM Ventures III, L.P. The managing members of 5AM Partners III, LLC are Dr. John D. Diekman, Mr. Andrew J. Schwab, and Dr. Scott M. Rocklage. Each of 5AM Partners III, LLC and the individuals listed above may be deemed to have shared voting and investment power over the shares held of record by 5AM Ventures III, L.P. and 5AM Co-Investors III, L.P. Each of 5AM Partners III, LLC and the individuals listed above disclaim beneficial ownership of the securities listed above except to the extent of any pecuniary interest therein. The address of the individuals and entities listed above is 501 2nd Street, Suite 350, San Francisco, CA 94107.</w:t>
      </w:r>
    </w:p>
    <w:p>
      <w:pPr>
        <w:spacing w:after="0" w:line="2" w:lineRule="exact"/>
        <w:rPr>
          <w:sz w:val="20"/>
          <w:szCs w:val="20"/>
          <w:color w:val="auto"/>
        </w:rPr>
      </w:pPr>
    </w:p>
    <w:p>
      <w:pPr>
        <w:ind w:left="880" w:right="60" w:hanging="515"/>
        <w:spacing w:after="0" w:line="241" w:lineRule="auto"/>
        <w:tabs>
          <w:tab w:leader="none" w:pos="88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Consists of (i) 538,461 shares of common stock held by Professor Crews directly, (ii) 53,460 shares of common stock issuable upon the automatic conversion of shares of our preferred stock upon the closing of this offering held by Professor Crews directly, (iii) 458,673 shares of common stock issued upon conversion of incentive units held by Professor Crews directly, (iv) 11,097 restricted shares of common stock issued upon conversion of incentive units held by Professor Crews directly, (v) 560,000 shares of common stock held by The Craig M. Crews Family 2013 Trust, and (vi) 538,461 shares of common stock held by The Crews Family 2018 Trust. Family members of Professor Crews are the beneficiaries of The Craig M. Crews Family 2013 Trust and The Crews Family 2018 Trust. Professor Crews disclaims beneficial ownership of the securities listed in (v) and (vi) above except to the extent of any pecuniary interest therein.</w:t>
      </w:r>
    </w:p>
    <w:p>
      <w:pPr>
        <w:spacing w:after="0" w:line="2" w:lineRule="exact"/>
        <w:rPr>
          <w:rFonts w:ascii="Arial" w:cs="Arial" w:eastAsia="Arial" w:hAnsi="Arial"/>
          <w:sz w:val="17"/>
          <w:szCs w:val="17"/>
          <w:color w:val="auto"/>
        </w:rPr>
      </w:pPr>
    </w:p>
    <w:p>
      <w:pPr>
        <w:ind w:left="880" w:hanging="515"/>
        <w:spacing w:after="0" w:line="241" w:lineRule="auto"/>
        <w:tabs>
          <w:tab w:leader="none" w:pos="88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Consists of (i) 1,788,690 shares of common stock issuable upon the automatic conversion of shares of our preferred stock upon the closing of this offering held by RA Capital Healthcare Fund, L.P. and (ii) 349,722 shares of common stock issuable upon the automatic conversion of shares of our preferred stock upon the closing of this offering held by Blackwell Partners LLC—Series A. RA Capital Management, LLC is the general partner of RA Capital Healthcare Fund, L.P. RA Capital Management, LLC is the investment adviser for Blackwell Partners LLC—Series A. The managing member of RA Capital Management, LLC is Peter Kolchinsky. RA Capital Management, LLC and Peter Kolchinsky may be deemed to have voting and investment power over the shares held of record by RA Capital Healthcare Fund, L.P. and Blackwell Partners LLC—Series A. RA Capital Management, LLC and Peter Kolchinsky disclaim beneficial ownership of the securities listed above except to the extent of any pecuniary interest therein. The address of the individual and entities listed above is 20 Park Plaza, Suite 1200, Boston, MA 02116.</w:t>
      </w:r>
    </w:p>
    <w:p>
      <w:pPr>
        <w:spacing w:after="0" w:line="3" w:lineRule="exact"/>
        <w:rPr>
          <w:rFonts w:ascii="Arial" w:cs="Arial" w:eastAsia="Arial" w:hAnsi="Arial"/>
          <w:sz w:val="17"/>
          <w:szCs w:val="17"/>
          <w:color w:val="auto"/>
        </w:rPr>
      </w:pPr>
    </w:p>
    <w:p>
      <w:pPr>
        <w:ind w:left="880" w:right="80" w:hanging="515"/>
        <w:spacing w:after="0" w:line="241" w:lineRule="auto"/>
        <w:tabs>
          <w:tab w:leader="none" w:pos="88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Consists of 1,603,810 shares of common stock issuable upon the automatic conversion of shares of our preferred stock upon the closing of this offering held by OrbiMed Private Investments VI, LP. OrbiMed Capital GP VI LLC is the general partner of OrbiMed Private Investments VI, LP. OrbiMed Advisors LLC is the managing member of OrbiMed Capital GP VI LLC. Stephen Squinto, a Venture Partner of OrbiMed Advisors, is a member of the Company’s board of directors. Advisors exercises investment and voting power through a management committee comprised of Carl L. Gordon, Sven H. Borho and Jonathan T. Silverstein. Each of GP VI, OrbiMed Advisors, Carl L. Gordon, Sven H. Borho, Jonathan T. Silverstein and Stephen Squinto disclaims beneficial ownership of the shares held by OPI VI, except to the extent of its or his pecuniary interest therein if any. The address of the individuals and entities listed above is 601 Lexington Avenue, 54th Floor, New York NY 10022.</w:t>
      </w:r>
    </w:p>
    <w:p>
      <w:pPr>
        <w:spacing w:after="0" w:line="2" w:lineRule="exact"/>
        <w:rPr>
          <w:rFonts w:ascii="Arial" w:cs="Arial" w:eastAsia="Arial" w:hAnsi="Arial"/>
          <w:sz w:val="17"/>
          <w:szCs w:val="17"/>
          <w:color w:val="auto"/>
        </w:rPr>
      </w:pPr>
    </w:p>
    <w:p>
      <w:pPr>
        <w:ind w:left="880" w:right="40" w:hanging="515"/>
        <w:spacing w:after="0" w:line="245" w:lineRule="auto"/>
        <w:tabs>
          <w:tab w:leader="none" w:pos="88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Consists of 1,381,851 shares of common stock issuable upon the automatic conversion of shares of our preferred stock upon the closing of this offering held by Nextech V Oncology S.C.S., SICAV-SIF. Nextech V GP S.à r.l. is the general partner of Nextech V Oncology S.C.S., SICAV-SIF. Nextech Invest AG is the investment advisor of Nextech V Oncology S.C.S., SICAV-SIF. The board of managers of Nextech V GP S.à r.l. consists of James Vella-Bamber, James Pledger, and Thomas Lips, Ph.D. The investment committee of Nextech Invest AG consists of Alfred Scheidegger, Ph.D., Thilo Schroeder, Ph.D., and Jakob Loven, Ph.D. Each of</w:t>
      </w:r>
    </w:p>
    <w:p>
      <w:pPr>
        <w:spacing w:after="0" w:line="13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178</w:t>
      </w:r>
    </w:p>
    <w:p>
      <w:pPr>
        <w:sectPr>
          <w:pgSz w:w="11900" w:h="16838" w:orient="portrait"/>
          <w:cols w:equalWidth="0" w:num="1">
            <w:col w:w="11040"/>
          </w:cols>
          <w:pgMar w:left="240" w:top="450" w:right="619" w:bottom="1440" w:gutter="0" w:footer="0" w:header="0"/>
        </w:sectPr>
      </w:pPr>
    </w:p>
    <w:bookmarkStart w:id="180" w:name="page181"/>
    <w:bookmarkEnd w:id="1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880"/>
        <w:spacing w:after="0" w:line="241" w:lineRule="auto"/>
        <w:rPr>
          <w:sz w:val="20"/>
          <w:szCs w:val="20"/>
          <w:color w:val="auto"/>
        </w:rPr>
      </w:pPr>
      <w:r>
        <w:rPr>
          <w:rFonts w:ascii="Arial" w:cs="Arial" w:eastAsia="Arial" w:hAnsi="Arial"/>
          <w:sz w:val="17"/>
          <w:szCs w:val="17"/>
          <w:color w:val="auto"/>
        </w:rPr>
        <w:t>these individuals listed above may be deemed to have shared voting and/or investment power over the shares held of record by Nextech V Oncology S.C.S., SICAV-SIF. The individuals listed above expressly disclaim beneficial ownership of the securities listed above except to the extent of any pecuniary interest therein. The address of Nextech V Oncology S.C.S., SICAV-SIF and Nextech V GP S.à r.l. is 8 Rue Lou Hemmer, L-1748, Luxembourg—Findel, Grand Duchy of Luxembourg. And the address of Nextech Invest AG is Turnerstrasse 26, 8006 Zurich, Switzerland.</w:t>
      </w:r>
    </w:p>
    <w:p>
      <w:pPr>
        <w:spacing w:after="0" w:line="2" w:lineRule="exact"/>
        <w:rPr>
          <w:sz w:val="20"/>
          <w:szCs w:val="20"/>
          <w:color w:val="auto"/>
        </w:rPr>
      </w:pPr>
    </w:p>
    <w:p>
      <w:pPr>
        <w:ind w:left="880" w:right="180" w:hanging="515"/>
        <w:spacing w:after="0" w:line="241" w:lineRule="auto"/>
        <w:tabs>
          <w:tab w:leader="none" w:pos="8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Consists of 1,283,048 shares of common stock issuable upon the automatic conversion of shares of our preferred stock upon the closing of this offering held by New Leaf Ventures III, L.P. New Leaf Venture Associates III, L.P. is the general partner of New Leaf Ventures III, L.P. New Leaf Venture Management III, L.L.C. is the general partner of New Leaf Venture Associates III, L.P. The members of New Leaf Venture Management III, L.L.C. consists of Ronald M. Hunt, Vijay Lathi, and Liam Ratcliffe. Each of these individuals listed above may be deemed to have shared voting and investment power over the shares held of record by New Leaf Ventures III, L.P. The individuals listed above expressly disclaims beneficial ownership of the securities listed above except to the extent of any pecuniary interest therein. The address of the individuals and entities listed above is 7 Times Square, Suite 3502, New York, NY 10036.</w:t>
      </w:r>
    </w:p>
    <w:p>
      <w:pPr>
        <w:spacing w:after="0" w:line="2" w:lineRule="exact"/>
        <w:rPr>
          <w:rFonts w:ascii="Arial" w:cs="Arial" w:eastAsia="Arial" w:hAnsi="Arial"/>
          <w:sz w:val="17"/>
          <w:szCs w:val="17"/>
          <w:color w:val="auto"/>
        </w:rPr>
      </w:pPr>
    </w:p>
    <w:p>
      <w:pPr>
        <w:ind w:left="880" w:right="40" w:hanging="515"/>
        <w:spacing w:after="0" w:line="241" w:lineRule="auto"/>
        <w:tabs>
          <w:tab w:leader="none" w:pos="8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Consists of (i) 12,484 shares of common stock issuable upon the automatic conversion of shares of our preferred stock upon the closing of this offering, (ii) 191,460 shares of common stock issued upon conversion of incentive units (iii) 551,400 restricted shares of common stock issued upon conversion of incentive units and (iv) 101,053 shares of common stock issuable upon the exercise of options exercisable within 60 days after August 31, 2018.</w:t>
      </w:r>
    </w:p>
    <w:p>
      <w:pPr>
        <w:spacing w:after="0" w:line="1" w:lineRule="exact"/>
        <w:rPr>
          <w:rFonts w:ascii="Arial" w:cs="Arial" w:eastAsia="Arial" w:hAnsi="Arial"/>
          <w:sz w:val="17"/>
          <w:szCs w:val="17"/>
          <w:color w:val="auto"/>
        </w:rPr>
      </w:pPr>
    </w:p>
    <w:p>
      <w:pPr>
        <w:ind w:left="880" w:right="160" w:hanging="515"/>
        <w:spacing w:after="0" w:line="241" w:lineRule="auto"/>
        <w:tabs>
          <w:tab w:leader="none" w:pos="8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Consists of (i) 28,867 shares of common stock issuable upon the automatic conversion of shares of our preferred stock upon the closing of this offering and (ii) 290,420 shares of common stock issued upon conversion of incentive units. Dr. Litchman served as our President and Chief Executive Officer until February 2017.</w:t>
      </w:r>
    </w:p>
    <w:p>
      <w:pPr>
        <w:spacing w:after="0" w:line="1" w:lineRule="exact"/>
        <w:rPr>
          <w:rFonts w:ascii="Arial" w:cs="Arial" w:eastAsia="Arial" w:hAnsi="Arial"/>
          <w:sz w:val="17"/>
          <w:szCs w:val="17"/>
          <w:color w:val="auto"/>
        </w:rPr>
      </w:pPr>
    </w:p>
    <w:p>
      <w:pPr>
        <w:ind w:left="880" w:right="40" w:hanging="515"/>
        <w:spacing w:after="0" w:line="241" w:lineRule="auto"/>
        <w:tabs>
          <w:tab w:leader="none" w:pos="8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Consists of (i) 5,345 shares of common stock issuable upon the automatic conversion of shares of our preferred stock upon the closing of this offering, (ii) 95,341 shares of common stock issued upon conversion of incentive units (iii) 72,524 restricted shares of common stock issued upon conversion of incentive units and (iv) 44,112 shares of common stock issuable upon the exercise of options exercisable within 60 days after August 31, 2018.</w:t>
      </w:r>
    </w:p>
    <w:p>
      <w:pPr>
        <w:spacing w:after="0" w:line="1" w:lineRule="exact"/>
        <w:rPr>
          <w:rFonts w:ascii="Arial" w:cs="Arial" w:eastAsia="Arial" w:hAnsi="Arial"/>
          <w:sz w:val="17"/>
          <w:szCs w:val="17"/>
          <w:color w:val="auto"/>
        </w:rPr>
      </w:pPr>
    </w:p>
    <w:p>
      <w:pPr>
        <w:ind w:left="880" w:right="360" w:hanging="515"/>
        <w:spacing w:after="0" w:line="241" w:lineRule="auto"/>
        <w:tabs>
          <w:tab w:leader="none" w:pos="8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Consists of (i) 25,786 shares of common stock issued upon conversion of incentive units and (ii) 58,710 restricted shares of common stock issued upon conversion of incentive units and (iii) 13,644 shares of common stock issuable upon the exercise of options exercisable within 60 days after August 31, 2018.</w:t>
      </w:r>
    </w:p>
    <w:p>
      <w:pPr>
        <w:spacing w:after="0" w:line="1" w:lineRule="exact"/>
        <w:rPr>
          <w:rFonts w:ascii="Arial" w:cs="Arial" w:eastAsia="Arial" w:hAnsi="Arial"/>
          <w:sz w:val="17"/>
          <w:szCs w:val="17"/>
          <w:color w:val="auto"/>
        </w:rPr>
      </w:pPr>
    </w:p>
    <w:p>
      <w:pPr>
        <w:ind w:left="880" w:right="160" w:hanging="515"/>
        <w:spacing w:after="0" w:line="241" w:lineRule="auto"/>
        <w:tabs>
          <w:tab w:leader="none" w:pos="8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Consists of 51,398 shares of common stock held by Dr. Shannon in his individual capacity. Dr. Shannon is a non-managing member of Canaan Partners IX LLC, the general partner of Canaan IX L.P., and does not have voting or investment power control over the shares held by Canaan IX L.P. referenced in note (1) above. Dr. Shannon’s business address is 285 Riverside Ave., Suite 250, Westport, CT 06880.</w:t>
      </w:r>
    </w:p>
    <w:p>
      <w:pPr>
        <w:spacing w:after="0" w:line="1" w:lineRule="exact"/>
        <w:rPr>
          <w:rFonts w:ascii="Arial" w:cs="Arial" w:eastAsia="Arial" w:hAnsi="Arial"/>
          <w:sz w:val="17"/>
          <w:szCs w:val="17"/>
          <w:color w:val="auto"/>
        </w:rPr>
      </w:pPr>
    </w:p>
    <w:p>
      <w:pPr>
        <w:ind w:left="880" w:right="320" w:hanging="515"/>
        <w:spacing w:after="0" w:line="241" w:lineRule="auto"/>
        <w:tabs>
          <w:tab w:leader="none" w:pos="8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Consists of (i) 1,115 shares of common stock issued upon conversion of incentive units, (ii) 12,270 restricted shares of common stock issued upon conversion of incentive units and (iii) 5,478 shares of common stock issuable upon the exercise of options exercisable within 60 days after August 31, 2018.</w:t>
      </w:r>
    </w:p>
    <w:p>
      <w:pPr>
        <w:spacing w:after="0" w:line="1" w:lineRule="exact"/>
        <w:rPr>
          <w:rFonts w:ascii="Arial" w:cs="Arial" w:eastAsia="Arial" w:hAnsi="Arial"/>
          <w:sz w:val="17"/>
          <w:szCs w:val="17"/>
          <w:color w:val="auto"/>
        </w:rPr>
      </w:pPr>
    </w:p>
    <w:p>
      <w:pPr>
        <w:ind w:left="880" w:hanging="515"/>
        <w:spacing w:after="0" w:line="241" w:lineRule="auto"/>
        <w:tabs>
          <w:tab w:leader="none" w:pos="8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Consists of the shares described in note (4) above. Dr. Levin is a Managing Director of RA Capital Management, LLC and may be deemed the indirect beneficial owner of such shares. Dr. Levin disclaims beneficial ownership of such shares except to the extent of any pecuniary interest therein. Dr. Levin resigned from our board of directors effective immediately prior to the effectiveness of the registration statement of which this prospectus forms a part.</w:t>
      </w:r>
    </w:p>
    <w:p>
      <w:pPr>
        <w:spacing w:after="0" w:line="1" w:lineRule="exact"/>
        <w:rPr>
          <w:rFonts w:ascii="Arial" w:cs="Arial" w:eastAsia="Arial" w:hAnsi="Arial"/>
          <w:sz w:val="17"/>
          <w:szCs w:val="17"/>
          <w:color w:val="auto"/>
        </w:rPr>
      </w:pPr>
    </w:p>
    <w:p>
      <w:pPr>
        <w:ind w:left="880" w:right="140" w:hanging="515"/>
        <w:spacing w:after="0" w:line="250" w:lineRule="auto"/>
        <w:tabs>
          <w:tab w:leader="none" w:pos="8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Consists of the shares described in note (6) above. Dr. Loven is a Partner at Nextech V Oncology S.C.S., SICAV-SIF and may be deemed the indirect beneficial owner of such shares. Dr. Loven disclaims beneficial ownership of such shares except to the extent of any pecuniary interest therein.</w:t>
      </w:r>
    </w:p>
    <w:p>
      <w:pPr>
        <w:spacing w:after="0" w:line="12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179</w:t>
      </w:r>
    </w:p>
    <w:p>
      <w:pPr>
        <w:sectPr>
          <w:pgSz w:w="11900" w:h="16838" w:orient="portrait"/>
          <w:cols w:equalWidth="0" w:num="1">
            <w:col w:w="11060"/>
          </w:cols>
          <w:pgMar w:left="240" w:top="450" w:right="599" w:bottom="1440" w:gutter="0" w:footer="0" w:header="0"/>
        </w:sectPr>
      </w:pPr>
    </w:p>
    <w:bookmarkStart w:id="181" w:name="page182"/>
    <w:bookmarkEnd w:id="1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880" w:hanging="515"/>
        <w:spacing w:after="0" w:line="241" w:lineRule="auto"/>
        <w:tabs>
          <w:tab w:leader="none" w:pos="8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Consists of (i) 42,768 shares of common stock issuable upon the automatic conversion of shares of our preferred stock upon the closing of this offering held by the Bradley A. Margus Revocable Trust, (ii) 53,379 shares of common stock issued upon conversion of incentive units held by Mr. Margus directly (iii) 6,084 restricted shares of common stock issued upon conversion of incentive units held by Mr. Margus directly and (iv) 25,043 shares of common stock issuable upon the exercise of options exercisable within 60 days after August 31, 2018 held by Mr. Margus directly. Mr. Margus is a co-trustee of the Bradley A. Margus Revocable Trust.</w:t>
      </w:r>
    </w:p>
    <w:p>
      <w:pPr>
        <w:spacing w:after="0" w:line="1" w:lineRule="exact"/>
        <w:rPr>
          <w:rFonts w:ascii="Arial" w:cs="Arial" w:eastAsia="Arial" w:hAnsi="Arial"/>
          <w:sz w:val="17"/>
          <w:szCs w:val="17"/>
          <w:color w:val="auto"/>
        </w:rPr>
      </w:pPr>
    </w:p>
    <w:p>
      <w:pPr>
        <w:ind w:left="880" w:right="340" w:hanging="515"/>
        <w:spacing w:after="0" w:line="241" w:lineRule="auto"/>
        <w:tabs>
          <w:tab w:leader="none" w:pos="8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Consists of (i) 7,932 shares of common stock issued upon conversion of incentive units (ii) 19,088 restricted shares of common stock issued upon conversion of incentive units and (iii) 9,103 shares of common stock issuable upon the exercise of options exercisable within 60 days after August 31, 2018.</w:t>
      </w:r>
    </w:p>
    <w:p>
      <w:pPr>
        <w:spacing w:after="0" w:line="1" w:lineRule="exact"/>
        <w:rPr>
          <w:rFonts w:ascii="Arial" w:cs="Arial" w:eastAsia="Arial" w:hAnsi="Arial"/>
          <w:sz w:val="17"/>
          <w:szCs w:val="17"/>
          <w:color w:val="auto"/>
        </w:rPr>
      </w:pPr>
    </w:p>
    <w:p>
      <w:pPr>
        <w:ind w:left="880" w:right="160" w:hanging="515"/>
        <w:spacing w:after="0" w:line="241" w:lineRule="auto"/>
        <w:tabs>
          <w:tab w:leader="none" w:pos="8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Consists of the shares described in note (2) above. Dr. Parmar is a Managing Partner and Member of 5AM Venture Management, LLC and may be deemed the indirect beneficial owner of such shares. Dr. Parmar disclaims beneficial ownership of such shares except to the extent of any pecuniary interest therein.</w:t>
      </w:r>
    </w:p>
    <w:p>
      <w:pPr>
        <w:spacing w:after="0" w:line="1" w:lineRule="exact"/>
        <w:rPr>
          <w:rFonts w:ascii="Arial" w:cs="Arial" w:eastAsia="Arial" w:hAnsi="Arial"/>
          <w:sz w:val="17"/>
          <w:szCs w:val="17"/>
          <w:color w:val="auto"/>
        </w:rPr>
      </w:pPr>
    </w:p>
    <w:p>
      <w:pPr>
        <w:ind w:left="880" w:right="80" w:hanging="515"/>
        <w:spacing w:after="0" w:line="241" w:lineRule="auto"/>
        <w:tabs>
          <w:tab w:leader="none" w:pos="8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Consists of the shares described in note (7) above. Dr. Ratcliffe is a Managing Partner and Member of New Leaf Partners LLC and may be deemed the indirect beneficial owner of such shares. Dr. Ratcliffe disclaims beneficial ownership of such shares except to the extent of any pecuniary interest therein.</w:t>
      </w:r>
    </w:p>
    <w:p>
      <w:pPr>
        <w:spacing w:after="0" w:line="1" w:lineRule="exact"/>
        <w:rPr>
          <w:rFonts w:ascii="Arial" w:cs="Arial" w:eastAsia="Arial" w:hAnsi="Arial"/>
          <w:sz w:val="17"/>
          <w:szCs w:val="17"/>
          <w:color w:val="auto"/>
        </w:rPr>
      </w:pPr>
    </w:p>
    <w:p>
      <w:pPr>
        <w:ind w:left="880" w:right="40" w:hanging="515"/>
        <w:spacing w:after="0" w:line="241" w:lineRule="auto"/>
        <w:tabs>
          <w:tab w:leader="none" w:pos="8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Consists of 184,615 shares of common stock held by Yale University. Dr. Soderstrom is the Managing Director of the Office of Cooperative Research at Yale University and may be deemed the indirect beneficial owner of such shares. Dr. Soderstrom disclaims beneficial ownership of such shares except to the extent of any pecuniary interest therein. The address of Yale University is 433 Temple Street, New Haven, CT 06520. Dr. Soderstrom resigned from our board of directors effective immediately prior to the effectiveness of the registration statement of which this prospectus forms a part.</w:t>
      </w:r>
    </w:p>
    <w:p>
      <w:pPr>
        <w:spacing w:after="0" w:line="1" w:lineRule="exact"/>
        <w:rPr>
          <w:rFonts w:ascii="Arial" w:cs="Arial" w:eastAsia="Arial" w:hAnsi="Arial"/>
          <w:sz w:val="17"/>
          <w:szCs w:val="17"/>
          <w:color w:val="auto"/>
        </w:rPr>
      </w:pPr>
    </w:p>
    <w:p>
      <w:pPr>
        <w:ind w:left="880" w:hanging="515"/>
        <w:spacing w:after="0" w:line="241" w:lineRule="auto"/>
        <w:tabs>
          <w:tab w:leader="none" w:pos="8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Consists of (i) 36,168 shares of common stock issued upon conversion of incentive units held by Dr. Squinto directly, (ii) 8,258 restricted shares of common stock issued upon conversion of incentive units held by Dr. Squinto directly, (iii) 18,304 shares of common stock issuable upon exercise of options exercisable within 60 days after August 31, 2018 and (iv) the shares described in note (5) above. Dr. Squinto is a Venture Partner at OrbiMed Advisors LLC and may be deemed the indirect beneficial owner of such shares. Dr. Squinto disclaims beneficial ownership of such shares except to the extent of any pecuniary interest therein. Dr. Squinto resigned from our board of directors effective immediately prior to the effectiveness of the registration statement of which this prospectus forms a part.</w:t>
      </w:r>
    </w:p>
    <w:p>
      <w:pPr>
        <w:spacing w:after="0" w:line="2" w:lineRule="exact"/>
        <w:rPr>
          <w:rFonts w:ascii="Arial" w:cs="Arial" w:eastAsia="Arial" w:hAnsi="Arial"/>
          <w:sz w:val="17"/>
          <w:szCs w:val="17"/>
          <w:color w:val="auto"/>
        </w:rPr>
      </w:pPr>
    </w:p>
    <w:p>
      <w:pPr>
        <w:ind w:left="880" w:hanging="515"/>
        <w:spacing w:after="0" w:line="247" w:lineRule="auto"/>
        <w:tabs>
          <w:tab w:leader="none" w:pos="8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Consists of (i) 236,013 shares of common stock, (ii) 11,457,270 shares of common stock issuable upon the automatic conversion of shares of our preferred stock upon the closing of this offering, (iii) 465,034 shares of common stock issued upon conversion of incentive units, (iv) 773,273 restricted shares of common stock issued upon conversion of incentive units and (v) 242,187 shares of common stock issuable upon exercise of options exercisable within 60 days after August 31, 2018.</w:t>
      </w:r>
    </w:p>
    <w:p>
      <w:pPr>
        <w:spacing w:after="0" w:line="12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180</w:t>
      </w:r>
    </w:p>
    <w:p>
      <w:pPr>
        <w:sectPr>
          <w:pgSz w:w="11900" w:h="16838" w:orient="portrait"/>
          <w:cols w:equalWidth="0" w:num="1">
            <w:col w:w="11040"/>
          </w:cols>
          <w:pgMar w:left="240" w:top="450" w:right="619" w:bottom="1440" w:gutter="0" w:footer="0" w:header="0"/>
        </w:sectPr>
      </w:pPr>
    </w:p>
    <w:bookmarkStart w:id="182" w:name="page183"/>
    <w:bookmarkEnd w:id="1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DESCRIPTION OF CAPITAL STOCK</w:t>
      </w:r>
    </w:p>
    <w:p>
      <w:pPr>
        <w:spacing w:after="0" w:line="211"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General</w:t>
      </w:r>
    </w:p>
    <w:p>
      <w:pPr>
        <w:spacing w:after="0" w:line="233" w:lineRule="exact"/>
        <w:rPr>
          <w:sz w:val="20"/>
          <w:szCs w:val="20"/>
          <w:color w:val="auto"/>
        </w:rPr>
      </w:pPr>
    </w:p>
    <w:p>
      <w:pPr>
        <w:ind w:left="360" w:right="20" w:firstLine="535"/>
        <w:spacing w:after="0" w:line="244" w:lineRule="auto"/>
        <w:rPr>
          <w:sz w:val="20"/>
          <w:szCs w:val="20"/>
          <w:color w:val="auto"/>
        </w:rPr>
      </w:pPr>
      <w:r>
        <w:rPr>
          <w:rFonts w:ascii="Arial" w:cs="Arial" w:eastAsia="Arial" w:hAnsi="Arial"/>
          <w:sz w:val="17"/>
          <w:szCs w:val="17"/>
          <w:color w:val="auto"/>
        </w:rPr>
        <w:t>Following the closing of this offering, our authorized capital stock will consist of 200 million shares of common stock, par value $0.001 per share, and 5 million shares of preferred stock, par value $0.001 per share, all of which preferred stock will be undesignated. The following description of our capital stock and provisions of our restated certificate of incorporation and bylaws are summaries and are qualified by reference to the restated certificate of incorporation and the bylaws that will be in effect upon the closing of this offering. We have filed copies of these documents with the SEC as exhibits to our registration statement of which this prospectus forms a part. The descriptions of the common stock and preferred stock reflect changes to our capital structure that will occur upon the closing of this offering.</w:t>
      </w:r>
    </w:p>
    <w:p>
      <w:pPr>
        <w:spacing w:after="0" w:line="39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As of August 31, 2018, prior to giving effect to the Conversion, we had issued and outstanding:</w:t>
      </w:r>
    </w:p>
    <w:p>
      <w:pPr>
        <w:spacing w:after="0" w:line="119" w:lineRule="exact"/>
        <w:rPr>
          <w:sz w:val="20"/>
          <w:szCs w:val="20"/>
          <w:color w:val="auto"/>
        </w:rPr>
      </w:pPr>
    </w:p>
    <w:p>
      <w:pPr>
        <w:ind w:left="1100" w:hanging="210"/>
        <w:spacing w:after="0"/>
        <w:tabs>
          <w:tab w:leader="none" w:pos="11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1,897,544 common units held by 12 unitholders of record;</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5,350,265 incentive units held by 90 unitholders of record;</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22,463,665 series A preferred units held by 8 unitholders of record that are convertible into 6,945,775 common units;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24,977,489 series B preferred units held by 16 unitholders of record that are convertible into 7,685,374 common units; and</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16,467,066 series C preferred units held by 22 unitholders of record that are convertible into 5,066,779 common units.</w:t>
      </w:r>
    </w:p>
    <w:p>
      <w:pPr>
        <w:spacing w:after="0" w:line="294"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Common Stock</w:t>
      </w:r>
    </w:p>
    <w:p>
      <w:pPr>
        <w:spacing w:after="0" w:line="233" w:lineRule="exact"/>
        <w:rPr>
          <w:sz w:val="20"/>
          <w:szCs w:val="20"/>
          <w:color w:val="auto"/>
        </w:rPr>
      </w:pPr>
    </w:p>
    <w:p>
      <w:pPr>
        <w:jc w:val="both"/>
        <w:ind w:left="360" w:right="80" w:firstLine="535"/>
        <w:spacing w:after="0" w:line="250" w:lineRule="auto"/>
        <w:rPr>
          <w:sz w:val="20"/>
          <w:szCs w:val="20"/>
          <w:color w:val="auto"/>
        </w:rPr>
      </w:pPr>
      <w:r>
        <w:rPr>
          <w:rFonts w:ascii="Arial" w:cs="Arial" w:eastAsia="Arial" w:hAnsi="Arial"/>
          <w:sz w:val="17"/>
          <w:szCs w:val="17"/>
          <w:color w:val="auto"/>
        </w:rPr>
        <w:t>As of June 30, 2018, after giving effect to the cash exercise of an outstanding warrant to purchase 110,116 shares of our series A preferred stock in July 2018, the Conversion and the conversion of all outstanding shares of our preferred stock into common stock upon the closing of this offering, we had outstanding 24,658,748 shares of common stock, which were held of record by 127 stockholders.</w:t>
      </w:r>
    </w:p>
    <w:p>
      <w:pPr>
        <w:spacing w:after="0" w:line="189" w:lineRule="exact"/>
        <w:rPr>
          <w:sz w:val="20"/>
          <w:szCs w:val="20"/>
          <w:color w:val="auto"/>
        </w:rPr>
      </w:pPr>
    </w:p>
    <w:p>
      <w:pPr>
        <w:ind w:left="360" w:firstLine="535"/>
        <w:spacing w:after="0" w:line="247" w:lineRule="auto"/>
        <w:rPr>
          <w:sz w:val="20"/>
          <w:szCs w:val="20"/>
          <w:color w:val="auto"/>
        </w:rPr>
      </w:pPr>
      <w:r>
        <w:rPr>
          <w:rFonts w:ascii="Arial" w:cs="Arial" w:eastAsia="Arial" w:hAnsi="Arial"/>
          <w:sz w:val="17"/>
          <w:szCs w:val="17"/>
          <w:color w:val="auto"/>
        </w:rPr>
        <w:t>Holders of our common stock are entitled to one vote for each share held on all matters submitted to a vote of stockholders and do not have cumulative voting rights. Each election of directors by our stockholders will be determined by a plurality of the votes cast by the stockholders entitled to vote on the election. Holders of common stock are entitled to receive proportionately any dividends as may be declared by our board of directors, subject to any preferential dividend rights of outstanding preferred stock.</w:t>
      </w:r>
    </w:p>
    <w:p>
      <w:pPr>
        <w:spacing w:after="0" w:line="192" w:lineRule="exact"/>
        <w:rPr>
          <w:sz w:val="20"/>
          <w:szCs w:val="20"/>
          <w:color w:val="auto"/>
        </w:rPr>
      </w:pPr>
    </w:p>
    <w:p>
      <w:pPr>
        <w:ind w:left="360" w:right="40" w:firstLine="535"/>
        <w:spacing w:after="0" w:line="245" w:lineRule="auto"/>
        <w:rPr>
          <w:sz w:val="20"/>
          <w:szCs w:val="20"/>
          <w:color w:val="auto"/>
        </w:rPr>
      </w:pPr>
      <w:r>
        <w:rPr>
          <w:rFonts w:ascii="Arial" w:cs="Arial" w:eastAsia="Arial" w:hAnsi="Arial"/>
          <w:sz w:val="17"/>
          <w:szCs w:val="17"/>
          <w:color w:val="auto"/>
        </w:rPr>
        <w:t>In the event of our liquidation or dissolution, the holders of our common stock are entitled to receive proportionately all assets available for distribution to stockholders after the payment of all debts and other liabilities and subject to the prior rights of any of our outstanding preferred stock. Holders of our common stock have no preemptive, subscription, redemption or conversion rights. The rights, preferences and privileges of holders of our common stock are subject to and may be adversely affected by the rights of the holders of shares of any series of our preferred stock that we may designate and issue in the future.</w:t>
      </w:r>
    </w:p>
    <w:p>
      <w:pPr>
        <w:spacing w:after="0" w:line="278"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Preferred Stock</w:t>
      </w:r>
    </w:p>
    <w:p>
      <w:pPr>
        <w:spacing w:after="0" w:line="233" w:lineRule="exact"/>
        <w:rPr>
          <w:sz w:val="20"/>
          <w:szCs w:val="20"/>
          <w:color w:val="auto"/>
        </w:rPr>
      </w:pPr>
    </w:p>
    <w:p>
      <w:pPr>
        <w:ind w:left="360" w:right="100" w:firstLine="535"/>
        <w:spacing w:after="0" w:line="259" w:lineRule="auto"/>
        <w:rPr>
          <w:sz w:val="20"/>
          <w:szCs w:val="20"/>
          <w:color w:val="auto"/>
        </w:rPr>
      </w:pPr>
      <w:r>
        <w:rPr>
          <w:rFonts w:ascii="Arial" w:cs="Arial" w:eastAsia="Arial" w:hAnsi="Arial"/>
          <w:sz w:val="17"/>
          <w:szCs w:val="17"/>
          <w:color w:val="auto"/>
        </w:rPr>
        <w:t>Under the terms of our restated certificate of incorporation that will become effective upon the closing of this offering, our board of directors is authorized to issue shares of preferred stock in one or</w:t>
      </w:r>
    </w:p>
    <w:p>
      <w:pPr>
        <w:spacing w:after="0" w:line="116"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181</w:t>
      </w:r>
    </w:p>
    <w:p>
      <w:pPr>
        <w:sectPr>
          <w:pgSz w:w="11900" w:h="16838" w:orient="portrait"/>
          <w:cols w:equalWidth="0" w:num="1">
            <w:col w:w="10980"/>
          </w:cols>
          <w:pgMar w:left="240" w:top="449" w:right="679" w:bottom="1440" w:gutter="0" w:footer="0" w:header="0"/>
        </w:sectPr>
      </w:pPr>
    </w:p>
    <w:bookmarkStart w:id="183" w:name="page184"/>
    <w:bookmarkEnd w:id="1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80"/>
        <w:spacing w:after="0" w:line="250" w:lineRule="auto"/>
        <w:rPr>
          <w:sz w:val="20"/>
          <w:szCs w:val="20"/>
          <w:color w:val="auto"/>
        </w:rPr>
      </w:pPr>
      <w:r>
        <w:rPr>
          <w:rFonts w:ascii="Arial" w:cs="Arial" w:eastAsia="Arial" w:hAnsi="Arial"/>
          <w:sz w:val="17"/>
          <w:szCs w:val="17"/>
          <w:color w:val="auto"/>
        </w:rPr>
        <w:t>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89" w:lineRule="exact"/>
        <w:rPr>
          <w:sz w:val="20"/>
          <w:szCs w:val="20"/>
          <w:color w:val="auto"/>
        </w:rPr>
      </w:pPr>
    </w:p>
    <w:p>
      <w:pPr>
        <w:ind w:left="360" w:right="40" w:firstLine="535"/>
        <w:spacing w:after="0" w:line="245" w:lineRule="auto"/>
        <w:rPr>
          <w:sz w:val="20"/>
          <w:szCs w:val="20"/>
          <w:color w:val="auto"/>
        </w:rPr>
      </w:pPr>
      <w:r>
        <w:rPr>
          <w:rFonts w:ascii="Arial" w:cs="Arial" w:eastAsia="Arial" w:hAnsi="Arial"/>
          <w:sz w:val="17"/>
          <w:szCs w:val="17"/>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Upon the closing of this offering, there will be no shares of preferred stock outstanding, and we have no present plans to issue any shares of preferred stock.</w:t>
      </w:r>
    </w:p>
    <w:p>
      <w:pPr>
        <w:spacing w:after="0" w:line="278"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Warrant</w:t>
      </w:r>
    </w:p>
    <w:p>
      <w:pPr>
        <w:spacing w:after="0" w:line="233" w:lineRule="exact"/>
        <w:rPr>
          <w:sz w:val="20"/>
          <w:szCs w:val="20"/>
          <w:color w:val="auto"/>
        </w:rPr>
      </w:pPr>
    </w:p>
    <w:p>
      <w:pPr>
        <w:ind w:left="360" w:right="320" w:firstLine="535"/>
        <w:spacing w:after="0" w:line="259" w:lineRule="auto"/>
        <w:rPr>
          <w:sz w:val="20"/>
          <w:szCs w:val="20"/>
          <w:color w:val="auto"/>
        </w:rPr>
      </w:pPr>
      <w:r>
        <w:rPr>
          <w:rFonts w:ascii="Arial" w:cs="Arial" w:eastAsia="Arial" w:hAnsi="Arial"/>
          <w:sz w:val="17"/>
          <w:szCs w:val="17"/>
          <w:color w:val="auto"/>
        </w:rPr>
        <w:t>As of June 30, 2018, we had an outstanding warrant to purchase 110,116 of our series A preferred units at an exercise price of $0.6811 per unit. The warrant was exercised in July 2018.</w:t>
      </w:r>
    </w:p>
    <w:p>
      <w:pPr>
        <w:spacing w:after="0" w:line="264" w:lineRule="exact"/>
        <w:rPr>
          <w:sz w:val="20"/>
          <w:szCs w:val="20"/>
          <w:color w:val="auto"/>
        </w:rPr>
      </w:pPr>
    </w:p>
    <w:p>
      <w:pPr>
        <w:ind w:left="2720"/>
        <w:spacing w:after="0"/>
        <w:rPr>
          <w:sz w:val="20"/>
          <w:szCs w:val="20"/>
          <w:color w:val="auto"/>
        </w:rPr>
      </w:pPr>
      <w:r>
        <w:rPr>
          <w:rFonts w:ascii="Arial" w:cs="Arial" w:eastAsia="Arial" w:hAnsi="Arial"/>
          <w:sz w:val="17"/>
          <w:szCs w:val="17"/>
          <w:b w:val="1"/>
          <w:bCs w:val="1"/>
          <w:color w:val="auto"/>
        </w:rPr>
        <w:t>Delaware Anti-Takeover Law and Certain Charter and By-Law provisions</w:t>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Delaware Law</w:t>
      </w:r>
    </w:p>
    <w:p>
      <w:pPr>
        <w:spacing w:after="0" w:line="126" w:lineRule="exact"/>
        <w:rPr>
          <w:sz w:val="20"/>
          <w:szCs w:val="20"/>
          <w:color w:val="auto"/>
        </w:rPr>
      </w:pPr>
    </w:p>
    <w:p>
      <w:pPr>
        <w:ind w:left="360" w:firstLine="535"/>
        <w:spacing w:after="0" w:line="243" w:lineRule="auto"/>
        <w:rPr>
          <w:sz w:val="20"/>
          <w:szCs w:val="20"/>
          <w:color w:val="auto"/>
        </w:rPr>
      </w:pPr>
      <w:r>
        <w:rPr>
          <w:rFonts w:ascii="Arial" w:cs="Arial" w:eastAsia="Arial" w:hAnsi="Arial"/>
          <w:sz w:val="17"/>
          <w:szCs w:val="17"/>
          <w:color w:val="auto"/>
        </w:rPr>
        <w:t>Upon the completion of the offering, we will be subject to Section 203 of the Delaware General Corporation Law. Subject to certain exceptions, Section 203 prevents a publicly held Delaware corporation from engaging in a “business combination” with any “interested stockholder” for three years following the date that the person became an interested stockholder, unless either the interested stockholder attained such status with the approval of our board of directors, the business combination is approved by our board of directors and stockholders in a prescribed manner or the interested stockholder acquired at least 85% of our outstanding voting stock in the transaction in which it became an interested stockholder.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 The restrictions contained in Section 203 are not applicable to any of our existing stockholders that will own 15% or more of our outstanding voting stock upon the closing of this offering.</w:t>
      </w:r>
    </w:p>
    <w:p>
      <w:pPr>
        <w:spacing w:after="0" w:line="282"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Staggered Board; Removal of Directors</w:t>
      </w:r>
    </w:p>
    <w:p>
      <w:pPr>
        <w:spacing w:after="0" w:line="126" w:lineRule="exact"/>
        <w:rPr>
          <w:sz w:val="20"/>
          <w:szCs w:val="20"/>
          <w:color w:val="auto"/>
        </w:rPr>
      </w:pPr>
    </w:p>
    <w:p>
      <w:pPr>
        <w:ind w:left="360" w:right="20" w:firstLine="535"/>
        <w:spacing w:after="0" w:line="243" w:lineRule="auto"/>
        <w:rPr>
          <w:sz w:val="20"/>
          <w:szCs w:val="20"/>
          <w:color w:val="auto"/>
        </w:rPr>
      </w:pPr>
      <w:r>
        <w:rPr>
          <w:rFonts w:ascii="Arial" w:cs="Arial" w:eastAsia="Arial" w:hAnsi="Arial"/>
          <w:sz w:val="17"/>
          <w:szCs w:val="17"/>
          <w:color w:val="auto"/>
        </w:rPr>
        <w:t>Upon the completion of the offering, our restated certificate of incorporation and our restated bylaws will divide our board of directors into three classes with staggered three-year terms. In addition, our restated certificate of incorporation and our restated bylaws provide that directors may be removed only for cause and only by the affirmative vote of the holders of 75% of our shares of capital stock present in person or by proxy and entitled to vote. Under our restated certificate of incorporation and bylaws, any vacancy on our board of directors, including a vacancy resulting from an enlargement of our board of directors, may be filled only by vote of a majority of our directors then in office. Furthermore, our restated certificate of incorporation provides that the authorized number of directors may be changed only by the resolution of our board of directors. The classification of our board of directors and the limitations on the ability of our stockholders to remove directors, change the authorized number of directors and fill vacancies could make it more difficult for a third party to acquire, or discourage a third party from seeking to acquire, control of our company.</w:t>
      </w:r>
    </w:p>
    <w:p>
      <w:pPr>
        <w:spacing w:after="0" w:line="13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182</w:t>
      </w:r>
    </w:p>
    <w:p>
      <w:pPr>
        <w:sectPr>
          <w:pgSz w:w="11900" w:h="16838" w:orient="portrait"/>
          <w:cols w:equalWidth="0" w:num="1">
            <w:col w:w="11000"/>
          </w:cols>
          <w:pgMar w:left="240" w:top="450" w:right="659" w:bottom="1440" w:gutter="0" w:footer="0" w:header="0"/>
        </w:sectPr>
      </w:pPr>
    </w:p>
    <w:bookmarkStart w:id="184" w:name="page185"/>
    <w:bookmarkEnd w:id="1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360" w:right="360"/>
        <w:spacing w:after="0" w:line="284" w:lineRule="auto"/>
        <w:rPr>
          <w:sz w:val="20"/>
          <w:szCs w:val="20"/>
          <w:color w:val="auto"/>
        </w:rPr>
      </w:pPr>
      <w:r>
        <w:rPr>
          <w:rFonts w:ascii="Arial" w:cs="Arial" w:eastAsia="Arial" w:hAnsi="Arial"/>
          <w:sz w:val="17"/>
          <w:szCs w:val="17"/>
          <w:b w:val="1"/>
          <w:bCs w:val="1"/>
          <w:i w:val="1"/>
          <w:iCs w:val="1"/>
          <w:color w:val="auto"/>
        </w:rPr>
        <w:t>Stockholder Action; Special Meeting of Stockholders; Advance Notice Requirements for Stockholder Proposals and Director Nominations</w:t>
      </w:r>
    </w:p>
    <w:p>
      <w:pPr>
        <w:spacing w:after="0" w:line="56" w:lineRule="exact"/>
        <w:rPr>
          <w:sz w:val="20"/>
          <w:szCs w:val="20"/>
          <w:color w:val="auto"/>
        </w:rPr>
      </w:pPr>
    </w:p>
    <w:p>
      <w:pPr>
        <w:ind w:left="360" w:firstLine="535"/>
        <w:spacing w:after="0" w:line="242" w:lineRule="auto"/>
        <w:rPr>
          <w:sz w:val="20"/>
          <w:szCs w:val="20"/>
          <w:color w:val="auto"/>
        </w:rPr>
      </w:pPr>
      <w:r>
        <w:rPr>
          <w:rFonts w:ascii="Arial" w:cs="Arial" w:eastAsia="Arial" w:hAnsi="Arial"/>
          <w:sz w:val="17"/>
          <w:szCs w:val="17"/>
          <w:color w:val="auto"/>
        </w:rPr>
        <w:t>Upon the completion of the offering, our restated certificate of incorporation and our restated bylaws will provide that any action required or permitted to be taken by our stockholders at an annual meeting or special meeting of stockholders may only be taken if it is properly brought before such meeting and may not be taken by written action in lieu of a meeting. Our restated certificate of incorporation and our restated bylaws also provide that, except as otherwise required by law, special meetings of the stockholders can only be called by the chairman of our board of directors, our president or chief executive officer or our board of directors. In addition, our bylaws establish an advance notice procedure for stockholder proposals to be brought before an annual meeting of stockholders, including proposed nominations of candidates for election to our board of directors. Stockholders at an annual meeting may only consider proposals or nominations specified in the notice of meeting or brought before the meeting by or at the direction of our board of directors, or by a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 These provisions also could discourage a third party from making a tender offer for our common stock, because even if it acquired a majority of our outstanding voting stock, it would be able to take action as a stockholder, such as electing new directors or approving a merger, only at a duly called stockholders meeting and not by written consent.</w:t>
      </w:r>
    </w:p>
    <w:p>
      <w:pPr>
        <w:spacing w:after="0" w:line="288"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Super-Majority Voting</w:t>
      </w:r>
    </w:p>
    <w:p>
      <w:pPr>
        <w:spacing w:after="0" w:line="126" w:lineRule="exact"/>
        <w:rPr>
          <w:sz w:val="20"/>
          <w:szCs w:val="20"/>
          <w:color w:val="auto"/>
        </w:rPr>
      </w:pPr>
    </w:p>
    <w:p>
      <w:pPr>
        <w:ind w:left="360" w:right="140" w:firstLine="535"/>
        <w:spacing w:after="0" w:line="244" w:lineRule="auto"/>
        <w:rPr>
          <w:sz w:val="20"/>
          <w:szCs w:val="20"/>
          <w:color w:val="auto"/>
        </w:rPr>
      </w:pPr>
      <w:r>
        <w:rPr>
          <w:rFonts w:ascii="Arial" w:cs="Arial" w:eastAsia="Arial" w:hAnsi="Arial"/>
          <w:sz w:val="17"/>
          <w:szCs w:val="17"/>
          <w:color w:val="auto"/>
        </w:rPr>
        <w:t>The Delaware General Corporation Law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bylaws may be amended or repealed by a majority vote of our board of directors or the affirmative vote of the holders of at least 75% of the votes that all our stockholders would be entitled to cast in any annual election of directors. In addition, the affirmative vote of the holders of at least 75% of the votes that all our stockholders would be entitled to cast in any election of directors is required to amend or repeal or to adopt any provisions inconsistent with any of the provisions of our restated certificate of incorporation described above.</w:t>
      </w:r>
    </w:p>
    <w:p>
      <w:pPr>
        <w:spacing w:after="0" w:line="278"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Registration Rights</w:t>
      </w:r>
    </w:p>
    <w:p>
      <w:pPr>
        <w:spacing w:after="0" w:line="233" w:lineRule="exact"/>
        <w:rPr>
          <w:sz w:val="20"/>
          <w:szCs w:val="20"/>
          <w:color w:val="auto"/>
        </w:rPr>
      </w:pPr>
    </w:p>
    <w:p>
      <w:pPr>
        <w:ind w:left="360" w:right="20" w:firstLine="535"/>
        <w:spacing w:after="0" w:line="245" w:lineRule="auto"/>
        <w:rPr>
          <w:sz w:val="20"/>
          <w:szCs w:val="20"/>
          <w:color w:val="auto"/>
        </w:rPr>
      </w:pPr>
      <w:r>
        <w:rPr>
          <w:rFonts w:ascii="Arial" w:cs="Arial" w:eastAsia="Arial" w:hAnsi="Arial"/>
          <w:sz w:val="17"/>
          <w:szCs w:val="17"/>
          <w:color w:val="auto"/>
        </w:rPr>
        <w:t>In connection with the Conversion, we and the holders of our existing preferred units entered into a registration rights agreement, or the Registration Rights Agreement. After this offering, the parties to the Registration Rights Agreement will be entitled to certain rights with respect to registration of shares of our common stock under the Securities Act. These shares are referred to as registrable securities. The holders of these registrable securities will possess the registration rights contained in the Registration Rights Agreement that are described in additional detail below.</w:t>
      </w:r>
    </w:p>
    <w:p>
      <w:pPr>
        <w:spacing w:after="0" w:line="280"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Demand Registration Rights</w:t>
      </w:r>
    </w:p>
    <w:p>
      <w:pPr>
        <w:spacing w:after="0" w:line="126" w:lineRule="exact"/>
        <w:rPr>
          <w:sz w:val="20"/>
          <w:szCs w:val="20"/>
          <w:color w:val="auto"/>
        </w:rPr>
      </w:pPr>
    </w:p>
    <w:p>
      <w:pPr>
        <w:ind w:left="360" w:right="40" w:firstLine="535"/>
        <w:spacing w:after="0" w:line="245" w:lineRule="auto"/>
        <w:rPr>
          <w:sz w:val="20"/>
          <w:szCs w:val="20"/>
          <w:color w:val="auto"/>
        </w:rPr>
      </w:pPr>
      <w:r>
        <w:rPr>
          <w:rFonts w:ascii="Arial" w:cs="Arial" w:eastAsia="Arial" w:hAnsi="Arial"/>
          <w:sz w:val="17"/>
          <w:szCs w:val="17"/>
          <w:color w:val="auto"/>
        </w:rPr>
        <w:t>Beginning 180 days after the effective date of the registration statement of which this prospectus forms a part, subject to specified limitations set forth in the Registration Rights Agreement, at any time, the holders of 20% of the then outstanding shares of common stock having rights under the Registration Rights Agreement, which we refer to as registrable shares, may at any time demand in writing that we register all or a portion of the registrable shares under the Securities Act. We are not obligated to file a registration statement pursuant to this provision on more than two occasions, and we</w:t>
      </w:r>
    </w:p>
    <w:p>
      <w:pPr>
        <w:spacing w:after="0" w:line="13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183</w:t>
      </w:r>
    </w:p>
    <w:p>
      <w:pPr>
        <w:sectPr>
          <w:pgSz w:w="11900" w:h="16838" w:orient="portrait"/>
          <w:cols w:equalWidth="0" w:num="1">
            <w:col w:w="11060"/>
          </w:cols>
          <w:pgMar w:left="240" w:top="450" w:right="599" w:bottom="1440" w:gutter="0" w:footer="0" w:header="0"/>
        </w:sectPr>
      </w:pPr>
    </w:p>
    <w:bookmarkStart w:id="185" w:name="page186"/>
    <w:bookmarkEnd w:id="1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300"/>
        <w:spacing w:after="0" w:line="259" w:lineRule="auto"/>
        <w:rPr>
          <w:sz w:val="20"/>
          <w:szCs w:val="20"/>
          <w:color w:val="auto"/>
        </w:rPr>
      </w:pPr>
      <w:r>
        <w:rPr>
          <w:rFonts w:ascii="Arial" w:cs="Arial" w:eastAsia="Arial" w:hAnsi="Arial"/>
          <w:sz w:val="17"/>
          <w:szCs w:val="17"/>
          <w:color w:val="auto"/>
        </w:rPr>
        <w:t>are not obligated to file a registration statement pursuant to this provision within 180 days of the effective date of any other registration statement that we may file.</w:t>
      </w:r>
    </w:p>
    <w:p>
      <w:pPr>
        <w:spacing w:after="0" w:line="266"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Form S-3 Registration Rights</w:t>
      </w:r>
    </w:p>
    <w:p>
      <w:pPr>
        <w:spacing w:after="0" w:line="126" w:lineRule="exact"/>
        <w:rPr>
          <w:sz w:val="20"/>
          <w:szCs w:val="20"/>
          <w:color w:val="auto"/>
        </w:rPr>
      </w:pPr>
    </w:p>
    <w:p>
      <w:pPr>
        <w:ind w:left="360" w:right="100" w:firstLine="535"/>
        <w:spacing w:after="0" w:line="250" w:lineRule="auto"/>
        <w:rPr>
          <w:sz w:val="20"/>
          <w:szCs w:val="20"/>
          <w:color w:val="auto"/>
        </w:rPr>
      </w:pPr>
      <w:r>
        <w:rPr>
          <w:rFonts w:ascii="Arial" w:cs="Arial" w:eastAsia="Arial" w:hAnsi="Arial"/>
          <w:sz w:val="17"/>
          <w:szCs w:val="17"/>
          <w:color w:val="auto"/>
        </w:rPr>
        <w:t>At any time after the issuer becomes eligible to file a registration on Form S-3, subject to specified limitations set forth in the Registration Rights Agreement, the stockholders that are party to the Registration Rights Agreement, may demand in writing that we register on Form S-3 registrable shares having minimum gross proceeds in each registration on Form S-3 of at least at least $2,500,000.</w:t>
      </w:r>
    </w:p>
    <w:p>
      <w:pPr>
        <w:spacing w:after="0" w:line="274"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Piggyback Registration Rights</w:t>
      </w:r>
    </w:p>
    <w:p>
      <w:pPr>
        <w:spacing w:after="0" w:line="126" w:lineRule="exact"/>
        <w:rPr>
          <w:sz w:val="20"/>
          <w:szCs w:val="20"/>
          <w:color w:val="auto"/>
        </w:rPr>
      </w:pPr>
    </w:p>
    <w:p>
      <w:pPr>
        <w:ind w:left="360" w:right="80" w:firstLine="535"/>
        <w:spacing w:after="0" w:line="247" w:lineRule="auto"/>
        <w:rPr>
          <w:sz w:val="20"/>
          <w:szCs w:val="20"/>
          <w:color w:val="auto"/>
        </w:rPr>
      </w:pPr>
      <w:r>
        <w:rPr>
          <w:rFonts w:ascii="Arial" w:cs="Arial" w:eastAsia="Arial" w:hAnsi="Arial"/>
          <w:sz w:val="17"/>
          <w:szCs w:val="17"/>
          <w:color w:val="auto"/>
        </w:rPr>
        <w:t>If we register any of our securities, either for our own account or for the account of security holders, we will have to register all registrable securities that the holders of such securities request in writing be registered within 20 days of mailing of notice by us to all holders of the proposed registration, to the extent that inclusion will not diminish the number of securities included by us. The underwriter of any underwritten offering will have the right to limit, due to marketing factors, the number of shares registered by these holders.</w:t>
      </w:r>
    </w:p>
    <w:p>
      <w:pPr>
        <w:spacing w:after="0" w:line="276"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Expenses</w:t>
      </w:r>
    </w:p>
    <w:p>
      <w:pPr>
        <w:spacing w:after="0" w:line="126" w:lineRule="exact"/>
        <w:rPr>
          <w:sz w:val="20"/>
          <w:szCs w:val="20"/>
          <w:color w:val="auto"/>
        </w:rPr>
      </w:pPr>
    </w:p>
    <w:p>
      <w:pPr>
        <w:ind w:left="360" w:firstLine="535"/>
        <w:spacing w:after="0" w:line="243" w:lineRule="auto"/>
        <w:rPr>
          <w:sz w:val="20"/>
          <w:szCs w:val="20"/>
          <w:color w:val="auto"/>
        </w:rPr>
      </w:pPr>
      <w:r>
        <w:rPr>
          <w:rFonts w:ascii="Arial" w:cs="Arial" w:eastAsia="Arial" w:hAnsi="Arial"/>
          <w:sz w:val="17"/>
          <w:szCs w:val="17"/>
          <w:color w:val="auto"/>
        </w:rPr>
        <w:t>Pursuant to the registration rights agreement, we are required to pay all registration expenses, including registration filing and filing fees, exchange listing fees, printing expenses, fees and disbursements of our counsel and the fees and expenses of one counsel to represent the stockholders selling investor registrable shares, and one counsel to represent the stockholders holding at least a majority of registrable shares, in addition to any state Blue Sky fees and expenses, and the expense of any special audits or “cold comfort” letters incident to or required by such registration, but excluding all underwriting discounts, selling commissions and stock transfer taxes applicable to the sale of registrable shares, and fees and disbursements of counsel for any shareholder, other than as provided above. The registration rights agreement contains customary cross-indemnification provisions, pursuant to which we are obligated to indemnify the selling stockholders under the applicable agreement in the event of material misstatements or omissions in the registration statement attributable to us, and the selling stockholders under the applicable agreement are obligated to indemnify us for material misstatements or omissions in the registration statement attributable to them.</w:t>
      </w:r>
    </w:p>
    <w:p>
      <w:pPr>
        <w:spacing w:after="0" w:line="280"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Transfer Agent and Registrar</w:t>
      </w:r>
    </w:p>
    <w:p>
      <w:pPr>
        <w:spacing w:after="0" w:line="233"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transfer agent and registrar for our common stock will be Computershare Trust Company, N.A.</w:t>
      </w:r>
    </w:p>
    <w:p>
      <w:pPr>
        <w:spacing w:after="0" w:line="29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Listing On the Nasdaq Global Select Market</w:t>
      </w:r>
    </w:p>
    <w:p>
      <w:pPr>
        <w:spacing w:after="0" w:line="233" w:lineRule="exact"/>
        <w:rPr>
          <w:sz w:val="20"/>
          <w:szCs w:val="20"/>
          <w:color w:val="auto"/>
        </w:rPr>
      </w:pPr>
    </w:p>
    <w:p>
      <w:pPr>
        <w:ind w:left="900"/>
        <w:spacing w:after="0"/>
        <w:rPr>
          <w:sz w:val="20"/>
          <w:szCs w:val="20"/>
          <w:color w:val="auto"/>
        </w:rPr>
      </w:pPr>
      <w:r>
        <w:rPr>
          <w:rFonts w:ascii="Arial" w:cs="Arial" w:eastAsia="Arial" w:hAnsi="Arial"/>
          <w:sz w:val="17"/>
          <w:szCs w:val="17"/>
          <w:color w:val="auto"/>
        </w:rPr>
        <w:t>Our common stock has been approved for listing on The Nasdaq Global Select Market under the symbol “ARVN.”</w:t>
      </w:r>
    </w:p>
    <w:p>
      <w:pPr>
        <w:spacing w:after="0" w:line="145"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184</w:t>
      </w:r>
    </w:p>
    <w:p>
      <w:pPr>
        <w:sectPr>
          <w:pgSz w:w="11900" w:h="16838" w:orient="portrait"/>
          <w:cols w:equalWidth="0" w:num="1">
            <w:col w:w="11000"/>
          </w:cols>
          <w:pgMar w:left="240" w:top="450" w:right="659" w:bottom="1440" w:gutter="0" w:footer="0" w:header="0"/>
        </w:sectPr>
      </w:pPr>
    </w:p>
    <w:bookmarkStart w:id="186" w:name="page187"/>
    <w:bookmarkEnd w:id="1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SHARES ELIGIBLE FOR FUTURE SALE</w:t>
      </w:r>
    </w:p>
    <w:p>
      <w:pPr>
        <w:spacing w:after="0" w:line="233" w:lineRule="exact"/>
        <w:rPr>
          <w:sz w:val="20"/>
          <w:szCs w:val="20"/>
          <w:color w:val="auto"/>
        </w:rPr>
      </w:pPr>
    </w:p>
    <w:p>
      <w:pPr>
        <w:ind w:left="360" w:firstLine="535"/>
        <w:spacing w:after="0" w:line="247" w:lineRule="auto"/>
        <w:rPr>
          <w:sz w:val="20"/>
          <w:szCs w:val="20"/>
          <w:color w:val="auto"/>
        </w:rPr>
      </w:pPr>
      <w:r>
        <w:rPr>
          <w:rFonts w:ascii="Arial" w:cs="Arial" w:eastAsia="Arial" w:hAnsi="Arial"/>
          <w:sz w:val="17"/>
          <w:szCs w:val="17"/>
          <w:color w:val="auto"/>
        </w:rPr>
        <w:t>Prior to this offering, there has been no public market for our common stock, and a liquid trading market for our common stock may not develop or be sustained after this offering. Future sales of substantial amounts of our common stock in the public market, including shares issued upon exercise of outstanding options, or the anticipation of these sales, could adversely affect market prices prevailing from time to time and could impair our ability to raise capital through sales of equity securities.</w:t>
      </w:r>
    </w:p>
    <w:p>
      <w:pPr>
        <w:spacing w:after="0" w:line="192" w:lineRule="exact"/>
        <w:rPr>
          <w:sz w:val="20"/>
          <w:szCs w:val="20"/>
          <w:color w:val="auto"/>
        </w:rPr>
      </w:pPr>
    </w:p>
    <w:p>
      <w:pPr>
        <w:ind w:left="360" w:right="180" w:firstLine="535"/>
        <w:spacing w:after="0" w:line="250" w:lineRule="auto"/>
        <w:rPr>
          <w:sz w:val="20"/>
          <w:szCs w:val="20"/>
          <w:color w:val="auto"/>
        </w:rPr>
      </w:pPr>
      <w:r>
        <w:rPr>
          <w:rFonts w:ascii="Arial" w:cs="Arial" w:eastAsia="Arial" w:hAnsi="Arial"/>
          <w:sz w:val="17"/>
          <w:szCs w:val="17"/>
          <w:color w:val="auto"/>
        </w:rPr>
        <w:t>Upon the closing of this offering, we will have outstanding 32,158,748 shares of our common stock, after giving effect to the issuance of 7,500,000 shares of our common stock in this offering, assuming no exercise by the underwriters of their option to purchase additional shares.</w:t>
      </w:r>
    </w:p>
    <w:p>
      <w:pPr>
        <w:spacing w:after="0" w:line="189" w:lineRule="exact"/>
        <w:rPr>
          <w:sz w:val="20"/>
          <w:szCs w:val="20"/>
          <w:color w:val="auto"/>
        </w:rPr>
      </w:pPr>
    </w:p>
    <w:p>
      <w:pPr>
        <w:ind w:left="360" w:right="20" w:firstLine="535"/>
        <w:spacing w:after="0" w:line="245" w:lineRule="auto"/>
        <w:rPr>
          <w:sz w:val="20"/>
          <w:szCs w:val="20"/>
          <w:color w:val="auto"/>
        </w:rPr>
      </w:pPr>
      <w:r>
        <w:rPr>
          <w:rFonts w:ascii="Arial" w:cs="Arial" w:eastAsia="Arial" w:hAnsi="Arial"/>
          <w:sz w:val="17"/>
          <w:szCs w:val="17"/>
          <w:color w:val="auto"/>
        </w:rPr>
        <w:t>Of the shares to be outstanding immediately after the closing of this offering, we expect that the 7,500,000 shares to be sold in this offering will be freely tradable without restriction under the Securities Act unless purchased by our “affiliates,” as that term is defined in Rule 144 under the Securities Act. The remaining 24,658,748 shares of our common stock outstanding after this offering will be “restricted securities” under Rule 144, and we expect that substantially all of these restricted securities will be subject to the 180-day lock-up period under the lock-up agreements as described below. These restricted securities may be sold in the public market only if registered or pursuant to an exemption from registration, such as Rule 144 or Rule 701 under the Securities Act.</w:t>
      </w:r>
    </w:p>
    <w:p>
      <w:pPr>
        <w:spacing w:after="0" w:line="275"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Rule 144</w:t>
      </w:r>
    </w:p>
    <w:p>
      <w:pPr>
        <w:spacing w:after="0" w:line="233" w:lineRule="exact"/>
        <w:rPr>
          <w:sz w:val="20"/>
          <w:szCs w:val="20"/>
          <w:color w:val="auto"/>
        </w:rPr>
      </w:pPr>
    </w:p>
    <w:p>
      <w:pPr>
        <w:ind w:left="360" w:right="20" w:firstLine="535"/>
        <w:spacing w:after="0" w:line="245" w:lineRule="auto"/>
        <w:rPr>
          <w:sz w:val="20"/>
          <w:szCs w:val="20"/>
          <w:color w:val="auto"/>
        </w:rPr>
      </w:pPr>
      <w:r>
        <w:rPr>
          <w:rFonts w:ascii="Arial" w:cs="Arial" w:eastAsia="Arial" w:hAnsi="Arial"/>
          <w:sz w:val="17"/>
          <w:szCs w:val="17"/>
          <w:color w:val="auto"/>
        </w:rPr>
        <w:t>In general, under Rule 144, beginning 90 days after the date of this prospectus, any person who is not our affiliate and has held their shares for at least six months, including the holding period of any prior owner other than one of our affiliates, may sell shares without restriction, subject to the availability of current public information about us. In addition, under Rule 144, any person who is not our affiliate and has not been our affiliate at any time during the preceding three months and has held their shares for at least one year, including the holding period of any prior owner other than one of our affiliates, would be entitled to sell an unlimited number of shares immediately upon the closing of this offering without regard to whether current public information about us is available.</w:t>
      </w:r>
    </w:p>
    <w:p>
      <w:pPr>
        <w:spacing w:after="0" w:line="192" w:lineRule="exact"/>
        <w:rPr>
          <w:sz w:val="20"/>
          <w:szCs w:val="20"/>
          <w:color w:val="auto"/>
        </w:rPr>
      </w:pPr>
    </w:p>
    <w:p>
      <w:pPr>
        <w:ind w:left="360" w:right="220" w:firstLine="535"/>
        <w:spacing w:after="0" w:line="247" w:lineRule="auto"/>
        <w:rPr>
          <w:sz w:val="20"/>
          <w:szCs w:val="20"/>
          <w:color w:val="auto"/>
        </w:rPr>
      </w:pPr>
      <w:r>
        <w:rPr>
          <w:rFonts w:ascii="Arial" w:cs="Arial" w:eastAsia="Arial" w:hAnsi="Arial"/>
          <w:sz w:val="17"/>
          <w:szCs w:val="17"/>
          <w:color w:val="auto"/>
        </w:rPr>
        <w:t>Beginning 90 days after the date of this prospectus, a person who is our affiliate or who was our affiliate at any time during the preceding three months and who has beneficially owned restricted securities for at least six months, including the holding period of any prior owner other than one of our affiliates, is entitled to sell a number of shares within any three-month period that does not exceed the greater of:</w:t>
      </w:r>
    </w:p>
    <w:p>
      <w:pPr>
        <w:spacing w:after="0" w:line="100" w:lineRule="exact"/>
        <w:rPr>
          <w:sz w:val="20"/>
          <w:szCs w:val="20"/>
          <w:color w:val="auto"/>
        </w:rPr>
      </w:pPr>
    </w:p>
    <w:p>
      <w:pPr>
        <w:ind w:left="1100" w:right="80" w:hanging="210"/>
        <w:spacing w:after="0" w:line="259" w:lineRule="auto"/>
        <w:tabs>
          <w:tab w:leader="none" w:pos="11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1% of the number of shares of our common stock then outstanding, which will equal approximately 321,587 shares immediately after this offering; and</w:t>
      </w:r>
    </w:p>
    <w:p>
      <w:pPr>
        <w:spacing w:after="0" w:line="89" w:lineRule="exact"/>
        <w:rPr>
          <w:rFonts w:ascii="Arial" w:cs="Arial" w:eastAsia="Arial" w:hAnsi="Arial"/>
          <w:sz w:val="17"/>
          <w:szCs w:val="17"/>
          <w:color w:val="auto"/>
        </w:rPr>
      </w:pPr>
    </w:p>
    <w:p>
      <w:pPr>
        <w:ind w:left="1100" w:right="200" w:hanging="210"/>
        <w:spacing w:after="0" w:line="259" w:lineRule="auto"/>
        <w:tabs>
          <w:tab w:leader="none" w:pos="11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average weekly trading volume of our common stock on The Nasdaq Global Select Market during the four calendar weeks preceding the filing of a Notice of Proposed Sale of Securities Pursuant to Rule 144 with respect to the sale.</w:t>
      </w:r>
    </w:p>
    <w:p>
      <w:pPr>
        <w:spacing w:after="0" w:line="181" w:lineRule="exact"/>
        <w:rPr>
          <w:sz w:val="20"/>
          <w:szCs w:val="20"/>
          <w:color w:val="auto"/>
        </w:rPr>
      </w:pPr>
    </w:p>
    <w:p>
      <w:pPr>
        <w:ind w:left="360" w:right="100" w:firstLine="535"/>
        <w:spacing w:after="0" w:line="259" w:lineRule="auto"/>
        <w:rPr>
          <w:sz w:val="20"/>
          <w:szCs w:val="20"/>
          <w:color w:val="auto"/>
        </w:rPr>
      </w:pPr>
      <w:r>
        <w:rPr>
          <w:rFonts w:ascii="Arial" w:cs="Arial" w:eastAsia="Arial" w:hAnsi="Arial"/>
          <w:sz w:val="17"/>
          <w:szCs w:val="17"/>
          <w:color w:val="auto"/>
        </w:rPr>
        <w:t>Sales under Rule 144 by our affiliates are also subject to manner of sale provisions and notice requirements and to the availability of current public information about us.</w:t>
      </w:r>
    </w:p>
    <w:p>
      <w:pPr>
        <w:spacing w:after="0" w:line="181" w:lineRule="exact"/>
        <w:rPr>
          <w:sz w:val="20"/>
          <w:szCs w:val="20"/>
          <w:color w:val="auto"/>
        </w:rPr>
      </w:pPr>
    </w:p>
    <w:p>
      <w:pPr>
        <w:ind w:left="360" w:right="160" w:firstLine="535"/>
        <w:spacing w:after="0" w:line="250" w:lineRule="auto"/>
        <w:rPr>
          <w:sz w:val="20"/>
          <w:szCs w:val="20"/>
          <w:color w:val="auto"/>
        </w:rPr>
      </w:pPr>
      <w:r>
        <w:rPr>
          <w:rFonts w:ascii="Arial" w:cs="Arial" w:eastAsia="Arial" w:hAnsi="Arial"/>
          <w:sz w:val="17"/>
          <w:szCs w:val="17"/>
          <w:color w:val="auto"/>
        </w:rPr>
        <w:t>Upon expiration of the 180-day lock-up period described below, approximately 13,681,262 shares of our common stock will be eligible for sale under Rule 144, including shares eligible for resale immediately upon the closing of this offering as described above. We cannot estimate the number of shares of our common stock that our existing stockholders will elect to sell under Rule 144.</w:t>
      </w:r>
    </w:p>
    <w:p>
      <w:pPr>
        <w:spacing w:after="0" w:line="123"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185</w:t>
      </w:r>
    </w:p>
    <w:p>
      <w:pPr>
        <w:sectPr>
          <w:pgSz w:w="11900" w:h="16838" w:orient="portrait"/>
          <w:cols w:equalWidth="0" w:num="1">
            <w:col w:w="11020"/>
          </w:cols>
          <w:pgMar w:left="240" w:top="450" w:right="639" w:bottom="1440" w:gutter="0" w:footer="0" w:header="0"/>
        </w:sectPr>
      </w:pPr>
    </w:p>
    <w:bookmarkStart w:id="187" w:name="page188"/>
    <w:bookmarkEnd w:id="1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Rule 701</w:t>
      </w:r>
    </w:p>
    <w:p>
      <w:pPr>
        <w:spacing w:after="0" w:line="233" w:lineRule="exact"/>
        <w:rPr>
          <w:sz w:val="20"/>
          <w:szCs w:val="20"/>
          <w:color w:val="auto"/>
        </w:rPr>
      </w:pPr>
    </w:p>
    <w:p>
      <w:pPr>
        <w:ind w:left="360" w:right="160" w:firstLine="535"/>
        <w:spacing w:after="0" w:line="245" w:lineRule="auto"/>
        <w:rPr>
          <w:sz w:val="20"/>
          <w:szCs w:val="20"/>
          <w:color w:val="auto"/>
        </w:rPr>
      </w:pPr>
      <w:r>
        <w:rPr>
          <w:rFonts w:ascii="Arial" w:cs="Arial" w:eastAsia="Arial" w:hAnsi="Arial"/>
          <w:sz w:val="17"/>
          <w:szCs w:val="17"/>
          <w:color w:val="auto"/>
        </w:rPr>
        <w:t>In general, under Rule 701 of the Securities Act, any of our employees, consultants or advisors, other than our affiliates, who purchased shares from us in connection with a qualified compensatory stock plan or other written agreement is eligible to resell these shares 90 days after the date of this prospectus in reliance on Rule 144, but without compliance with the holding period requirements of Rule 144 and without regard to the volume of such sales or the availability of public information about us. Subject to the 180-day lock-up period described below, approximately 1,293,569 shares of our common stock will be eligible for sale in accordance with Rule 701.</w:t>
      </w:r>
    </w:p>
    <w:p>
      <w:pPr>
        <w:spacing w:after="0" w:line="278"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Lock-Up Agreements</w:t>
      </w:r>
    </w:p>
    <w:p>
      <w:pPr>
        <w:spacing w:after="0" w:line="233" w:lineRule="exact"/>
        <w:rPr>
          <w:sz w:val="20"/>
          <w:szCs w:val="20"/>
          <w:color w:val="auto"/>
        </w:rPr>
      </w:pPr>
    </w:p>
    <w:p>
      <w:pPr>
        <w:ind w:left="360" w:right="140" w:firstLine="535"/>
        <w:spacing w:after="0" w:line="247" w:lineRule="auto"/>
        <w:rPr>
          <w:sz w:val="20"/>
          <w:szCs w:val="20"/>
          <w:color w:val="auto"/>
        </w:rPr>
      </w:pPr>
      <w:r>
        <w:rPr>
          <w:rFonts w:ascii="Arial" w:cs="Arial" w:eastAsia="Arial" w:hAnsi="Arial"/>
          <w:sz w:val="17"/>
          <w:szCs w:val="17"/>
          <w:color w:val="auto"/>
        </w:rPr>
        <w:t>We and each of our directors and executive officers and certain holders of our outstanding common stock, who collectively own 24,442,842 shares of our common stock, based on shares outstanding as of August 31, 2018, have agreed that, without the prior written consent of Goldman Sachs &amp; Co. LLC and Citigroup Global Markets Inc., on behalf of the underwriters, we and they will not, subject to limited exceptions, during the period ending 180 days after the date of this prospectus, either directly or indirectly:</w:t>
      </w:r>
    </w:p>
    <w:p>
      <w:pPr>
        <w:spacing w:after="0" w:line="100" w:lineRule="exact"/>
        <w:rPr>
          <w:sz w:val="20"/>
          <w:szCs w:val="20"/>
          <w:color w:val="auto"/>
        </w:rPr>
      </w:pPr>
    </w:p>
    <w:p>
      <w:pPr>
        <w:ind w:left="1100" w:right="20" w:hanging="210"/>
        <w:spacing w:after="0" w:line="245" w:lineRule="auto"/>
        <w:tabs>
          <w:tab w:leader="none" w:pos="11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offer, sell, contract to sell, pledge, grant any option to purchase, make any short sale or otherwise dispose of any shares of our common stock, or any options or warrants to purchase any shares of our common stock, or any securities convertible into, exchangeable for or that represent the right to receive shares of our common stock, whether now owned or hereinafter acquired, owned directly (including holding as a custodian) or with respect to which such holder has beneficial ownership within the rules and regulations of the SEC; or</w:t>
      </w:r>
    </w:p>
    <w:p>
      <w:pPr>
        <w:spacing w:after="0" w:line="103" w:lineRule="exact"/>
        <w:rPr>
          <w:rFonts w:ascii="Arial" w:cs="Arial" w:eastAsia="Arial" w:hAnsi="Arial"/>
          <w:sz w:val="17"/>
          <w:szCs w:val="17"/>
          <w:color w:val="auto"/>
        </w:rPr>
      </w:pPr>
    </w:p>
    <w:p>
      <w:pPr>
        <w:ind w:left="1100" w:right="120" w:hanging="210"/>
        <w:spacing w:after="0" w:line="247" w:lineRule="auto"/>
        <w:tabs>
          <w:tab w:leader="none" w:pos="11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engage in any hedging or other transaction which is designed to or which reasonably could be expected to lead to or result in a sale or disposition shares of our common stock, including any short sale or any purchase, sale or grant of any right (including without limitation any put or call option) with respect to any of our common shares or with respect to any security that includes, relates to, or derives any significant part of its value from such shares of our common stock;</w:t>
      </w:r>
    </w:p>
    <w:p>
      <w:pPr>
        <w:spacing w:after="0" w:line="192" w:lineRule="exact"/>
        <w:rPr>
          <w:sz w:val="20"/>
          <w:szCs w:val="20"/>
          <w:color w:val="auto"/>
        </w:rPr>
      </w:pPr>
    </w:p>
    <w:p>
      <w:pPr>
        <w:jc w:val="both"/>
        <w:ind w:left="360" w:right="240" w:firstLine="535"/>
        <w:spacing w:after="0" w:line="250" w:lineRule="auto"/>
        <w:rPr>
          <w:sz w:val="20"/>
          <w:szCs w:val="20"/>
          <w:color w:val="auto"/>
        </w:rPr>
      </w:pPr>
      <w:r>
        <w:rPr>
          <w:rFonts w:ascii="Arial" w:cs="Arial" w:eastAsia="Arial" w:hAnsi="Arial"/>
          <w:sz w:val="17"/>
          <w:szCs w:val="17"/>
          <w:color w:val="auto"/>
        </w:rPr>
        <w:t>Each of our directors and executive officers and certain holders of our outstanding common stock have also agreed during such 180-period not to make any demand for or exercise any right with respect to, the registration of any shares of our common stock or any security convertible into or exercisable or exchangeable for our common stock.</w:t>
      </w:r>
    </w:p>
    <w:p>
      <w:pPr>
        <w:spacing w:after="0" w:line="189"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lock-up restrictions and specified exceptions are described in more detail under “Underwriters.”</w:t>
      </w:r>
    </w:p>
    <w:p>
      <w:pPr>
        <w:spacing w:after="0" w:line="294"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Registration Rights</w:t>
      </w:r>
    </w:p>
    <w:p>
      <w:pPr>
        <w:spacing w:after="0" w:line="233" w:lineRule="exact"/>
        <w:rPr>
          <w:sz w:val="20"/>
          <w:szCs w:val="20"/>
          <w:color w:val="auto"/>
        </w:rPr>
      </w:pPr>
    </w:p>
    <w:p>
      <w:pPr>
        <w:ind w:left="360" w:firstLine="535"/>
        <w:spacing w:after="0" w:line="245" w:lineRule="auto"/>
        <w:rPr>
          <w:sz w:val="20"/>
          <w:szCs w:val="20"/>
          <w:color w:val="auto"/>
        </w:rPr>
      </w:pPr>
      <w:r>
        <w:rPr>
          <w:rFonts w:ascii="Arial" w:cs="Arial" w:eastAsia="Arial" w:hAnsi="Arial"/>
          <w:sz w:val="17"/>
          <w:szCs w:val="17"/>
          <w:color w:val="auto"/>
        </w:rPr>
        <w:t>Upon the closing of this offering, the holders of 19,697,928 shares of our common stock or their transferees will be entitled to various rights with respect to the registration of these shares under the Securities Act. Registration of these shares under the Securities Act would result in these shares becoming fully tradable without restriction under the Securities Act immediately upon the effectiveness of the registration, except for shares purchased by affiliates. See “Description of Capital Stock—Registration Rights” for additional information. Shares covered by a registration statement will be eligible for sale in the public market upon the expiration or release from the terms of lock-up agreements applicable to such shares.</w:t>
      </w:r>
    </w:p>
    <w:p>
      <w:pPr>
        <w:spacing w:after="0" w:line="127"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186</w:t>
      </w:r>
    </w:p>
    <w:p>
      <w:pPr>
        <w:sectPr>
          <w:pgSz w:w="11900" w:h="16838" w:orient="portrait"/>
          <w:cols w:equalWidth="0" w:num="1">
            <w:col w:w="11020"/>
          </w:cols>
          <w:pgMar w:left="240" w:top="450" w:right="639" w:bottom="1440" w:gutter="0" w:footer="0" w:header="0"/>
        </w:sectPr>
      </w:pPr>
    </w:p>
    <w:bookmarkStart w:id="188" w:name="page189"/>
    <w:bookmarkEnd w:id="1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Stock Options</w:t>
      </w:r>
    </w:p>
    <w:p>
      <w:pPr>
        <w:spacing w:after="0" w:line="233" w:lineRule="exact"/>
        <w:rPr>
          <w:sz w:val="20"/>
          <w:szCs w:val="20"/>
          <w:color w:val="auto"/>
        </w:rPr>
      </w:pPr>
    </w:p>
    <w:p>
      <w:pPr>
        <w:ind w:left="360" w:right="480" w:firstLine="535"/>
        <w:spacing w:after="0" w:line="259" w:lineRule="auto"/>
        <w:rPr>
          <w:sz w:val="20"/>
          <w:szCs w:val="20"/>
          <w:color w:val="auto"/>
        </w:rPr>
      </w:pPr>
      <w:r>
        <w:rPr>
          <w:rFonts w:ascii="Arial" w:cs="Arial" w:eastAsia="Arial" w:hAnsi="Arial"/>
          <w:sz w:val="17"/>
          <w:szCs w:val="17"/>
          <w:color w:val="auto"/>
        </w:rPr>
        <w:t>We have no stock options outstanding. Following this offering, we intend to file registration statements on Form S-8 under the Securities Act to register all of the shares of common stock subject to awards issuable pursuant to the 2018 Plan.</w:t>
      </w:r>
    </w:p>
    <w:p>
      <w:pPr>
        <w:spacing w:after="0" w:line="264"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Participation in Offering</w:t>
      </w:r>
    </w:p>
    <w:p>
      <w:pPr>
        <w:spacing w:after="0" w:line="233" w:lineRule="exact"/>
        <w:rPr>
          <w:sz w:val="20"/>
          <w:szCs w:val="20"/>
          <w:color w:val="auto"/>
        </w:rPr>
      </w:pPr>
    </w:p>
    <w:p>
      <w:pPr>
        <w:ind w:left="360" w:firstLine="535"/>
        <w:spacing w:after="0" w:line="244" w:lineRule="auto"/>
        <w:rPr>
          <w:sz w:val="20"/>
          <w:szCs w:val="20"/>
          <w:color w:val="auto"/>
        </w:rPr>
      </w:pPr>
      <w:r>
        <w:rPr>
          <w:rFonts w:ascii="Arial" w:cs="Arial" w:eastAsia="Arial" w:hAnsi="Arial"/>
          <w:sz w:val="17"/>
          <w:szCs w:val="17"/>
          <w:color w:val="auto"/>
        </w:rPr>
        <w:t>Certain of our existing principal stockholders and their affiliated entities have indicated an interest in purchasing an aggregate of approximately $53 million in shares of our common stock in this offering at the initial public offering price and on the same terms and conditions as the other purchasers in this offering. Any such shares purchased by our existing stockholders and their affiliated entities may not be able to be resold in the public market immediately following this offering as a result of restrictions under securities laws and lock-up agreements but would be able to be sold following the expiration of these restrictions, in each case as described above. However, because indications of interest are not binding agreements or commitments to purchase, the underwriters could determine to sell more, fewer or no shares to any of these potential purchasers, and any of these potential purchasers could determine to purchase more, fewer or no shares in this offering. The foregoing discussion does not reflect any potential purchases by these potential purchasers.</w:t>
      </w:r>
    </w:p>
    <w:p>
      <w:pPr>
        <w:spacing w:after="0" w:line="127"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187</w:t>
      </w:r>
    </w:p>
    <w:p>
      <w:pPr>
        <w:sectPr>
          <w:pgSz w:w="11900" w:h="16838" w:orient="portrait"/>
          <w:cols w:equalWidth="0" w:num="1">
            <w:col w:w="11040"/>
          </w:cols>
          <w:pgMar w:left="240" w:top="450" w:right="619" w:bottom="1440" w:gutter="0" w:footer="0" w:header="0"/>
        </w:sectPr>
      </w:pPr>
    </w:p>
    <w:bookmarkStart w:id="189" w:name="page190"/>
    <w:bookmarkEnd w:id="1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MATERIAL U.S. FEDERAL INCOME AND ESTATE TAX CONSIDERATIONS FOR NON-U.S.</w:t>
      </w:r>
    </w:p>
    <w:p>
      <w:pPr>
        <w:spacing w:after="0" w:line="23"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HOLDERS OF COMMON STOCK</w:t>
      </w:r>
    </w:p>
    <w:p>
      <w:pPr>
        <w:spacing w:after="0" w:line="211" w:lineRule="exact"/>
        <w:rPr>
          <w:sz w:val="20"/>
          <w:szCs w:val="20"/>
          <w:color w:val="auto"/>
        </w:rPr>
      </w:pPr>
    </w:p>
    <w:p>
      <w:pPr>
        <w:jc w:val="both"/>
        <w:ind w:left="360" w:right="60" w:firstLine="535"/>
        <w:spacing w:after="0" w:line="250" w:lineRule="auto"/>
        <w:rPr>
          <w:sz w:val="20"/>
          <w:szCs w:val="20"/>
          <w:color w:val="auto"/>
        </w:rPr>
      </w:pPr>
      <w:r>
        <w:rPr>
          <w:rFonts w:ascii="Arial" w:cs="Arial" w:eastAsia="Arial" w:hAnsi="Arial"/>
          <w:sz w:val="17"/>
          <w:szCs w:val="17"/>
          <w:color w:val="auto"/>
        </w:rPr>
        <w:t>The following is a discussion of material U.S. federal income and estate tax considerations relating to ownership and disposition of our common stock by a non-U.S. holder. For purposes of this discussion, the term “non-U.S. holder” means a beneficial owner (other than a partnership or other pass-through entity) of our common stock that is not, for U.S. federal income tax purposes:</w:t>
      </w:r>
    </w:p>
    <w:p>
      <w:pPr>
        <w:spacing w:after="0" w:line="97" w:lineRule="exact"/>
        <w:rPr>
          <w:sz w:val="20"/>
          <w:szCs w:val="20"/>
          <w:color w:val="auto"/>
        </w:rPr>
      </w:pPr>
    </w:p>
    <w:p>
      <w:pPr>
        <w:ind w:left="1100" w:hanging="210"/>
        <w:spacing w:after="0"/>
        <w:tabs>
          <w:tab w:leader="none" w:pos="11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an individual who is a citizen or resident of the United States;</w:t>
      </w:r>
    </w:p>
    <w:p>
      <w:pPr>
        <w:spacing w:after="0" w:line="119" w:lineRule="exact"/>
        <w:rPr>
          <w:rFonts w:ascii="Arial" w:cs="Arial" w:eastAsia="Arial" w:hAnsi="Arial"/>
          <w:sz w:val="17"/>
          <w:szCs w:val="17"/>
          <w:color w:val="auto"/>
        </w:rPr>
      </w:pPr>
    </w:p>
    <w:p>
      <w:pPr>
        <w:ind w:left="1100" w:right="100" w:hanging="210"/>
        <w:spacing w:after="0" w:line="259" w:lineRule="auto"/>
        <w:tabs>
          <w:tab w:leader="none" w:pos="11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 corporation, or other entity treated as a corporation for U.S. federal income tax purposes, created or organized in or under the laws of the United States, any state thereof, or the District of Columbia;</w:t>
      </w:r>
    </w:p>
    <w:p>
      <w:pPr>
        <w:spacing w:after="0" w:line="89" w:lineRule="exact"/>
        <w:rPr>
          <w:rFonts w:ascii="Arial" w:cs="Arial" w:eastAsia="Arial" w:hAnsi="Arial"/>
          <w:sz w:val="17"/>
          <w:szCs w:val="17"/>
          <w:color w:val="auto"/>
        </w:rPr>
      </w:pPr>
    </w:p>
    <w:p>
      <w:pPr>
        <w:ind w:left="1100" w:hanging="210"/>
        <w:spacing w:after="0"/>
        <w:tabs>
          <w:tab w:leader="none" w:pos="11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an estate the income of which is subject to U.S. federal income taxation regardless of its source; or</w:t>
      </w:r>
    </w:p>
    <w:p>
      <w:pPr>
        <w:spacing w:after="0" w:line="119" w:lineRule="exact"/>
        <w:rPr>
          <w:rFonts w:ascii="Arial" w:cs="Arial" w:eastAsia="Arial" w:hAnsi="Arial"/>
          <w:sz w:val="17"/>
          <w:szCs w:val="17"/>
          <w:color w:val="auto"/>
        </w:rPr>
      </w:pPr>
    </w:p>
    <w:p>
      <w:pPr>
        <w:ind w:left="1100" w:hanging="210"/>
        <w:spacing w:after="0" w:line="250" w:lineRule="auto"/>
        <w:tabs>
          <w:tab w:leader="none" w:pos="11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 trust if (1) a U.S. court is able to exercise primary supervision over the administration of the trust and one or more U.S. persons have authority to control all substantial decisions of the trust or (2) the trust has a valid election in effect under applicable U.S. Treasury Regulations to be treated as a U.S. person.</w:t>
      </w:r>
    </w:p>
    <w:p>
      <w:pPr>
        <w:spacing w:after="0" w:line="189" w:lineRule="exact"/>
        <w:rPr>
          <w:sz w:val="20"/>
          <w:szCs w:val="20"/>
          <w:color w:val="auto"/>
        </w:rPr>
      </w:pPr>
    </w:p>
    <w:p>
      <w:pPr>
        <w:ind w:left="360" w:right="40" w:firstLine="535"/>
        <w:spacing w:after="0" w:line="245" w:lineRule="auto"/>
        <w:rPr>
          <w:sz w:val="20"/>
          <w:szCs w:val="20"/>
          <w:color w:val="auto"/>
        </w:rPr>
      </w:pPr>
      <w:r>
        <w:rPr>
          <w:rFonts w:ascii="Arial" w:cs="Arial" w:eastAsia="Arial" w:hAnsi="Arial"/>
          <w:sz w:val="17"/>
          <w:szCs w:val="17"/>
          <w:color w:val="auto"/>
        </w:rPr>
        <w:t>This discussion does not address the tax treatment of partnerships or other entities that are pass-through entities for U.S. federal income tax purposes or persons who hold their shares of our common stock through partnerships or such other pass-through entities. A partner in a partnership or other pass-through entity that will hold our common stock should consult his, her or its own tax advisor regarding the tax consequences of the ownership and disposition of our common stock through a partnership or other pass-through entity, as applicable.</w:t>
      </w:r>
    </w:p>
    <w:p>
      <w:pPr>
        <w:spacing w:after="0" w:line="195" w:lineRule="exact"/>
        <w:rPr>
          <w:sz w:val="20"/>
          <w:szCs w:val="20"/>
          <w:color w:val="auto"/>
        </w:rPr>
      </w:pPr>
    </w:p>
    <w:p>
      <w:pPr>
        <w:ind w:left="360" w:right="80" w:firstLine="535"/>
        <w:spacing w:after="0" w:line="245" w:lineRule="auto"/>
        <w:rPr>
          <w:sz w:val="20"/>
          <w:szCs w:val="20"/>
          <w:color w:val="auto"/>
        </w:rPr>
      </w:pPr>
      <w:r>
        <w:rPr>
          <w:rFonts w:ascii="Arial" w:cs="Arial" w:eastAsia="Arial" w:hAnsi="Arial"/>
          <w:sz w:val="17"/>
          <w:szCs w:val="17"/>
          <w:color w:val="auto"/>
        </w:rPr>
        <w:t>This discussion is based on current provisions of the Internal Revenue Code of 1986, or the Code, existing and proposed U.S. Treasury Regulations promulgated thereunder, current administrative rulings and judicial decisions, all as in effect as of the date of this prospectus and all of which are subject to change or to differing interpretation, possibly with retroactive effect. Any change could alter the tax consequences to non-U.S. holders described in this prospectus. There can be no assurance that the Internal Revenue Service, or the IRS, will not challenge one or more of the tax consequences described in this prospectus.</w:t>
      </w:r>
    </w:p>
    <w:p>
      <w:pPr>
        <w:spacing w:after="0" w:line="195" w:lineRule="exact"/>
        <w:rPr>
          <w:sz w:val="20"/>
          <w:szCs w:val="20"/>
          <w:color w:val="auto"/>
        </w:rPr>
      </w:pPr>
    </w:p>
    <w:p>
      <w:pPr>
        <w:ind w:left="360" w:right="60" w:firstLine="535"/>
        <w:spacing w:after="0" w:line="245" w:lineRule="auto"/>
        <w:rPr>
          <w:sz w:val="20"/>
          <w:szCs w:val="20"/>
          <w:color w:val="auto"/>
        </w:rPr>
      </w:pPr>
      <w:r>
        <w:rPr>
          <w:rFonts w:ascii="Arial" w:cs="Arial" w:eastAsia="Arial" w:hAnsi="Arial"/>
          <w:sz w:val="17"/>
          <w:szCs w:val="17"/>
          <w:color w:val="auto"/>
        </w:rPr>
        <w:t>We assume in this discussion that each non-U.S. holder holds shares of our common stock as a capital asset (generally, property held for investment) for U.S. federal income tax purposes. This discussion does not address all aspects of U.S. federal income and estate taxation that may be relevant to a particular non-U.S. holder in light of that non-U.S. holder’s individual circumstances nor does it address any aspects of U.S. state, local or non-U.S. taxes, the alternative minimum tax, or the Medicare tax on net investment income. This discussion also does not consider any specific facts or circumstances that may apply to a non-U.S. holder and does not address the special tax rules applicable to particular non-U.S. holders, such as:</w:t>
      </w:r>
    </w:p>
    <w:p>
      <w:pPr>
        <w:spacing w:after="0" w:line="101" w:lineRule="exact"/>
        <w:rPr>
          <w:sz w:val="20"/>
          <w:szCs w:val="20"/>
          <w:color w:val="auto"/>
        </w:rPr>
      </w:pPr>
    </w:p>
    <w:p>
      <w:pPr>
        <w:ind w:left="1100" w:hanging="210"/>
        <w:spacing w:after="0"/>
        <w:tabs>
          <w:tab w:leader="none" w:pos="11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financial institutions;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brokers or dealers in securities;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tax-exempt organizations;</w:t>
      </w:r>
    </w:p>
    <w:p>
      <w:pPr>
        <w:spacing w:after="0" w:line="119" w:lineRule="exact"/>
        <w:rPr>
          <w:rFonts w:ascii="Arial" w:cs="Arial" w:eastAsia="Arial" w:hAnsi="Arial"/>
          <w:sz w:val="17"/>
          <w:szCs w:val="17"/>
          <w:color w:val="auto"/>
        </w:rPr>
      </w:pPr>
    </w:p>
    <w:p>
      <w:pPr>
        <w:ind w:left="1100" w:right="560" w:hanging="210"/>
        <w:spacing w:after="0" w:line="259" w:lineRule="auto"/>
        <w:tabs>
          <w:tab w:leader="none" w:pos="11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pension plans, including “qualified foreign pension funds” as defined in Section 897(l)(2) of the Code and entities all of the interests of which are held by qualified foreign pension funds;</w:t>
      </w:r>
    </w:p>
    <w:p>
      <w:pPr>
        <w:spacing w:after="0" w:line="89" w:lineRule="exact"/>
        <w:rPr>
          <w:rFonts w:ascii="Arial" w:cs="Arial" w:eastAsia="Arial" w:hAnsi="Arial"/>
          <w:sz w:val="17"/>
          <w:szCs w:val="17"/>
          <w:color w:val="auto"/>
        </w:rPr>
      </w:pPr>
    </w:p>
    <w:p>
      <w:pPr>
        <w:ind w:left="1100" w:hanging="210"/>
        <w:spacing w:after="0"/>
        <w:tabs>
          <w:tab w:leader="none" w:pos="11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persons deemed to sell our common stock under the constructive sale provisions of the Code;</w:t>
      </w:r>
    </w:p>
    <w:p>
      <w:pPr>
        <w:spacing w:after="0" w:line="14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188</w:t>
      </w:r>
    </w:p>
    <w:p>
      <w:pPr>
        <w:sectPr>
          <w:pgSz w:w="11900" w:h="16838" w:orient="portrait"/>
          <w:cols w:equalWidth="0" w:num="1">
            <w:col w:w="11040"/>
          </w:cols>
          <w:pgMar w:left="240" w:top="450" w:right="619" w:bottom="1440" w:gutter="0" w:footer="0" w:header="0"/>
        </w:sectPr>
      </w:pPr>
    </w:p>
    <w:bookmarkStart w:id="190" w:name="page191"/>
    <w:bookmarkEnd w:id="1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1100" w:right="240" w:hanging="210"/>
        <w:spacing w:after="0" w:line="259" w:lineRule="auto"/>
        <w:tabs>
          <w:tab w:leader="none" w:pos="11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owners that hold our common stock as part of a straddle, hedge, conversion transaction, synthetic security or other integrated investment or who have elected to mark securities to market;</w:t>
      </w:r>
    </w:p>
    <w:p>
      <w:pPr>
        <w:spacing w:after="0" w:line="89" w:lineRule="exact"/>
        <w:rPr>
          <w:rFonts w:ascii="Arial" w:cs="Arial" w:eastAsia="Arial" w:hAnsi="Arial"/>
          <w:sz w:val="17"/>
          <w:szCs w:val="17"/>
          <w:color w:val="auto"/>
        </w:rPr>
      </w:pPr>
    </w:p>
    <w:p>
      <w:pPr>
        <w:ind w:left="1100" w:hanging="210"/>
        <w:spacing w:after="0"/>
        <w:tabs>
          <w:tab w:leader="none" w:pos="11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insurance companies;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controlled foreign corporations;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passive foreign investment companies;</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non-U.S. governments; and</w:t>
      </w:r>
    </w:p>
    <w:p>
      <w:pPr>
        <w:spacing w:after="0" w:line="119" w:lineRule="exact"/>
        <w:rPr>
          <w:rFonts w:ascii="Arial" w:cs="Arial" w:eastAsia="Arial" w:hAnsi="Arial"/>
          <w:sz w:val="17"/>
          <w:szCs w:val="17"/>
          <w:color w:val="auto"/>
        </w:rPr>
      </w:pPr>
    </w:p>
    <w:p>
      <w:pPr>
        <w:ind w:left="1100" w:hanging="210"/>
        <w:spacing w:after="0"/>
        <w:tabs>
          <w:tab w:leader="none" w:pos="11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certain U.S. expatriates.</w:t>
      </w:r>
    </w:p>
    <w:p>
      <w:pPr>
        <w:spacing w:after="0" w:line="189" w:lineRule="exact"/>
        <w:rPr>
          <w:sz w:val="20"/>
          <w:szCs w:val="20"/>
          <w:color w:val="auto"/>
        </w:rPr>
      </w:pPr>
    </w:p>
    <w:p>
      <w:pPr>
        <w:ind w:left="360" w:right="280" w:firstLine="535"/>
        <w:spacing w:after="0" w:line="256" w:lineRule="auto"/>
        <w:rPr>
          <w:sz w:val="20"/>
          <w:szCs w:val="20"/>
          <w:color w:val="auto"/>
        </w:rPr>
      </w:pPr>
      <w:r>
        <w:rPr>
          <w:rFonts w:ascii="Arial" w:cs="Arial" w:eastAsia="Arial" w:hAnsi="Arial"/>
          <w:sz w:val="17"/>
          <w:szCs w:val="17"/>
          <w:b w:val="1"/>
          <w:bCs w:val="1"/>
          <w:color w:val="auto"/>
        </w:rPr>
        <w:t>THIS DISCUSSION IS FOR INFORMATIONAL PURPOSES ONLY AND IS NOT, AND IS NOT INTENDED TO BE, LEGAL OR TAX ADVICE. PROSPECTIVE INVESTORS SHOULD CONSULT THEIR OWN TAX ADVISORS REGARDING THE U.S. FEDERAL, STATE, LOCAL, AND NON-U.S. INCOME, ESTATE AND OTHER TAX CONSIDERATIONS OF ACQUIRING, HOLDING AND DISPOSING OF OUR COMMON STOCK.</w:t>
      </w:r>
    </w:p>
    <w:p>
      <w:pPr>
        <w:spacing w:after="0" w:line="267"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Distributions</w:t>
      </w:r>
    </w:p>
    <w:p>
      <w:pPr>
        <w:spacing w:after="0" w:line="233" w:lineRule="exact"/>
        <w:rPr>
          <w:sz w:val="20"/>
          <w:szCs w:val="20"/>
          <w:color w:val="auto"/>
        </w:rPr>
      </w:pPr>
    </w:p>
    <w:p>
      <w:pPr>
        <w:ind w:left="360" w:firstLine="535"/>
        <w:spacing w:after="0" w:line="244" w:lineRule="auto"/>
        <w:rPr>
          <w:sz w:val="20"/>
          <w:szCs w:val="20"/>
          <w:color w:val="auto"/>
        </w:rPr>
      </w:pPr>
      <w:r>
        <w:rPr>
          <w:rFonts w:ascii="Arial" w:cs="Arial" w:eastAsia="Arial" w:hAnsi="Arial"/>
          <w:sz w:val="17"/>
          <w:szCs w:val="17"/>
          <w:color w:val="auto"/>
        </w:rPr>
        <w:t>As discussed under “Dividend Policy” above, we do not expect to make cash dividends to holders of our common stock in the foreseeable future. If we make distributions in respect of our common stock, those distributions generally will constitute dividends for U.S. federal income tax purposes to the extent paid from our current or accumulated earnings and profits, as determined under U.S. federal income tax principles, subject to the tax treatment described in this section. If a distribution exceeds our current and accumulated earnings and profits, the excess will be treated as a tax-free return of the non-U.S. holder’s investment, up to the holder’s tax basis in the common stock. Any remaining excess will be treated as capital gain, subject to the tax treatment described below under the heading “Gain on Sale, Exchange or Other Taxable Disposition of Our Common Stock.” Any distributions will also be subject to the discussions below under the headings “Information Reporting and Backup Withholding” and “FATCA.”</w:t>
      </w:r>
    </w:p>
    <w:p>
      <w:pPr>
        <w:spacing w:after="0" w:line="193" w:lineRule="exact"/>
        <w:rPr>
          <w:sz w:val="20"/>
          <w:szCs w:val="20"/>
          <w:color w:val="auto"/>
        </w:rPr>
      </w:pPr>
    </w:p>
    <w:p>
      <w:pPr>
        <w:ind w:left="360" w:right="140" w:firstLine="535"/>
        <w:spacing w:after="0" w:line="259" w:lineRule="auto"/>
        <w:rPr>
          <w:sz w:val="20"/>
          <w:szCs w:val="20"/>
          <w:color w:val="auto"/>
        </w:rPr>
      </w:pPr>
      <w:r>
        <w:rPr>
          <w:rFonts w:ascii="Arial" w:cs="Arial" w:eastAsia="Arial" w:hAnsi="Arial"/>
          <w:sz w:val="17"/>
          <w:szCs w:val="17"/>
          <w:color w:val="auto"/>
        </w:rPr>
        <w:t>Dividends paid to a non-U.S. holder generally will be subject to withholding of U.S. federal income tax at a 30% rate or such lower rate as may be specified by an applicable income tax treaty between the United States and such holder’s country of residence.</w:t>
      </w:r>
    </w:p>
    <w:p>
      <w:pPr>
        <w:spacing w:after="0" w:line="181" w:lineRule="exact"/>
        <w:rPr>
          <w:sz w:val="20"/>
          <w:szCs w:val="20"/>
          <w:color w:val="auto"/>
        </w:rPr>
      </w:pPr>
    </w:p>
    <w:p>
      <w:pPr>
        <w:ind w:left="360" w:right="160" w:firstLine="535"/>
        <w:spacing w:after="0" w:line="243" w:lineRule="auto"/>
        <w:rPr>
          <w:sz w:val="20"/>
          <w:szCs w:val="20"/>
          <w:color w:val="auto"/>
        </w:rPr>
      </w:pPr>
      <w:r>
        <w:rPr>
          <w:rFonts w:ascii="Arial" w:cs="Arial" w:eastAsia="Arial" w:hAnsi="Arial"/>
          <w:sz w:val="17"/>
          <w:szCs w:val="17"/>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(generally including provision of a valid IRS Form W-8ECI (or applicable successor form) certifying that the dividends are effectively connected with the non-U.S. holder’s conduct of a trade or business within the United States). However, such U.S. effectively connected income, net of specified deductions and credits, is taxed in the hands of the non-U.S. holder at the same graduated U.S. federal income tax rates as would apply if such holder were a U.S. person (as defined in the Code). Any U.S. effectively connected income received by a non-U.S. holder that is classified as a corporation for U.S. federal income tax purposes may also, under certain circumstances, be subject to an additional “branch profits tax” at a 30% rate or such lower rate as may be specified by an applicable income tax treaty between the United States and such holder’s country of residence.</w:t>
      </w:r>
    </w:p>
    <w:p>
      <w:pPr>
        <w:spacing w:after="0" w:line="197" w:lineRule="exact"/>
        <w:rPr>
          <w:sz w:val="20"/>
          <w:szCs w:val="20"/>
          <w:color w:val="auto"/>
        </w:rPr>
      </w:pPr>
    </w:p>
    <w:p>
      <w:pPr>
        <w:ind w:left="360" w:right="220" w:firstLine="535"/>
        <w:spacing w:after="0" w:line="259" w:lineRule="auto"/>
        <w:rPr>
          <w:sz w:val="20"/>
          <w:szCs w:val="20"/>
          <w:color w:val="auto"/>
        </w:rPr>
      </w:pPr>
      <w:r>
        <w:rPr>
          <w:rFonts w:ascii="Arial" w:cs="Arial" w:eastAsia="Arial" w:hAnsi="Arial"/>
          <w:sz w:val="17"/>
          <w:szCs w:val="17"/>
          <w:color w:val="auto"/>
        </w:rPr>
        <w:t>A non-U.S. holder of our common stock who claims the benefit of an applicable income tax treaty between the United States and such holder’s country of residence generally will be required to provide</w:t>
      </w:r>
    </w:p>
    <w:p>
      <w:pPr>
        <w:spacing w:after="0" w:line="11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189</w:t>
      </w:r>
    </w:p>
    <w:p>
      <w:pPr>
        <w:sectPr>
          <w:pgSz w:w="11900" w:h="16838" w:orient="portrait"/>
          <w:cols w:equalWidth="0" w:num="1">
            <w:col w:w="11040"/>
          </w:cols>
          <w:pgMar w:left="240" w:top="450" w:right="619" w:bottom="1440" w:gutter="0" w:footer="0" w:header="0"/>
        </w:sectPr>
      </w:pPr>
    </w:p>
    <w:bookmarkStart w:id="191" w:name="page192"/>
    <w:bookmarkEnd w:id="1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60"/>
        <w:spacing w:after="0" w:line="250" w:lineRule="auto"/>
        <w:rPr>
          <w:sz w:val="20"/>
          <w:szCs w:val="20"/>
          <w:color w:val="auto"/>
        </w:rPr>
      </w:pPr>
      <w:r>
        <w:rPr>
          <w:rFonts w:ascii="Arial" w:cs="Arial" w:eastAsia="Arial" w:hAnsi="Arial"/>
          <w:sz w:val="17"/>
          <w:szCs w:val="17"/>
          <w:color w:val="auto"/>
        </w:rPr>
        <w:t>a properly executed IRS Form W-8BEN or W-8BEN-E (or successor form) and satisfy applicable certification and other requirements. Non-U.S. holders are urged to consult their own tax advisors regarding their entitlement to benefits under a relevant income tax treaty and the specific methods available to them to satisfy these requirements.</w:t>
      </w:r>
    </w:p>
    <w:p>
      <w:pPr>
        <w:spacing w:after="0" w:line="189" w:lineRule="exact"/>
        <w:rPr>
          <w:sz w:val="20"/>
          <w:szCs w:val="20"/>
          <w:color w:val="auto"/>
        </w:rPr>
      </w:pPr>
    </w:p>
    <w:p>
      <w:pPr>
        <w:ind w:left="360" w:right="60" w:firstLine="535"/>
        <w:spacing w:after="0" w:line="259" w:lineRule="auto"/>
        <w:rPr>
          <w:sz w:val="20"/>
          <w:szCs w:val="20"/>
          <w:color w:val="auto"/>
        </w:rPr>
      </w:pPr>
      <w:r>
        <w:rPr>
          <w:rFonts w:ascii="Arial" w:cs="Arial" w:eastAsia="Arial" w:hAnsi="Arial"/>
          <w:sz w:val="17"/>
          <w:szCs w:val="17"/>
          <w:color w:val="auto"/>
        </w:rPr>
        <w:t>A non-U.S. holder that is eligible for a reduced rate of U.S. withholding tax under an income tax treaty may obtain a refund or credit of any excess amounts withheld by timely filing an appropriate claim for a refund with the IRS.</w:t>
      </w:r>
    </w:p>
    <w:p>
      <w:pPr>
        <w:spacing w:after="0" w:line="264" w:lineRule="exact"/>
        <w:rPr>
          <w:sz w:val="20"/>
          <w:szCs w:val="20"/>
          <w:color w:val="auto"/>
        </w:rPr>
      </w:pPr>
    </w:p>
    <w:p>
      <w:pPr>
        <w:ind w:left="2560"/>
        <w:spacing w:after="0"/>
        <w:rPr>
          <w:sz w:val="20"/>
          <w:szCs w:val="20"/>
          <w:color w:val="auto"/>
        </w:rPr>
      </w:pPr>
      <w:r>
        <w:rPr>
          <w:rFonts w:ascii="Arial" w:cs="Arial" w:eastAsia="Arial" w:hAnsi="Arial"/>
          <w:sz w:val="17"/>
          <w:szCs w:val="17"/>
          <w:b w:val="1"/>
          <w:bCs w:val="1"/>
          <w:color w:val="auto"/>
        </w:rPr>
        <w:t>Gain on Sale, Exchange or Other Taxable Disposition of Our Common Stock</w:t>
      </w:r>
    </w:p>
    <w:p>
      <w:pPr>
        <w:spacing w:after="0" w:line="233" w:lineRule="exact"/>
        <w:rPr>
          <w:sz w:val="20"/>
          <w:szCs w:val="20"/>
          <w:color w:val="auto"/>
        </w:rPr>
      </w:pPr>
    </w:p>
    <w:p>
      <w:pPr>
        <w:ind w:left="360" w:right="220" w:firstLine="535"/>
        <w:spacing w:after="0" w:line="250" w:lineRule="auto"/>
        <w:rPr>
          <w:sz w:val="20"/>
          <w:szCs w:val="20"/>
          <w:color w:val="auto"/>
        </w:rPr>
      </w:pPr>
      <w:r>
        <w:rPr>
          <w:rFonts w:ascii="Arial" w:cs="Arial" w:eastAsia="Arial" w:hAnsi="Arial"/>
          <w:sz w:val="17"/>
          <w:szCs w:val="17"/>
          <w:color w:val="auto"/>
        </w:rPr>
        <w:t>Subject to the discussions below under the headings “Information Reporting and Backup Withholding” and “FATCA,” a non-U.S. holder generally will not be subject to U.S. federal income tax on any gain realized upon such non-U.S. holder’s sale, exchange or other disposition of our common stock unless:</w:t>
      </w:r>
    </w:p>
    <w:p>
      <w:pPr>
        <w:spacing w:after="0" w:line="97" w:lineRule="exact"/>
        <w:rPr>
          <w:sz w:val="20"/>
          <w:szCs w:val="20"/>
          <w:color w:val="auto"/>
        </w:rPr>
      </w:pPr>
    </w:p>
    <w:p>
      <w:pPr>
        <w:ind w:left="1100" w:right="220" w:hanging="210"/>
        <w:spacing w:after="0" w:line="245" w:lineRule="auto"/>
        <w:tabs>
          <w:tab w:leader="none" w:pos="11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gain is effectively connected with the non-U.S. holder’s conduct of a trade or business in the United States, and, if an applicable income tax treaty so provides, the gain is attributable to a permanent establishment or fixed base maintained by the non-U.S. holder in the United States; in these cases, the non-U.S. holder generally will be taxed on a net income basis at the graduated U.S. federal income tax rates applicable to U.S. persons, and, if the non-U.S. holder is a foreign corporation, the branch profits tax described above under the heading “Distributions” may also apply;</w:t>
      </w:r>
    </w:p>
    <w:p>
      <w:pPr>
        <w:spacing w:after="0" w:line="103" w:lineRule="exact"/>
        <w:rPr>
          <w:rFonts w:ascii="Arial" w:cs="Arial" w:eastAsia="Arial" w:hAnsi="Arial"/>
          <w:sz w:val="17"/>
          <w:szCs w:val="17"/>
          <w:color w:val="auto"/>
        </w:rPr>
      </w:pPr>
    </w:p>
    <w:p>
      <w:pPr>
        <w:ind w:left="1100" w:right="60" w:hanging="210"/>
        <w:spacing w:after="0" w:line="246" w:lineRule="auto"/>
        <w:tabs>
          <w:tab w:leader="none" w:pos="11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non-U.S. holder is a non-resident alien present in the United States for 183 days or more in the taxable year of the disposition and certain other requirements are met, in which case the non-U.S. holder will be subject to a 30% tax (or such lower rate as may be specified by an applicable income tax treaty between the United States and such holder’s country of residence) on the net gain derived from the disposition, which may be offset by certain U.S.-source capital losses of the non-U.S. holder, if any; or</w:t>
      </w:r>
    </w:p>
    <w:p>
      <w:pPr>
        <w:spacing w:after="0" w:line="299" w:lineRule="exact"/>
        <w:rPr>
          <w:rFonts w:ascii="Arial" w:cs="Arial" w:eastAsia="Arial" w:hAnsi="Arial"/>
          <w:sz w:val="17"/>
          <w:szCs w:val="17"/>
          <w:color w:val="auto"/>
        </w:rPr>
      </w:pPr>
    </w:p>
    <w:p>
      <w:pPr>
        <w:ind w:left="1100" w:hanging="210"/>
        <w:spacing w:after="0" w:line="243" w:lineRule="auto"/>
        <w:tabs>
          <w:tab w:leader="none" w:pos="11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we are or have been, at any time during the five-year period preceding such disposition (or the non-U.S. holder’s holding period, if shorter) a “U.S. real property holding corporation” unless our common stock is regularly traded on an established securities market and the non-U.S. holder held no more than 5% of our outstanding common stock, directly or indirectly, during the shorter of the five-year period ending on the date of the disposition or the period that the non-U.S. holder held our common stock. Generally, a corporation is a “U.S. real property holding corporation” if the fair market value of its “U.S. real property interests” (as defined in the Code and applicable regulations) equals or exceeds 50% of the sum of the fair market value of its worldwide real property interests plus its other assets used or held for use in a trade or business. Although there can be no assurance, we believe that we are not currently, and we do not anticipate becoming, a “U.S. real property holding corporation” for U.S. federal income tax purposes.</w:t>
      </w:r>
    </w:p>
    <w:p>
      <w:pPr>
        <w:spacing w:after="0" w:line="200" w:lineRule="exact"/>
        <w:rPr>
          <w:sz w:val="20"/>
          <w:szCs w:val="20"/>
          <w:color w:val="auto"/>
        </w:rPr>
      </w:pPr>
    </w:p>
    <w:p>
      <w:pPr>
        <w:spacing w:after="0" w:line="279"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U.S. Federal Estate Tax</w:t>
      </w:r>
    </w:p>
    <w:p>
      <w:pPr>
        <w:spacing w:after="0" w:line="233" w:lineRule="exact"/>
        <w:rPr>
          <w:sz w:val="20"/>
          <w:szCs w:val="20"/>
          <w:color w:val="auto"/>
        </w:rPr>
      </w:pPr>
    </w:p>
    <w:p>
      <w:pPr>
        <w:ind w:left="360" w:right="40" w:firstLine="535"/>
        <w:spacing w:after="0" w:line="247" w:lineRule="auto"/>
        <w:rPr>
          <w:sz w:val="20"/>
          <w:szCs w:val="20"/>
          <w:color w:val="auto"/>
        </w:rPr>
      </w:pPr>
      <w:r>
        <w:rPr>
          <w:rFonts w:ascii="Arial" w:cs="Arial" w:eastAsia="Arial" w:hAnsi="Arial"/>
          <w:sz w:val="17"/>
          <w:szCs w:val="17"/>
          <w:color w:val="auto"/>
        </w:rPr>
        <w:t>Shares of our common stock that are owned or treated as owned by an individual who is not a citizen or resident of the United States (as specially defined for U.S. federal estate tax purposes) at the time of death are considered U.S. situs assets and will be included in the individual’s gross estate for U.S. federal estate tax purposes. Such shares, therefore, may be subject to U.S. federal estate tax, unless an applicable estate tax or other treaty provides otherwise.</w:t>
      </w:r>
    </w:p>
    <w:p>
      <w:pPr>
        <w:spacing w:after="0" w:line="12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190</w:t>
      </w:r>
    </w:p>
    <w:p>
      <w:pPr>
        <w:sectPr>
          <w:pgSz w:w="11900" w:h="16838" w:orient="portrait"/>
          <w:cols w:equalWidth="0" w:num="1">
            <w:col w:w="11060"/>
          </w:cols>
          <w:pgMar w:left="240" w:top="450" w:right="599" w:bottom="1440" w:gutter="0" w:footer="0" w:header="0"/>
        </w:sectPr>
      </w:pPr>
    </w:p>
    <w:bookmarkStart w:id="192" w:name="page193"/>
    <w:bookmarkEnd w:id="1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Information Reporting and Backup Withholding</w:t>
      </w:r>
    </w:p>
    <w:p>
      <w:pPr>
        <w:spacing w:after="0" w:line="233" w:lineRule="exact"/>
        <w:rPr>
          <w:sz w:val="20"/>
          <w:szCs w:val="20"/>
          <w:color w:val="auto"/>
        </w:rPr>
      </w:pPr>
    </w:p>
    <w:p>
      <w:pPr>
        <w:ind w:left="360" w:firstLine="535"/>
        <w:spacing w:after="0" w:line="244" w:lineRule="auto"/>
        <w:rPr>
          <w:sz w:val="20"/>
          <w:szCs w:val="20"/>
          <w:color w:val="auto"/>
        </w:rPr>
      </w:pPr>
      <w:r>
        <w:rPr>
          <w:rFonts w:ascii="Arial" w:cs="Arial" w:eastAsia="Arial" w:hAnsi="Arial"/>
          <w:sz w:val="17"/>
          <w:szCs w:val="17"/>
          <w:color w:val="auto"/>
        </w:rPr>
        <w:t>We must report annually to the IRS and to each non-U.S. holder the gross amount of the distributions on our common stock paid to such holder and the tax withheld, if any, with respect to such distributions. Non-U.S. holders generally will have to comply with specific certification procedures to establish that the holder is not a U.S. person (as defined in the Code) in order to avoid backup withholding at the applicable rate with respect to dividends on our common stock. Generally, a holder will comply with such procedures if it provides a properly executed IRS Form W-8BEN or W-8BEN-E (or other applicable Form W-8), or otherwise meets documentary evidence requirements for establishing that it is a non-U.S. holder, or otherwise establishes an exemption. Dividends paid to non-U.S. holders subject to withholding of U.S. federal income tax, as described above under the heading “Distributions,” will generally be exempt from U.S. backup withholding.</w:t>
      </w:r>
    </w:p>
    <w:p>
      <w:pPr>
        <w:spacing w:after="0" w:line="392" w:lineRule="exact"/>
        <w:rPr>
          <w:sz w:val="20"/>
          <w:szCs w:val="20"/>
          <w:color w:val="auto"/>
        </w:rPr>
      </w:pPr>
    </w:p>
    <w:p>
      <w:pPr>
        <w:ind w:left="360" w:right="160" w:firstLine="535"/>
        <w:spacing w:after="0" w:line="244" w:lineRule="auto"/>
        <w:rPr>
          <w:sz w:val="20"/>
          <w:szCs w:val="20"/>
          <w:color w:val="auto"/>
        </w:rPr>
      </w:pPr>
      <w:r>
        <w:rPr>
          <w:rFonts w:ascii="Arial" w:cs="Arial" w:eastAsia="Arial" w:hAnsi="Arial"/>
          <w:sz w:val="17"/>
          <w:szCs w:val="17"/>
          <w:color w:val="auto"/>
        </w:rPr>
        <w:t>Information reporting and backup withholding generally will apply to the proceeds of a disposition of our common stock by a non-U.S. holder effected by or through the U.S. office of any broker, U.S. or non-U.S.,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w:t>
      </w:r>
    </w:p>
    <w:p>
      <w:pPr>
        <w:spacing w:after="0" w:line="193" w:lineRule="exact"/>
        <w:rPr>
          <w:sz w:val="20"/>
          <w:szCs w:val="20"/>
          <w:color w:val="auto"/>
        </w:rPr>
      </w:pPr>
    </w:p>
    <w:p>
      <w:pPr>
        <w:ind w:left="360" w:right="80" w:firstLine="535"/>
        <w:spacing w:after="0" w:line="259" w:lineRule="auto"/>
        <w:rPr>
          <w:sz w:val="20"/>
          <w:szCs w:val="20"/>
          <w:color w:val="auto"/>
        </w:rPr>
      </w:pPr>
      <w:r>
        <w:rPr>
          <w:rFonts w:ascii="Arial" w:cs="Arial" w:eastAsia="Arial" w:hAnsi="Arial"/>
          <w:sz w:val="17"/>
          <w:szCs w:val="17"/>
          <w:color w:val="auto"/>
        </w:rPr>
        <w:t>Copies of information returns may be made available to the tax authorities of the country in which the non-U.S. holder resides or is incorporated under the provisions of a specific treaty or agreement.</w:t>
      </w:r>
    </w:p>
    <w:p>
      <w:pPr>
        <w:spacing w:after="0" w:line="181" w:lineRule="exact"/>
        <w:rPr>
          <w:sz w:val="20"/>
          <w:szCs w:val="20"/>
          <w:color w:val="auto"/>
        </w:rPr>
      </w:pPr>
    </w:p>
    <w:p>
      <w:pPr>
        <w:jc w:val="both"/>
        <w:ind w:left="360" w:right="680" w:firstLine="535"/>
        <w:spacing w:after="0" w:line="250" w:lineRule="auto"/>
        <w:rPr>
          <w:sz w:val="20"/>
          <w:szCs w:val="20"/>
          <w:color w:val="auto"/>
        </w:rPr>
      </w:pPr>
      <w:r>
        <w:rPr>
          <w:rFonts w:ascii="Arial" w:cs="Arial" w:eastAsia="Arial" w:hAnsi="Arial"/>
          <w:sz w:val="17"/>
          <w:szCs w:val="17"/>
          <w:color w:val="auto"/>
        </w:rPr>
        <w:t>Backup withholding is not an additional tax. Any amounts withheld under the backup withholding rules from a payment to a non-U.S. holder can be refunded or credited against the non-U.S. holder’s U.S. federal income tax liability, if any, provided that an appropriate claim is timely filed with the IRS.</w:t>
      </w:r>
    </w:p>
    <w:p>
      <w:pPr>
        <w:spacing w:after="0" w:line="272"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FATCA</w:t>
      </w:r>
    </w:p>
    <w:p>
      <w:pPr>
        <w:spacing w:after="0" w:line="233" w:lineRule="exact"/>
        <w:rPr>
          <w:sz w:val="20"/>
          <w:szCs w:val="20"/>
          <w:color w:val="auto"/>
        </w:rPr>
      </w:pPr>
    </w:p>
    <w:p>
      <w:pPr>
        <w:ind w:left="360" w:right="300" w:firstLine="535"/>
        <w:spacing w:after="0" w:line="241" w:lineRule="auto"/>
        <w:rPr>
          <w:sz w:val="20"/>
          <w:szCs w:val="20"/>
          <w:color w:val="auto"/>
        </w:rPr>
      </w:pPr>
      <w:r>
        <w:rPr>
          <w:rFonts w:ascii="Arial" w:cs="Arial" w:eastAsia="Arial" w:hAnsi="Arial"/>
          <w:sz w:val="17"/>
          <w:szCs w:val="17"/>
          <w:color w:val="auto"/>
        </w:rPr>
        <w:t>Provisions of the Code commonly referred to as the Foreign Account Tax Compliance Act, or FATCA, generally impose a 30% withholding tax on dividends on, and gross proceeds from the sale or disposition of, our common stock if paid to a foreign entity unless</w:t>
      </w:r>
    </w:p>
    <w:p>
      <w:pPr>
        <w:spacing w:after="0" w:line="1" w:lineRule="exact"/>
        <w:rPr>
          <w:sz w:val="20"/>
          <w:szCs w:val="20"/>
          <w:color w:val="auto"/>
        </w:rPr>
      </w:pPr>
    </w:p>
    <w:p>
      <w:pPr>
        <w:ind w:left="360" w:right="40" w:firstLine="5"/>
        <w:spacing w:after="0" w:line="250" w:lineRule="auto"/>
        <w:tabs>
          <w:tab w:leader="none" w:pos="622" w:val="left"/>
        </w:tabs>
        <w:numPr>
          <w:ilvl w:val="0"/>
          <w:numId w:val="120"/>
        </w:numPr>
        <w:rPr>
          <w:rFonts w:ascii="Arial" w:cs="Arial" w:eastAsia="Arial" w:hAnsi="Arial"/>
          <w:sz w:val="17"/>
          <w:szCs w:val="17"/>
          <w:color w:val="auto"/>
        </w:rPr>
      </w:pPr>
      <w:r>
        <w:rPr>
          <w:rFonts w:ascii="Arial" w:cs="Arial" w:eastAsia="Arial" w:hAnsi="Arial"/>
          <w:sz w:val="17"/>
          <w:szCs w:val="17"/>
          <w:color w:val="auto"/>
        </w:rPr>
        <w:t>if the foreign entity is a “foreign financial institution,” the foreign entity undertakes certain due diligence, reporting, withholding, and certification obligations, (2) if the foreign entity is not a “foreign financial institution,” the foreign entity identifies certain of its U.S. investors, or (3) the foreign entity is otherwise exempt under FATCA.</w:t>
      </w:r>
    </w:p>
    <w:p>
      <w:pPr>
        <w:spacing w:after="0" w:line="189" w:lineRule="exact"/>
        <w:rPr>
          <w:sz w:val="20"/>
          <w:szCs w:val="20"/>
          <w:color w:val="auto"/>
        </w:rPr>
      </w:pPr>
    </w:p>
    <w:p>
      <w:pPr>
        <w:ind w:left="360" w:right="120" w:firstLine="535"/>
        <w:spacing w:after="0" w:line="245" w:lineRule="auto"/>
        <w:rPr>
          <w:sz w:val="20"/>
          <w:szCs w:val="20"/>
          <w:color w:val="auto"/>
        </w:rPr>
      </w:pPr>
      <w:r>
        <w:rPr>
          <w:rFonts w:ascii="Arial" w:cs="Arial" w:eastAsia="Arial" w:hAnsi="Arial"/>
          <w:sz w:val="17"/>
          <w:szCs w:val="17"/>
          <w:color w:val="auto"/>
        </w:rPr>
        <w:t>Withholding under FATCA generally (1) applies to payments of dividends on our common stock and (2) will apply to payments of gross proceeds from a sale or other disposition of our common stock made after December 31, 2018. An intergovernmental agreement between the United States and an applicable foreign country may modify the requirements described in this section. Under certain circumstances, a non-U.S. holder may be eligible for refunds or credits of the tax. Non-U.S. holders should consult their own tax advisors regarding the possible implications of FATCA on their investment in our common stock.</w:t>
      </w:r>
    </w:p>
    <w:p>
      <w:pPr>
        <w:spacing w:after="0" w:line="173" w:lineRule="exact"/>
        <w:rPr>
          <w:sz w:val="20"/>
          <w:szCs w:val="20"/>
          <w:color w:val="auto"/>
        </w:rPr>
      </w:pPr>
    </w:p>
    <w:p>
      <w:pPr>
        <w:ind w:left="360" w:right="200" w:firstLine="535"/>
        <w:spacing w:after="0" w:line="256" w:lineRule="auto"/>
        <w:rPr>
          <w:sz w:val="20"/>
          <w:szCs w:val="20"/>
          <w:color w:val="auto"/>
        </w:rPr>
      </w:pPr>
      <w:r>
        <w:rPr>
          <w:rFonts w:ascii="Arial" w:cs="Arial" w:eastAsia="Arial" w:hAnsi="Arial"/>
          <w:sz w:val="17"/>
          <w:szCs w:val="17"/>
          <w:b w:val="1"/>
          <w:bCs w:val="1"/>
          <w:color w:val="auto"/>
        </w:rPr>
        <w:t>The preceding discussion of material U.S. federal tax considerations is for informational purposes only. It is not legal or tax advice. Prospective investors should consult their own tax advisors regarding the particular U.S. federal, state, local, and non-U.S. tax consequences of purchasing, holding and disposing of our common stock, including the consequences of any proposed changes in applicable laws.</w:t>
      </w:r>
    </w:p>
    <w:p>
      <w:pPr>
        <w:spacing w:after="0" w:line="119"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191</w:t>
      </w:r>
    </w:p>
    <w:p>
      <w:pPr>
        <w:sectPr>
          <w:pgSz w:w="11900" w:h="16838" w:orient="portrait"/>
          <w:cols w:equalWidth="0" w:num="1">
            <w:col w:w="11040"/>
          </w:cols>
          <w:pgMar w:left="240" w:top="450" w:right="619" w:bottom="1440" w:gutter="0" w:footer="0" w:header="0"/>
        </w:sectPr>
      </w:pPr>
    </w:p>
    <w:bookmarkStart w:id="193" w:name="page194"/>
    <w:bookmarkEnd w:id="1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UNDERWRITING</w:t>
      </w:r>
    </w:p>
    <w:p>
      <w:pPr>
        <w:spacing w:after="0" w:line="233"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We and the underwriters named below have entered into an underwriting agreement with respect to the shares being offered.</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Subject to certain conditions, each underwriter has severally agreed to purchase the number of shares indicated in the following table.</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Goldman Sachs &amp; Co. LLC, Citigroup Global Markets Inc. and Piper Jaffray &amp; Co. are the representatives of the underwriters.</w:t>
      </w:r>
    </w:p>
    <w:p>
      <w:pPr>
        <w:spacing w:after="0" w:line="223"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9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Underwriters</w:t>
            </w: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9"/>
              </w:rPr>
              <w:t>Number of</w:t>
            </w:r>
          </w:p>
        </w:tc>
        <w:tc>
          <w:tcPr>
            <w:tcW w:w="0" w:type="dxa"/>
            <w:vAlign w:val="bottom"/>
          </w:tcPr>
          <w:p>
            <w:pPr>
              <w:spacing w:after="0"/>
              <w:rPr>
                <w:sz w:val="1"/>
                <w:szCs w:val="1"/>
                <w:color w:val="auto"/>
              </w:rPr>
            </w:pPr>
          </w:p>
        </w:tc>
      </w:tr>
      <w:tr>
        <w:trPr>
          <w:trHeight w:val="156"/>
        </w:trPr>
        <w:tc>
          <w:tcPr>
            <w:tcW w:w="9740" w:type="dxa"/>
            <w:vAlign w:val="bottom"/>
            <w:gridSpan w:val="3"/>
            <w:vMerge w:val="continue"/>
          </w:tcPr>
          <w:p>
            <w:pPr>
              <w:spacing w:after="0"/>
              <w:rPr>
                <w:sz w:val="13"/>
                <w:szCs w:val="13"/>
                <w:color w:val="auto"/>
              </w:rPr>
            </w:pPr>
          </w:p>
        </w:tc>
        <w:tc>
          <w:tcPr>
            <w:tcW w:w="960" w:type="dxa"/>
            <w:vAlign w:val="bottom"/>
            <w:gridSpan w:val="2"/>
          </w:tcPr>
          <w:p>
            <w:pPr>
              <w:jc w:val="center"/>
              <w:ind w:right="60"/>
              <w:spacing w:after="0" w:line="155" w:lineRule="exact"/>
              <w:rPr>
                <w:sz w:val="20"/>
                <w:szCs w:val="20"/>
                <w:color w:val="auto"/>
              </w:rPr>
            </w:pPr>
            <w:r>
              <w:rPr>
                <w:rFonts w:ascii="Arial" w:cs="Arial" w:eastAsia="Arial" w:hAnsi="Arial"/>
                <w:sz w:val="14"/>
                <w:szCs w:val="14"/>
                <w:b w:val="1"/>
                <w:bCs w:val="1"/>
                <w:color w:val="auto"/>
                <w:w w:val="98"/>
              </w:rPr>
              <w:t>Shares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88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972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Goldman Sachs &amp; Co. LLC</w:t>
            </w: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3,150,000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9720" w:type="dxa"/>
            <w:vAlign w:val="bottom"/>
            <w:gridSpan w:val="2"/>
          </w:tcPr>
          <w:p>
            <w:pPr>
              <w:spacing w:after="0"/>
              <w:rPr>
                <w:sz w:val="20"/>
                <w:szCs w:val="20"/>
                <w:color w:val="auto"/>
              </w:rPr>
            </w:pPr>
            <w:r>
              <w:rPr>
                <w:rFonts w:ascii="Arial" w:cs="Arial" w:eastAsia="Arial" w:hAnsi="Arial"/>
                <w:sz w:val="17"/>
                <w:szCs w:val="17"/>
                <w:color w:val="auto"/>
              </w:rPr>
              <w:t>Citigroup Global Markets Inc.</w:t>
            </w:r>
          </w:p>
        </w:tc>
        <w:tc>
          <w:tcPr>
            <w:tcW w:w="900" w:type="dxa"/>
            <w:vAlign w:val="bottom"/>
          </w:tcPr>
          <w:p>
            <w:pPr>
              <w:jc w:val="right"/>
              <w:spacing w:after="0"/>
              <w:rPr>
                <w:sz w:val="20"/>
                <w:szCs w:val="20"/>
                <w:color w:val="auto"/>
              </w:rPr>
            </w:pPr>
            <w:r>
              <w:rPr>
                <w:rFonts w:ascii="Arial" w:cs="Arial" w:eastAsia="Arial" w:hAnsi="Arial"/>
                <w:sz w:val="17"/>
                <w:szCs w:val="17"/>
                <w:color w:val="auto"/>
              </w:rPr>
              <w:t>2,775,000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9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Piper Jaffray &amp; Co.</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1,575,000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720" w:type="dxa"/>
            <w:vAlign w:val="bottom"/>
            <w:gridSpan w:val="2"/>
          </w:tcPr>
          <w:p>
            <w:pPr>
              <w:ind w:left="340"/>
              <w:spacing w:after="0"/>
              <w:rPr>
                <w:sz w:val="20"/>
                <w:szCs w:val="20"/>
                <w:color w:val="auto"/>
              </w:rPr>
            </w:pPr>
            <w:r>
              <w:rPr>
                <w:rFonts w:ascii="Arial" w:cs="Arial" w:eastAsia="Arial" w:hAnsi="Arial"/>
                <w:sz w:val="17"/>
                <w:szCs w:val="17"/>
                <w:color w:val="auto"/>
              </w:rPr>
              <w:t>Total</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7,500,000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360" w:right="140" w:firstLine="535"/>
        <w:spacing w:after="0" w:line="250" w:lineRule="auto"/>
        <w:rPr>
          <w:sz w:val="20"/>
          <w:szCs w:val="20"/>
          <w:color w:val="auto"/>
        </w:rPr>
      </w:pPr>
      <w:r>
        <w:rPr>
          <w:rFonts w:ascii="Arial" w:cs="Arial" w:eastAsia="Arial" w:hAnsi="Arial"/>
          <w:sz w:val="17"/>
          <w:szCs w:val="17"/>
          <w:color w:val="auto"/>
        </w:rPr>
        <w:t>The underwriters are committed to take and pay for all of the shares being offered, if any are taken, other than the shares covered by the option described below unless and until this option is exercised. The underwriting agreement also provides that if an underwriter defaults, the purchase commitments of non-defaulting underwriters may also be increased or the offering may be terminated.</w:t>
      </w:r>
    </w:p>
    <w:p>
      <w:pPr>
        <w:spacing w:after="0" w:line="189" w:lineRule="exact"/>
        <w:rPr>
          <w:sz w:val="20"/>
          <w:szCs w:val="20"/>
          <w:color w:val="auto"/>
        </w:rPr>
      </w:pPr>
    </w:p>
    <w:p>
      <w:pPr>
        <w:jc w:val="both"/>
        <w:ind w:left="360" w:right="340" w:firstLine="535"/>
        <w:spacing w:after="0" w:line="250" w:lineRule="auto"/>
        <w:rPr>
          <w:sz w:val="20"/>
          <w:szCs w:val="20"/>
          <w:color w:val="auto"/>
        </w:rPr>
      </w:pPr>
      <w:r>
        <w:rPr>
          <w:rFonts w:ascii="Arial" w:cs="Arial" w:eastAsia="Arial" w:hAnsi="Arial"/>
          <w:sz w:val="17"/>
          <w:szCs w:val="17"/>
          <w:color w:val="auto"/>
        </w:rPr>
        <w:t>The underwriters have an option to buy up to 1,125,000 additional shares from us to cover sales by the underwriters. They may exercise that option for 30 days. If any shares are purchased pursuant to this option, the underwriters will severally purchase shares in approximately the same proportion as set forth in the table above.</w:t>
      </w:r>
    </w:p>
    <w:p>
      <w:pPr>
        <w:spacing w:after="0" w:line="189" w:lineRule="exact"/>
        <w:rPr>
          <w:sz w:val="20"/>
          <w:szCs w:val="20"/>
          <w:color w:val="auto"/>
        </w:rPr>
      </w:pPr>
    </w:p>
    <w:p>
      <w:pPr>
        <w:ind w:left="360" w:right="60" w:firstLine="535"/>
        <w:spacing w:after="0" w:line="253" w:lineRule="auto"/>
        <w:rPr>
          <w:sz w:val="20"/>
          <w:szCs w:val="20"/>
          <w:color w:val="auto"/>
        </w:rPr>
      </w:pPr>
      <w:r>
        <w:rPr>
          <w:rFonts w:ascii="Arial" w:cs="Arial" w:eastAsia="Arial" w:hAnsi="Arial"/>
          <w:sz w:val="17"/>
          <w:szCs w:val="17"/>
          <w:color w:val="auto"/>
        </w:rPr>
        <w:t>The following table shows the per share and total underwriting discounts and commissions to be paid to the underwriters by us. Such amounts are shown assuming both no exercise and full exercise of the underwriters’ option to purchase up to additional shares from us.</w:t>
      </w:r>
    </w:p>
    <w:p>
      <w:pPr>
        <w:spacing w:after="0" w:line="200" w:lineRule="exact"/>
        <w:rPr>
          <w:sz w:val="20"/>
          <w:szCs w:val="20"/>
          <w:color w:val="auto"/>
        </w:rPr>
      </w:pPr>
    </w:p>
    <w:p>
      <w:pPr>
        <w:spacing w:after="0" w:line="203" w:lineRule="exact"/>
        <w:rPr>
          <w:sz w:val="20"/>
          <w:szCs w:val="20"/>
          <w:color w:val="auto"/>
        </w:rPr>
      </w:pPr>
    </w:p>
    <w:tbl>
      <w:tblPr>
        <w:tblLayout w:type="fixed"/>
        <w:tblInd w:w="36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No Exercise</w:t>
            </w:r>
          </w:p>
        </w:tc>
        <w:tc>
          <w:tcPr>
            <w:tcW w:w="36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Full Exercise</w:t>
            </w:r>
          </w:p>
        </w:tc>
      </w:tr>
      <w:tr>
        <w:trPr>
          <w:trHeight w:val="190"/>
        </w:trPr>
        <w:tc>
          <w:tcPr>
            <w:tcW w:w="20" w:type="dxa"/>
            <w:vAlign w:val="bottom"/>
          </w:tcPr>
          <w:p>
            <w:pPr>
              <w:spacing w:after="0"/>
              <w:rPr>
                <w:sz w:val="16"/>
                <w:szCs w:val="16"/>
                <w:color w:val="auto"/>
              </w:rPr>
            </w:pPr>
          </w:p>
        </w:tc>
        <w:tc>
          <w:tcPr>
            <w:tcW w:w="460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Per Share</w:t>
            </w:r>
          </w:p>
        </w:tc>
        <w:tc>
          <w:tcPr>
            <w:tcW w:w="38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1.12</w:t>
            </w:r>
          </w:p>
        </w:tc>
        <w:tc>
          <w:tcPr>
            <w:tcW w:w="3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1.12</w:t>
            </w:r>
          </w:p>
        </w:tc>
        <w:tc>
          <w:tcPr>
            <w:tcW w:w="60" w:type="dxa"/>
            <w:vAlign w:val="bottom"/>
            <w:tcBorders>
              <w:top w:val="single" w:sz="8" w:color="CCEEFF"/>
            </w:tcBorders>
            <w:shd w:val="clear" w:color="auto" w:fill="CCEEFF"/>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7"/>
                <w:szCs w:val="17"/>
                <w:color w:val="auto"/>
              </w:rPr>
              <w:t>Total</w:t>
            </w:r>
          </w:p>
        </w:tc>
        <w:tc>
          <w:tcPr>
            <w:tcW w:w="39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8,400,000</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9,660,000</w:t>
            </w:r>
          </w:p>
        </w:tc>
        <w:tc>
          <w:tcPr>
            <w:tcW w:w="60" w:type="dxa"/>
            <w:vAlign w:val="bottom"/>
          </w:tcPr>
          <w:p>
            <w:pPr>
              <w:spacing w:after="0"/>
              <w:rPr>
                <w:sz w:val="18"/>
                <w:szCs w:val="18"/>
                <w:color w:val="auto"/>
              </w:rPr>
            </w:pPr>
          </w:p>
        </w:tc>
      </w:tr>
    </w:tbl>
    <w:p>
      <w:pPr>
        <w:spacing w:after="0" w:line="195" w:lineRule="exact"/>
        <w:rPr>
          <w:sz w:val="20"/>
          <w:szCs w:val="20"/>
          <w:color w:val="auto"/>
        </w:rPr>
      </w:pPr>
    </w:p>
    <w:p>
      <w:pPr>
        <w:jc w:val="both"/>
        <w:ind w:left="360" w:right="200" w:firstLine="535"/>
        <w:spacing w:after="0" w:line="241" w:lineRule="auto"/>
        <w:rPr>
          <w:sz w:val="20"/>
          <w:szCs w:val="20"/>
          <w:color w:val="auto"/>
        </w:rPr>
      </w:pPr>
      <w:r>
        <w:rPr>
          <w:rFonts w:ascii="Arial" w:cs="Arial" w:eastAsia="Arial" w:hAnsi="Arial"/>
          <w:sz w:val="17"/>
          <w:szCs w:val="17"/>
          <w:color w:val="auto"/>
        </w:rPr>
        <w:t>Shares sold by the underwriters to the public will initially be offered at the initial public offering price set forth on the cover of this prospectus. Any shares sold by the underwriters to securities dealers may be sold at a discount of up to $0.67 per share from the initial public offering price. After the initial offering of the shares, the representatives may change the offering price and the other selling terms.</w:t>
      </w:r>
    </w:p>
    <w:p>
      <w:pPr>
        <w:spacing w:after="0" w:line="1" w:lineRule="exact"/>
        <w:rPr>
          <w:sz w:val="20"/>
          <w:szCs w:val="20"/>
          <w:color w:val="auto"/>
        </w:rPr>
      </w:pPr>
    </w:p>
    <w:p>
      <w:pPr>
        <w:ind w:left="360" w:right="20"/>
        <w:spacing w:after="0" w:line="259" w:lineRule="auto"/>
        <w:rPr>
          <w:sz w:val="20"/>
          <w:szCs w:val="20"/>
          <w:color w:val="auto"/>
        </w:rPr>
      </w:pPr>
      <w:r>
        <w:rPr>
          <w:rFonts w:ascii="Arial" w:cs="Arial" w:eastAsia="Arial" w:hAnsi="Arial"/>
          <w:sz w:val="17"/>
          <w:szCs w:val="17"/>
          <w:color w:val="auto"/>
        </w:rPr>
        <w:t>The offering of the shares by the underwriters is subject to receipt and acceptance and subject to the underwriters’ right to reject any order in whole or in part. Sales of shares made outside of the United States may be made by affiliates of the underwriters.</w:t>
      </w:r>
    </w:p>
    <w:p>
      <w:pPr>
        <w:spacing w:after="0" w:line="181" w:lineRule="exact"/>
        <w:rPr>
          <w:sz w:val="20"/>
          <w:szCs w:val="20"/>
          <w:color w:val="auto"/>
        </w:rPr>
      </w:pPr>
    </w:p>
    <w:p>
      <w:pPr>
        <w:ind w:left="360" w:right="40" w:firstLine="535"/>
        <w:spacing w:after="0" w:line="247" w:lineRule="auto"/>
        <w:rPr>
          <w:sz w:val="20"/>
          <w:szCs w:val="20"/>
          <w:color w:val="auto"/>
        </w:rPr>
      </w:pPr>
      <w:r>
        <w:rPr>
          <w:rFonts w:ascii="Arial" w:cs="Arial" w:eastAsia="Arial" w:hAnsi="Arial"/>
          <w:sz w:val="17"/>
          <w:szCs w:val="17"/>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92" w:lineRule="exact"/>
        <w:rPr>
          <w:sz w:val="20"/>
          <w:szCs w:val="20"/>
          <w:color w:val="auto"/>
        </w:rPr>
      </w:pPr>
    </w:p>
    <w:p>
      <w:pPr>
        <w:ind w:left="360" w:right="100" w:firstLine="535"/>
        <w:spacing w:after="0" w:line="250" w:lineRule="auto"/>
        <w:rPr>
          <w:sz w:val="20"/>
          <w:szCs w:val="20"/>
          <w:color w:val="auto"/>
        </w:rPr>
      </w:pPr>
      <w:r>
        <w:rPr>
          <w:rFonts w:ascii="Arial" w:cs="Arial" w:eastAsia="Arial" w:hAnsi="Arial"/>
          <w:sz w:val="17"/>
          <w:szCs w:val="17"/>
          <w:color w:val="auto"/>
        </w:rPr>
        <w:t>We and our executive officers, directors and holders of substantially all of our common stock and securities convertible into or exchangeable for our common stock have agreed or will agree with the underwriters, subject to certain exceptions, not to dispose of or hedge any of our or their common stock or securities convertible into or exchangeable for shares of common stock during the period from</w:t>
      </w:r>
    </w:p>
    <w:p>
      <w:pPr>
        <w:spacing w:after="0" w:line="12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192</w:t>
      </w:r>
    </w:p>
    <w:p>
      <w:pPr>
        <w:sectPr>
          <w:pgSz w:w="11900" w:h="16838" w:orient="portrait"/>
          <w:cols w:equalWidth="0" w:num="1">
            <w:col w:w="11060"/>
          </w:cols>
          <w:pgMar w:left="240" w:top="449" w:right="599" w:bottom="1440" w:gutter="0" w:footer="0" w:header="0"/>
        </w:sectPr>
      </w:pPr>
    </w:p>
    <w:bookmarkStart w:id="194" w:name="page195"/>
    <w:bookmarkEnd w:id="1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jc w:val="both"/>
        <w:ind w:left="360" w:right="80"/>
        <w:spacing w:after="0" w:line="250" w:lineRule="auto"/>
        <w:rPr>
          <w:sz w:val="20"/>
          <w:szCs w:val="20"/>
          <w:color w:val="auto"/>
        </w:rPr>
      </w:pPr>
      <w:r>
        <w:rPr>
          <w:rFonts w:ascii="Arial" w:cs="Arial" w:eastAsia="Arial" w:hAnsi="Arial"/>
          <w:sz w:val="17"/>
          <w:szCs w:val="17"/>
          <w:color w:val="auto"/>
        </w:rPr>
        <w:t>the date of this prospectus continuing through the date 180 days after the date of this prospectus, except with the prior written consent of Goldman Sachs &amp; Co. LLC and Citigroup Global Markets Inc. See the section of this prospectus titled “Shares Eligible for Future Sale” for a discussion of certain transfer restrictions.</w:t>
      </w:r>
    </w:p>
    <w:p>
      <w:pPr>
        <w:spacing w:after="0" w:line="189" w:lineRule="exact"/>
        <w:rPr>
          <w:sz w:val="20"/>
          <w:szCs w:val="20"/>
          <w:color w:val="auto"/>
        </w:rPr>
      </w:pPr>
    </w:p>
    <w:p>
      <w:pPr>
        <w:ind w:left="360" w:firstLine="535"/>
        <w:spacing w:after="0" w:line="242" w:lineRule="auto"/>
        <w:rPr>
          <w:sz w:val="20"/>
          <w:szCs w:val="20"/>
          <w:color w:val="auto"/>
        </w:rPr>
      </w:pPr>
      <w:r>
        <w:rPr>
          <w:rFonts w:ascii="Arial" w:cs="Arial" w:eastAsia="Arial" w:hAnsi="Arial"/>
          <w:sz w:val="17"/>
          <w:szCs w:val="17"/>
          <w:color w:val="auto"/>
        </w:rPr>
        <w:t>At our request, the underwriters have reserved up to 3% of the shares of common stock for sale at the initial public offering price to persons who are directors, officers or employees, or who are otherwise associated with us, through a directed share program. The number of shares of common stock available for sale to the general public will be reduced by the number of directed shares purchased by participants in the program. Except for our officers and directors who have entered into lock-up agreements as contemplated in the immediately preceding paragraphs, each person buying shares through the directed share program has agreed that, for a period of 90 days from the date of this prospectus, he or she will not, without the prior written consent of Goldman Sachs &amp; Co. LLC and Citigroup Global Markets Inc., dispose of or hedge any shares or any securities convertible into or exchangeable for our common shares with respect to shares purchased in the program. For officers and directors purchasing shares through the directed share program, the lock-up agreements contemplated in the immediately preceding paragraphs shall govern with respect to their purchases. Goldman Sachs &amp; Co. LLC and Citigroup Global Markets Inc., in their sole discretion, may release any of the securities subject to these lock-up agreements at any time, which, in the case of officers and directors, shall be with notice. Any directed shares not purchased will be offered by the underwriters to the general public on the same basis as all other shares offered. We have agreed to indemnify the underwriters against certain liabilities and expenses, including liabilities under the Securities Act, in connection with the sales of the directed shares.</w:t>
      </w:r>
    </w:p>
    <w:p>
      <w:pPr>
        <w:spacing w:after="0" w:line="204" w:lineRule="exact"/>
        <w:rPr>
          <w:sz w:val="20"/>
          <w:szCs w:val="20"/>
          <w:color w:val="auto"/>
        </w:rPr>
      </w:pPr>
    </w:p>
    <w:p>
      <w:pPr>
        <w:ind w:left="360" w:right="120" w:firstLine="535"/>
        <w:spacing w:after="0" w:line="247" w:lineRule="auto"/>
        <w:rPr>
          <w:sz w:val="20"/>
          <w:szCs w:val="20"/>
          <w:color w:val="auto"/>
        </w:rPr>
      </w:pPr>
      <w:r>
        <w:rPr>
          <w:rFonts w:ascii="Arial" w:cs="Arial" w:eastAsia="Arial" w:hAnsi="Arial"/>
          <w:sz w:val="17"/>
          <w:szCs w:val="17"/>
          <w:color w:val="auto"/>
        </w:rPr>
        <w:t>Prior to the offering, there was no public market for the shares. The initial public offering price was negotiated among us and the representatives. Among the factors considered in determining the initial public offering price of the shares, in addition to prevailing market conditions, were our historical performance, estimates of our business potential and earnings prospects, an assessment of our management and the consideration of the above factors in relation to market valuation of companies in related businesses.</w:t>
      </w:r>
    </w:p>
    <w:p>
      <w:pPr>
        <w:spacing w:after="0" w:line="192" w:lineRule="exact"/>
        <w:rPr>
          <w:sz w:val="20"/>
          <w:szCs w:val="20"/>
          <w:color w:val="auto"/>
        </w:rPr>
      </w:pPr>
    </w:p>
    <w:p>
      <w:pPr>
        <w:ind w:left="360" w:firstLine="535"/>
        <w:spacing w:after="0" w:line="244" w:lineRule="auto"/>
        <w:rPr>
          <w:sz w:val="20"/>
          <w:szCs w:val="20"/>
          <w:color w:val="auto"/>
        </w:rPr>
      </w:pPr>
      <w:r>
        <w:rPr>
          <w:rFonts w:ascii="Arial" w:cs="Arial" w:eastAsia="Arial" w:hAnsi="Arial"/>
          <w:sz w:val="17"/>
          <w:szCs w:val="17"/>
          <w:color w:val="auto"/>
        </w:rPr>
        <w:t>Certain of our existing principal stockholders and their affiliated entities have indicated an interest in purchasing an aggregate of approximately $53 million in shares of our common stock in this offering at the initial public offering price and on the same terms and conditions as the other purchasers in this offering. However, because indications of interest are not binding agreements or commitments to purchase, the underwriters could determine to sell more, fewer or no shares to any of these potential purchasers, and any of these potential purchasers could determine to purchase more, fewer or no shares in this offering. The underwriters will receive the same underwriting discounts and commissions on any shares purchased by these parties as they will on any other shares sold to the public in this offering.</w:t>
      </w:r>
    </w:p>
    <w:p>
      <w:pPr>
        <w:spacing w:after="0" w:line="39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Our common stock has been approved for listing on The Nasdaq Global Select Market under the symbol “ARVN.”</w:t>
      </w:r>
    </w:p>
    <w:p>
      <w:pPr>
        <w:spacing w:after="0" w:line="211" w:lineRule="exact"/>
        <w:rPr>
          <w:sz w:val="20"/>
          <w:szCs w:val="20"/>
          <w:color w:val="auto"/>
        </w:rPr>
      </w:pPr>
    </w:p>
    <w:p>
      <w:pPr>
        <w:ind w:left="360" w:right="100" w:firstLine="535"/>
        <w:spacing w:after="0" w:line="245" w:lineRule="auto"/>
        <w:rPr>
          <w:sz w:val="20"/>
          <w:szCs w:val="20"/>
          <w:color w:val="auto"/>
        </w:rPr>
      </w:pPr>
      <w:r>
        <w:rPr>
          <w:rFonts w:ascii="Arial" w:cs="Arial" w:eastAsia="Arial" w:hAnsi="Arial"/>
          <w:sz w:val="17"/>
          <w:szCs w:val="17"/>
          <w:color w:val="auto"/>
        </w:rPr>
        <w:t>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w:t>
      </w:r>
    </w:p>
    <w:p>
      <w:pPr>
        <w:spacing w:after="0" w:line="12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193</w:t>
      </w:r>
    </w:p>
    <w:p>
      <w:pPr>
        <w:sectPr>
          <w:pgSz w:w="11900" w:h="16838" w:orient="portrait"/>
          <w:cols w:equalWidth="0" w:num="1">
            <w:col w:w="11060"/>
          </w:cols>
          <w:pgMar w:left="240" w:top="450" w:right="599" w:bottom="1440" w:gutter="0" w:footer="0" w:header="0"/>
        </w:sectPr>
      </w:pPr>
    </w:p>
    <w:bookmarkStart w:id="195" w:name="page196"/>
    <w:bookmarkEnd w:id="1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220"/>
        <w:spacing w:after="0" w:line="244" w:lineRule="auto"/>
        <w:rPr>
          <w:sz w:val="20"/>
          <w:szCs w:val="20"/>
          <w:color w:val="auto"/>
        </w:rPr>
      </w:pPr>
      <w:r>
        <w:rPr>
          <w:rFonts w:ascii="Arial" w:cs="Arial" w:eastAsia="Arial" w:hAnsi="Arial"/>
          <w:sz w:val="17"/>
          <w:szCs w:val="17"/>
          <w:color w:val="auto"/>
        </w:rPr>
        <w:t>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93" w:lineRule="exact"/>
        <w:rPr>
          <w:sz w:val="20"/>
          <w:szCs w:val="20"/>
          <w:color w:val="auto"/>
        </w:rPr>
      </w:pPr>
    </w:p>
    <w:p>
      <w:pPr>
        <w:ind w:left="360" w:right="160" w:firstLine="535"/>
        <w:spacing w:after="0" w:line="250" w:lineRule="auto"/>
        <w:rPr>
          <w:sz w:val="20"/>
          <w:szCs w:val="20"/>
          <w:color w:val="auto"/>
        </w:rPr>
      </w:pPr>
      <w:r>
        <w:rPr>
          <w:rFonts w:ascii="Arial" w:cs="Arial" w:eastAsia="Arial" w:hAnsi="Arial"/>
          <w:sz w:val="17"/>
          <w:szCs w:val="17"/>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9" w:lineRule="exact"/>
        <w:rPr>
          <w:sz w:val="20"/>
          <w:szCs w:val="20"/>
          <w:color w:val="auto"/>
        </w:rPr>
      </w:pPr>
    </w:p>
    <w:p>
      <w:pPr>
        <w:ind w:left="360" w:right="60" w:firstLine="535"/>
        <w:spacing w:after="0" w:line="245" w:lineRule="auto"/>
        <w:rPr>
          <w:sz w:val="20"/>
          <w:szCs w:val="20"/>
          <w:color w:val="auto"/>
        </w:rPr>
      </w:pPr>
      <w:r>
        <w:rPr>
          <w:rFonts w:ascii="Arial" w:cs="Arial" w:eastAsia="Arial" w:hAnsi="Arial"/>
          <w:sz w:val="17"/>
          <w:szCs w:val="17"/>
          <w:color w:val="auto"/>
        </w:rPr>
        <w:t>Purchases to cover a short position and stabilizing transactions, as well as other purchases by the underwriters for their own accounts, may have the effect of preventing or retarding a decline in the market price of our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over-the-counter market or otherwise.</w:t>
      </w:r>
    </w:p>
    <w:p>
      <w:pPr>
        <w:spacing w:after="0" w:line="192" w:lineRule="exact"/>
        <w:rPr>
          <w:sz w:val="20"/>
          <w:szCs w:val="20"/>
          <w:color w:val="auto"/>
        </w:rPr>
      </w:pPr>
    </w:p>
    <w:p>
      <w:pPr>
        <w:ind w:left="360" w:right="540" w:firstLine="535"/>
        <w:spacing w:after="0" w:line="259" w:lineRule="auto"/>
        <w:rPr>
          <w:sz w:val="20"/>
          <w:szCs w:val="20"/>
          <w:color w:val="auto"/>
        </w:rPr>
      </w:pPr>
      <w:r>
        <w:rPr>
          <w:rFonts w:ascii="Arial" w:cs="Arial" w:eastAsia="Arial" w:hAnsi="Arial"/>
          <w:sz w:val="17"/>
          <w:szCs w:val="17"/>
          <w:color w:val="auto"/>
        </w:rPr>
        <w:t>We estimate that the expenses payable by us in this offering, excluding underwriting discounts and commissions, will be approximately $3.1 million. We have agreed to reimburse the underwriters for certain of their expenses in an amount up to $40,000.</w:t>
      </w:r>
    </w:p>
    <w:p>
      <w:pPr>
        <w:spacing w:after="0" w:line="18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We have agreed to indemnify the several underwriters against certain liabilities, including liabilities under the Securities Act of 1933.</w:t>
      </w:r>
    </w:p>
    <w:p>
      <w:pPr>
        <w:spacing w:after="0" w:line="211" w:lineRule="exact"/>
        <w:rPr>
          <w:sz w:val="20"/>
          <w:szCs w:val="20"/>
          <w:color w:val="auto"/>
        </w:rPr>
      </w:pPr>
    </w:p>
    <w:p>
      <w:pPr>
        <w:ind w:left="360" w:right="80" w:firstLine="535"/>
        <w:spacing w:after="0" w:line="245"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95" w:lineRule="exact"/>
        <w:rPr>
          <w:sz w:val="20"/>
          <w:szCs w:val="20"/>
          <w:color w:val="auto"/>
        </w:rPr>
      </w:pPr>
    </w:p>
    <w:p>
      <w:pPr>
        <w:ind w:left="360" w:right="280" w:firstLine="535"/>
        <w:spacing w:after="0" w:line="244"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or instruments of the issuer (directly, as collateral securing other obligations or otherwise) or persons and entities with relationships with the issuer.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2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194</w:t>
      </w:r>
    </w:p>
    <w:p>
      <w:pPr>
        <w:sectPr>
          <w:pgSz w:w="11900" w:h="16838" w:orient="portrait"/>
          <w:cols w:equalWidth="0" w:num="1">
            <w:col w:w="11060"/>
          </w:cols>
          <w:pgMar w:left="240" w:top="450" w:right="599" w:bottom="1440" w:gutter="0" w:footer="0" w:header="0"/>
        </w:sectPr>
      </w:pPr>
    </w:p>
    <w:bookmarkStart w:id="196" w:name="page197"/>
    <w:bookmarkEnd w:id="1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40" w:firstLine="535"/>
        <w:spacing w:after="0" w:line="244"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381"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European Economic Area</w:t>
      </w:r>
    </w:p>
    <w:p>
      <w:pPr>
        <w:spacing w:after="0" w:line="233" w:lineRule="exact"/>
        <w:rPr>
          <w:sz w:val="20"/>
          <w:szCs w:val="20"/>
          <w:color w:val="auto"/>
        </w:rPr>
      </w:pPr>
    </w:p>
    <w:p>
      <w:pPr>
        <w:ind w:left="360" w:firstLine="535"/>
        <w:spacing w:after="0" w:line="247"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(each, a “Relevant Member State”) an offer to the public of our common stock may not be made in that Relevant Member State, except that an offer to the public in that Relevant Member State of our common stock may be made at any time under the following exemptions under the Prospectus Directive:</w:t>
      </w:r>
    </w:p>
    <w:p>
      <w:pPr>
        <w:spacing w:after="0" w:line="100" w:lineRule="exact"/>
        <w:rPr>
          <w:sz w:val="20"/>
          <w:szCs w:val="20"/>
          <w:color w:val="auto"/>
        </w:rPr>
      </w:pPr>
    </w:p>
    <w:p>
      <w:pPr>
        <w:ind w:left="1100" w:hanging="210"/>
        <w:spacing w:after="0"/>
        <w:tabs>
          <w:tab w:leader="none" w:pos="11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in the Prospectus Directive;</w:t>
      </w:r>
    </w:p>
    <w:p>
      <w:pPr>
        <w:spacing w:after="0" w:line="119" w:lineRule="exact"/>
        <w:rPr>
          <w:rFonts w:ascii="Arial" w:cs="Arial" w:eastAsia="Arial" w:hAnsi="Arial"/>
          <w:sz w:val="17"/>
          <w:szCs w:val="17"/>
          <w:color w:val="auto"/>
        </w:rPr>
      </w:pPr>
    </w:p>
    <w:p>
      <w:pPr>
        <w:ind w:left="1100" w:right="460" w:hanging="210"/>
        <w:spacing w:after="0" w:line="259" w:lineRule="auto"/>
        <w:tabs>
          <w:tab w:leader="none" w:pos="11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in the Prospectus Directive), subject to obtaining the prior consent of the Representatives for any such offer; or</w:t>
      </w:r>
    </w:p>
    <w:p>
      <w:pPr>
        <w:spacing w:after="0" w:line="89" w:lineRule="exact"/>
        <w:rPr>
          <w:rFonts w:ascii="Arial" w:cs="Arial" w:eastAsia="Arial" w:hAnsi="Arial"/>
          <w:sz w:val="17"/>
          <w:szCs w:val="17"/>
          <w:color w:val="auto"/>
        </w:rPr>
      </w:pPr>
    </w:p>
    <w:p>
      <w:pPr>
        <w:ind w:left="1100" w:hanging="210"/>
        <w:spacing w:after="0"/>
        <w:tabs>
          <w:tab w:leader="none" w:pos="11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3(2) of the Prospectus Directive;</w:t>
      </w:r>
    </w:p>
    <w:p>
      <w:pPr>
        <w:spacing w:after="0" w:line="193" w:lineRule="exact"/>
        <w:rPr>
          <w:sz w:val="20"/>
          <w:szCs w:val="20"/>
          <w:color w:val="auto"/>
        </w:rPr>
      </w:pPr>
    </w:p>
    <w:p>
      <w:pPr>
        <w:ind w:left="360" w:right="20"/>
        <w:spacing w:after="0" w:line="281"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no such offer or shares of our common stock shall require us or any underwriter to publish a prospectus pursuant to Article 3</w:t>
      </w:r>
      <w:r>
        <w:rPr>
          <w:rFonts w:ascii="Arial" w:cs="Arial" w:eastAsia="Arial" w:hAnsi="Arial"/>
          <w:sz w:val="17"/>
          <w:szCs w:val="17"/>
          <w:i w:val="1"/>
          <w:iCs w:val="1"/>
          <w:color w:val="auto"/>
        </w:rPr>
        <w:t xml:space="preserve"> </w:t>
      </w:r>
      <w:r>
        <w:rPr>
          <w:rFonts w:ascii="Arial" w:cs="Arial" w:eastAsia="Arial" w:hAnsi="Arial"/>
          <w:sz w:val="17"/>
          <w:szCs w:val="17"/>
          <w:color w:val="auto"/>
        </w:rPr>
        <w:t>of the Prospectus Directive.</w:t>
      </w:r>
    </w:p>
    <w:p>
      <w:pPr>
        <w:spacing w:after="0" w:line="163" w:lineRule="exact"/>
        <w:rPr>
          <w:sz w:val="20"/>
          <w:szCs w:val="20"/>
          <w:color w:val="auto"/>
        </w:rPr>
      </w:pPr>
    </w:p>
    <w:p>
      <w:pPr>
        <w:ind w:left="360" w:firstLine="535"/>
        <w:spacing w:after="0" w:line="245" w:lineRule="auto"/>
        <w:rPr>
          <w:sz w:val="20"/>
          <w:szCs w:val="20"/>
          <w:color w:val="auto"/>
        </w:rPr>
      </w:pPr>
      <w:r>
        <w:rPr>
          <w:rFonts w:ascii="Arial" w:cs="Arial" w:eastAsia="Arial" w:hAnsi="Arial"/>
          <w:sz w:val="17"/>
          <w:szCs w:val="17"/>
          <w:color w:val="auto"/>
        </w:rPr>
        <w:t>For the purposes of this provision, the expression an “offer to public” in relation to our common stock in any Relevant Member State means the communication in any form and by any means of sufficient information on the terms of the offer and our common stock to be offered so as to enable an investor to decide to purchase our common stock, as the same may be varied in that Member State by any measure implementing the Prospectus Directive in that Member State, and the expression “Prospectus Directive” means Directive 2003/71/EC (as amended), including by Directive 2010/73/EU and includes any relevant implementing measure in the Relevant Member State.</w:t>
      </w:r>
    </w:p>
    <w:p>
      <w:pPr>
        <w:spacing w:after="0" w:line="19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This European Economic Area selling restriction is in addition to any other selling restrictions set out below.</w:t>
      </w:r>
    </w:p>
    <w:p>
      <w:pPr>
        <w:spacing w:after="0" w:line="294"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United Kingdom</w:t>
      </w:r>
    </w:p>
    <w:p>
      <w:pPr>
        <w:spacing w:after="0" w:line="233" w:lineRule="exact"/>
        <w:rPr>
          <w:sz w:val="20"/>
          <w:szCs w:val="20"/>
          <w:color w:val="auto"/>
        </w:rPr>
      </w:pPr>
    </w:p>
    <w:p>
      <w:pPr>
        <w:ind w:left="360" w:right="40" w:firstLine="535"/>
        <w:spacing w:after="0" w:line="245" w:lineRule="auto"/>
        <w:rPr>
          <w:sz w:val="20"/>
          <w:szCs w:val="20"/>
          <w:color w:val="auto"/>
        </w:rPr>
      </w:pPr>
      <w:r>
        <w:rPr>
          <w:rFonts w:ascii="Arial" w:cs="Arial" w:eastAsia="Arial" w:hAnsi="Arial"/>
          <w:sz w:val="17"/>
          <w:szCs w:val="17"/>
          <w:color w:val="auto"/>
        </w:rPr>
        <w:t>In the United Kingdom, this prospectus is only addressed to and directed at qualified investors who are (i) investment professionals falling within Article 19(5) of the Financial Services and Markets Act 2000 (Financial Promotion) Order 2005 (the Order); or (ii) high net worth entities and other persons to whom it may lawfully be communicated, falling within Article 49(2)(a) to (d) of the Order (all such persons together being referred to as “relevant persons”). Any investment or investment activity to which this prospectus relates is available only to relevant persons and will only be engaged in with relevant persons. Any person who is not a relevant person should not act or rely on this prospectus or any of its contents.</w:t>
      </w:r>
    </w:p>
    <w:p>
      <w:pPr>
        <w:spacing w:after="0" w:line="12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195</w:t>
      </w:r>
    </w:p>
    <w:p>
      <w:pPr>
        <w:sectPr>
          <w:pgSz w:w="11900" w:h="16838" w:orient="portrait"/>
          <w:cols w:equalWidth="0" w:num="1">
            <w:col w:w="11040"/>
          </w:cols>
          <w:pgMar w:left="240" w:top="450" w:right="619" w:bottom="1440" w:gutter="0" w:footer="0" w:header="0"/>
        </w:sectPr>
      </w:pPr>
    </w:p>
    <w:bookmarkStart w:id="197" w:name="page198"/>
    <w:bookmarkEnd w:id="1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Canada</w:t>
      </w:r>
    </w:p>
    <w:p>
      <w:pPr>
        <w:spacing w:after="0" w:line="233" w:lineRule="exact"/>
        <w:rPr>
          <w:sz w:val="20"/>
          <w:szCs w:val="20"/>
          <w:color w:val="auto"/>
        </w:rPr>
      </w:pPr>
    </w:p>
    <w:p>
      <w:pPr>
        <w:ind w:left="360" w:right="80" w:firstLine="535"/>
        <w:spacing w:after="0" w:line="245" w:lineRule="auto"/>
        <w:rPr>
          <w:sz w:val="20"/>
          <w:szCs w:val="20"/>
          <w:color w:val="auto"/>
        </w:rPr>
      </w:pPr>
      <w:r>
        <w:rPr>
          <w:rFonts w:ascii="Arial" w:cs="Arial" w:eastAsia="Arial" w:hAnsi="Arial"/>
          <w:sz w:val="17"/>
          <w:szCs w:val="17"/>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95" w:lineRule="exact"/>
        <w:rPr>
          <w:sz w:val="20"/>
          <w:szCs w:val="20"/>
          <w:color w:val="auto"/>
        </w:rPr>
      </w:pPr>
    </w:p>
    <w:p>
      <w:pPr>
        <w:ind w:left="360" w:right="20" w:firstLine="535"/>
        <w:spacing w:after="0" w:line="245"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95" w:lineRule="exact"/>
        <w:rPr>
          <w:sz w:val="20"/>
          <w:szCs w:val="20"/>
          <w:color w:val="auto"/>
        </w:rPr>
      </w:pPr>
    </w:p>
    <w:p>
      <w:pPr>
        <w:ind w:left="360" w:right="380" w:firstLine="535"/>
        <w:spacing w:after="0" w:line="259" w:lineRule="auto"/>
        <w:rPr>
          <w:sz w:val="20"/>
          <w:szCs w:val="20"/>
          <w:color w:val="auto"/>
        </w:rPr>
      </w:pPr>
      <w:r>
        <w:rPr>
          <w:rFonts w:ascii="Arial" w:cs="Arial" w:eastAsia="Arial" w:hAnsi="Arial"/>
          <w:sz w:val="17"/>
          <w:szCs w:val="17"/>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4"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Hong Kong</w:t>
      </w:r>
    </w:p>
    <w:p>
      <w:pPr>
        <w:spacing w:after="0" w:line="233" w:lineRule="exact"/>
        <w:rPr>
          <w:sz w:val="20"/>
          <w:szCs w:val="20"/>
          <w:color w:val="auto"/>
        </w:rPr>
      </w:pPr>
    </w:p>
    <w:p>
      <w:pPr>
        <w:ind w:left="360" w:right="40" w:firstLine="535"/>
        <w:spacing w:after="0" w:line="243" w:lineRule="auto"/>
        <w:rPr>
          <w:sz w:val="20"/>
          <w:szCs w:val="20"/>
          <w:color w:val="auto"/>
        </w:rPr>
      </w:pPr>
      <w:r>
        <w:rPr>
          <w:rFonts w:ascii="Arial" w:cs="Arial" w:eastAsia="Arial" w:hAnsi="Arial"/>
          <w:sz w:val="17"/>
          <w:szCs w:val="17"/>
          <w:color w:val="auto"/>
        </w:rPr>
        <w:t>The securities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securities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79"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Singapore</w:t>
      </w:r>
    </w:p>
    <w:p>
      <w:pPr>
        <w:spacing w:after="0" w:line="233" w:lineRule="exact"/>
        <w:rPr>
          <w:sz w:val="20"/>
          <w:szCs w:val="20"/>
          <w:color w:val="auto"/>
        </w:rPr>
      </w:pPr>
    </w:p>
    <w:p>
      <w:pPr>
        <w:ind w:left="360" w:firstLine="535"/>
        <w:spacing w:after="0" w:line="244"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27"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196</w:t>
      </w:r>
    </w:p>
    <w:p>
      <w:pPr>
        <w:sectPr>
          <w:pgSz w:w="11900" w:h="16838" w:orient="portrait"/>
          <w:cols w:equalWidth="0" w:num="1">
            <w:col w:w="11040"/>
          </w:cols>
          <w:pgMar w:left="240" w:top="450" w:right="619" w:bottom="1440" w:gutter="0" w:footer="0" w:header="0"/>
        </w:sectPr>
      </w:pPr>
    </w:p>
    <w:bookmarkStart w:id="198" w:name="page199"/>
    <w:bookmarkEnd w:id="1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60" w:firstLine="535"/>
        <w:spacing w:after="0" w:line="243" w:lineRule="auto"/>
        <w:rPr>
          <w:sz w:val="20"/>
          <w:szCs w:val="20"/>
          <w:color w:val="auto"/>
        </w:rPr>
      </w:pPr>
      <w:r>
        <w:rPr>
          <w:rFonts w:ascii="Arial" w:cs="Arial" w:eastAsia="Arial" w:hAnsi="Arial"/>
          <w:sz w:val="17"/>
          <w:szCs w:val="17"/>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98" w:lineRule="exact"/>
        <w:rPr>
          <w:sz w:val="20"/>
          <w:szCs w:val="20"/>
          <w:color w:val="auto"/>
        </w:rPr>
      </w:pPr>
    </w:p>
    <w:p>
      <w:pPr>
        <w:ind w:left="360" w:right="20" w:firstLine="535"/>
        <w:spacing w:after="0" w:line="243" w:lineRule="auto"/>
        <w:rPr>
          <w:sz w:val="20"/>
          <w:szCs w:val="20"/>
          <w:color w:val="auto"/>
        </w:rPr>
      </w:pPr>
      <w:r>
        <w:rPr>
          <w:rFonts w:ascii="Arial" w:cs="Arial" w:eastAsia="Arial" w:hAnsi="Arial"/>
          <w:sz w:val="17"/>
          <w:szCs w:val="17"/>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200" w:lineRule="exact"/>
        <w:rPr>
          <w:sz w:val="20"/>
          <w:szCs w:val="20"/>
          <w:color w:val="auto"/>
        </w:rPr>
      </w:pPr>
    </w:p>
    <w:p>
      <w:pPr>
        <w:spacing w:after="0" w:line="279"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Japan</w:t>
      </w:r>
    </w:p>
    <w:p>
      <w:pPr>
        <w:spacing w:after="0" w:line="233" w:lineRule="exact"/>
        <w:rPr>
          <w:sz w:val="20"/>
          <w:szCs w:val="20"/>
          <w:color w:val="auto"/>
        </w:rPr>
      </w:pPr>
    </w:p>
    <w:p>
      <w:pPr>
        <w:ind w:left="360" w:right="100" w:firstLine="535"/>
        <w:spacing w:after="0" w:line="245" w:lineRule="auto"/>
        <w:rPr>
          <w:sz w:val="20"/>
          <w:szCs w:val="20"/>
          <w:color w:val="auto"/>
        </w:rPr>
      </w:pPr>
      <w:r>
        <w:rPr>
          <w:rFonts w:ascii="Arial" w:cs="Arial" w:eastAsia="Arial" w:hAnsi="Arial"/>
          <w:sz w:val="17"/>
          <w:szCs w:val="17"/>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78"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Australia</w:t>
      </w:r>
    </w:p>
    <w:p>
      <w:pPr>
        <w:spacing w:after="0" w:line="233" w:lineRule="exact"/>
        <w:rPr>
          <w:sz w:val="20"/>
          <w:szCs w:val="20"/>
          <w:color w:val="auto"/>
        </w:rPr>
      </w:pPr>
    </w:p>
    <w:p>
      <w:pPr>
        <w:ind w:left="360" w:firstLine="535"/>
        <w:spacing w:after="0" w:line="246"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(“ASIC”), in relation to the offering. This offering document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392" w:lineRule="exact"/>
        <w:rPr>
          <w:sz w:val="20"/>
          <w:szCs w:val="20"/>
          <w:color w:val="auto"/>
        </w:rPr>
      </w:pPr>
    </w:p>
    <w:p>
      <w:pPr>
        <w:ind w:left="360" w:right="20" w:firstLine="535"/>
        <w:spacing w:after="0" w:line="247" w:lineRule="auto"/>
        <w:rPr>
          <w:sz w:val="20"/>
          <w:szCs w:val="20"/>
          <w:color w:val="auto"/>
        </w:rPr>
      </w:pPr>
      <w:r>
        <w:rPr>
          <w:rFonts w:ascii="Arial" w:cs="Arial" w:eastAsia="Arial" w:hAnsi="Arial"/>
          <w:sz w:val="17"/>
          <w:szCs w:val="17"/>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2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197</w:t>
      </w:r>
    </w:p>
    <w:p>
      <w:pPr>
        <w:sectPr>
          <w:pgSz w:w="11900" w:h="16838" w:orient="portrait"/>
          <w:cols w:equalWidth="0" w:num="1">
            <w:col w:w="11040"/>
          </w:cols>
          <w:pgMar w:left="240" w:top="450" w:right="619" w:bottom="1440" w:gutter="0" w:footer="0" w:header="0"/>
        </w:sectPr>
      </w:pPr>
    </w:p>
    <w:bookmarkStart w:id="199" w:name="page200"/>
    <w:bookmarkEnd w:id="1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firstLine="535"/>
        <w:spacing w:after="0" w:line="245" w:lineRule="auto"/>
        <w:rPr>
          <w:sz w:val="20"/>
          <w:szCs w:val="20"/>
          <w:color w:val="auto"/>
        </w:rPr>
      </w:pPr>
      <w:r>
        <w:rPr>
          <w:rFonts w:ascii="Arial" w:cs="Arial" w:eastAsia="Arial" w:hAnsi="Arial"/>
          <w:sz w:val="17"/>
          <w:szCs w:val="17"/>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95" w:lineRule="exact"/>
        <w:rPr>
          <w:sz w:val="20"/>
          <w:szCs w:val="20"/>
          <w:color w:val="auto"/>
        </w:rPr>
      </w:pPr>
    </w:p>
    <w:p>
      <w:pPr>
        <w:ind w:left="360" w:firstLine="535"/>
        <w:spacing w:after="0" w:line="247" w:lineRule="auto"/>
        <w:rPr>
          <w:sz w:val="20"/>
          <w:szCs w:val="20"/>
          <w:color w:val="auto"/>
        </w:rPr>
      </w:pPr>
      <w:r>
        <w:rPr>
          <w:rFonts w:ascii="Arial" w:cs="Arial" w:eastAsia="Arial" w:hAnsi="Arial"/>
          <w:sz w:val="17"/>
          <w:szCs w:val="17"/>
          <w:color w:val="auto"/>
        </w:rPr>
        <w:t>This offering document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offering document is appropriate to their needs, objectives and circumstances, and, if necessary, seek expert advice on those matters.</w:t>
      </w:r>
    </w:p>
    <w:p>
      <w:pPr>
        <w:spacing w:after="0" w:line="274"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Dubai International Financial Centre</w:t>
      </w:r>
    </w:p>
    <w:p>
      <w:pPr>
        <w:spacing w:after="0" w:line="233" w:lineRule="exact"/>
        <w:rPr>
          <w:sz w:val="20"/>
          <w:szCs w:val="20"/>
          <w:color w:val="auto"/>
        </w:rPr>
      </w:pPr>
    </w:p>
    <w:p>
      <w:pPr>
        <w:ind w:left="360" w:firstLine="535"/>
        <w:spacing w:after="0" w:line="244" w:lineRule="auto"/>
        <w:rPr>
          <w:sz w:val="20"/>
          <w:szCs w:val="20"/>
          <w:color w:val="auto"/>
        </w:rPr>
      </w:pPr>
      <w:r>
        <w:rPr>
          <w:rFonts w:ascii="Arial" w:cs="Arial" w:eastAsia="Arial" w:hAnsi="Arial"/>
          <w:sz w:val="17"/>
          <w:szCs w:val="17"/>
          <w:color w:val="auto"/>
        </w:rPr>
        <w:t>This offering document relates to an Exempt Offer in accordance with the Offered Securities Rules of the Dubai Financial Services Authority (“DFSA”). This offering document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in this prospectus and has no responsibility for the offering document. The securities to which this offering document relates may be illiquid and/or subject to restrictions on their resale. Prospective purchasers of the securities offered should conduct their own due diligence on the securities. If you do not understand the contents of this offering document you should consult an authorized financial advisor.</w:t>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Switzerland</w:t>
      </w:r>
    </w:p>
    <w:p>
      <w:pPr>
        <w:spacing w:after="0" w:line="233" w:lineRule="exact"/>
        <w:rPr>
          <w:sz w:val="20"/>
          <w:szCs w:val="20"/>
          <w:color w:val="auto"/>
        </w:rPr>
      </w:pPr>
    </w:p>
    <w:p>
      <w:pPr>
        <w:ind w:left="360" w:firstLine="535"/>
        <w:spacing w:after="0" w:line="242" w:lineRule="auto"/>
        <w:rPr>
          <w:sz w:val="20"/>
          <w:szCs w:val="20"/>
          <w:color w:val="auto"/>
        </w:rPr>
      </w:pPr>
      <w:r>
        <w:rPr>
          <w:rFonts w:ascii="Arial" w:cs="Arial" w:eastAsia="Arial" w:hAnsi="Arial"/>
          <w:sz w:val="17"/>
          <w:szCs w:val="17"/>
          <w:color w:val="auto"/>
        </w:rPr>
        <w:t>We have not and will not register with the Swiss Financial Market Supervisory Authority (“FINMA”) as a foreign collective investment scheme pursuant to Article 119 of the Federal Act on Collective Investment Scheme of 23 June 2006, as amended (“CISA”), and accordingly the securities being offered pursuant to this prospectus have not and will not be approved, and may not be licenseable, with FINMA. Therefore, the securities have not been authorized for distribution by FINMA as a foreign collective investment scheme pursuant to Article 119 CISA and the securities offered hereby may not be offered to the public (as this term is defined in Article 3 CISA) in or from Switzerland. The securities may solely be offered to “qualified investors,” as this term is defined in Article 10 CISA, and in the circumstances set out in Article 3 of the Ordinance on Collective Investment Scheme of 22 November 2006, as amended (“CISO”), such that there is no public offer. Investors, however, do not benefit from protection under CISA or CISO or supervision by FINMA. This prospectus and any other materials relating to the securities are strictly personal and confidential to each offeree and do not constitute an offer to any other person. This prospectus may only be used by those qualified investors to whom it has been handed out in connection with the offer described in this prospectus and may neither directly or indirectly be distributed or made available to any person or entity other than its recipients. It may not be used in connection with any other offer and shall in particular not be copied and/or distributed to the public in Switzerland or from Switzerland. This prospectus does not constitute an issue prospectus as that term is understood pursuant to Article 652a and/or 1156 of the Swiss Federal Code of Obligations. We have not applied for a listing of the securities on the SIX Swiss Exchange or any other regulated securities market in Switzerland, and consequently, the information presented in this prospectus does not necessarily comply with the information standards set out in the listing rules of the SIX Swiss Exchange and corresponding prospectus schemes annexed to the listing rules of the SIX Swiss Exchange.</w:t>
      </w:r>
    </w:p>
    <w:p>
      <w:pPr>
        <w:spacing w:after="0" w:line="333"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198</w:t>
      </w:r>
    </w:p>
    <w:p>
      <w:pPr>
        <w:sectPr>
          <w:pgSz w:w="11900" w:h="16838" w:orient="portrait"/>
          <w:cols w:equalWidth="0" w:num="1">
            <w:col w:w="11020"/>
          </w:cols>
          <w:pgMar w:left="240" w:top="450" w:right="639" w:bottom="1440" w:gutter="0" w:footer="0" w:header="0"/>
        </w:sectPr>
      </w:pPr>
    </w:p>
    <w:bookmarkStart w:id="200" w:name="page201"/>
    <w:bookmarkEnd w:id="2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LEGAL MATTERS</w:t>
      </w:r>
    </w:p>
    <w:p>
      <w:pPr>
        <w:spacing w:after="0" w:line="233" w:lineRule="exact"/>
        <w:rPr>
          <w:sz w:val="20"/>
          <w:szCs w:val="20"/>
          <w:color w:val="auto"/>
        </w:rPr>
      </w:pPr>
    </w:p>
    <w:p>
      <w:pPr>
        <w:ind w:left="360" w:right="300" w:firstLine="535"/>
        <w:spacing w:after="0" w:line="259" w:lineRule="auto"/>
        <w:rPr>
          <w:sz w:val="20"/>
          <w:szCs w:val="20"/>
          <w:color w:val="auto"/>
        </w:rPr>
      </w:pPr>
      <w:r>
        <w:rPr>
          <w:rFonts w:ascii="Arial" w:cs="Arial" w:eastAsia="Arial" w:hAnsi="Arial"/>
          <w:sz w:val="17"/>
          <w:szCs w:val="17"/>
          <w:color w:val="auto"/>
        </w:rPr>
        <w:t>The validity of the shares of our common stock offered hereby is being passed upon for us by Wilmer Cutler Pickering Hale and Dorr LLP. Goodwin Procter LLP is acting as counsel for the underwriters in connection with this offering.</w:t>
      </w:r>
    </w:p>
    <w:p>
      <w:pPr>
        <w:spacing w:after="0" w:line="369"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EXPERTS</w:t>
      </w:r>
    </w:p>
    <w:p>
      <w:pPr>
        <w:spacing w:after="0" w:line="233" w:lineRule="exact"/>
        <w:rPr>
          <w:sz w:val="20"/>
          <w:szCs w:val="20"/>
          <w:color w:val="auto"/>
        </w:rPr>
      </w:pPr>
    </w:p>
    <w:p>
      <w:pPr>
        <w:ind w:left="360" w:right="80" w:firstLine="535"/>
        <w:spacing w:after="0" w:line="247" w:lineRule="auto"/>
        <w:rPr>
          <w:sz w:val="20"/>
          <w:szCs w:val="20"/>
          <w:color w:val="auto"/>
        </w:rPr>
      </w:pPr>
      <w:r>
        <w:rPr>
          <w:rFonts w:ascii="Arial" w:cs="Arial" w:eastAsia="Arial" w:hAnsi="Arial"/>
          <w:sz w:val="17"/>
          <w:szCs w:val="17"/>
          <w:color w:val="auto"/>
        </w:rPr>
        <w:t>The financial statements as of December 31, 2017 and 2016 and for each of two years in the period ended December 31, 2017 included in this prospectus have been audited by Deloitte &amp; Touche LLP, an independent registered public accounting firm, as stated in their report appearing herein. Such financial statements are included in reliance upon the report of such firm given upon their authority as experts in accounting and auditing.</w:t>
      </w:r>
    </w:p>
    <w:p>
      <w:pPr>
        <w:spacing w:after="0" w:line="379"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WHERE YOU CAN FIND MORE INFORMATION</w:t>
      </w:r>
    </w:p>
    <w:p>
      <w:pPr>
        <w:spacing w:after="0" w:line="233" w:lineRule="exact"/>
        <w:rPr>
          <w:sz w:val="20"/>
          <w:szCs w:val="20"/>
          <w:color w:val="auto"/>
        </w:rPr>
      </w:pPr>
    </w:p>
    <w:p>
      <w:pPr>
        <w:ind w:left="360" w:firstLine="535"/>
        <w:spacing w:after="0" w:line="244"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our common stock we are offering to sell. This prospectus, which constitutes part of the registration statement, does not include all of the information contained in the registration statement and the exhibits, schedules and amendments to the registration statement. For further information with respect to us and our common stock, we refer you to the registration statement and to the exhibits and schedules to the registration statement. Statements contained in this prospectus about the contents of any contract, agreement or other document are not necessarily complete, and, in each instance, we refer you to the copy of the contract, agreement or other document filed as an exhibit to the registration statement. Each of these statements is qualified in all respects by this reference to such contract, agreement or document.</w:t>
      </w:r>
    </w:p>
    <w:p>
      <w:pPr>
        <w:spacing w:after="0" w:line="195" w:lineRule="exact"/>
        <w:rPr>
          <w:sz w:val="20"/>
          <w:szCs w:val="20"/>
          <w:color w:val="auto"/>
        </w:rPr>
      </w:pPr>
    </w:p>
    <w:p>
      <w:pPr>
        <w:ind w:left="360" w:firstLine="535"/>
        <w:spacing w:after="0" w:line="244" w:lineRule="auto"/>
        <w:rPr>
          <w:sz w:val="20"/>
          <w:szCs w:val="20"/>
          <w:color w:val="auto"/>
        </w:rPr>
      </w:pPr>
      <w:r>
        <w:rPr>
          <w:rFonts w:ascii="Arial" w:cs="Arial" w:eastAsia="Arial" w:hAnsi="Arial"/>
          <w:sz w:val="17"/>
          <w:szCs w:val="17"/>
          <w:color w:val="auto"/>
        </w:rPr>
        <w:t xml:space="preserve">You may read and copy the registration statement of which this prospectus is a part at the SEC’s public reference room, which is located at 100 F Street, N.E., Room 1580, Washington, DC 20549. You can request copies of the registration statement by writing to the Securities and Exchange Commission and paying a fee for the copying cost. Please call the SEC at 1-800-SEC-0330 for more information about the operation of the SEC’s public reference room. In addition, the SEC maintains an Internet website, which is located at </w:t>
      </w:r>
      <w:r>
        <w:rPr>
          <w:rFonts w:ascii="Arial" w:cs="Arial" w:eastAsia="Arial" w:hAnsi="Arial"/>
          <w:sz w:val="17"/>
          <w:szCs w:val="17"/>
          <w:i w:val="1"/>
          <w:iCs w:val="1"/>
          <w:color w:val="auto"/>
        </w:rPr>
        <w:t>www.sec.gov</w:t>
      </w:r>
      <w:r>
        <w:rPr>
          <w:rFonts w:ascii="Arial" w:cs="Arial" w:eastAsia="Arial" w:hAnsi="Arial"/>
          <w:sz w:val="17"/>
          <w:szCs w:val="17"/>
          <w:color w:val="auto"/>
        </w:rPr>
        <w:t>, that contains reports, proxy and information statements and other information regarding issuers that file electronically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 SEC. You may access the registration statement of which this prospectus is a part at the SEC’s Internet website. Upon completion of this offering, we will be subject to the information reporting requirements of the Securities Exchange Act of 1934, and we will file reports, proxy statements and other information with the SEC.</w:t>
      </w:r>
    </w:p>
    <w:p>
      <w:pPr>
        <w:spacing w:after="0" w:line="127"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199</w:t>
      </w:r>
    </w:p>
    <w:p>
      <w:pPr>
        <w:sectPr>
          <w:pgSz w:w="11900" w:h="16838" w:orient="portrait"/>
          <w:cols w:equalWidth="0" w:num="1">
            <w:col w:w="11020"/>
          </w:cols>
          <w:pgMar w:left="240" w:top="450" w:right="639" w:bottom="1440" w:gutter="0" w:footer="0" w:header="0"/>
        </w:sectPr>
      </w:pPr>
    </w:p>
    <w:bookmarkStart w:id="201" w:name="page202"/>
    <w:bookmarkEnd w:id="201"/>
    <w:tbl>
      <w:tblPr>
        <w:tblLayout w:type="fixed"/>
        <w:tblInd w:w="0" w:type="dxa"/>
        <w:tblCellMar>
          <w:top w:w="0" w:type="dxa"/>
          <w:left w:w="0" w:type="dxa"/>
          <w:bottom w:w="0" w:type="dxa"/>
          <w:right w:w="0" w:type="dxa"/>
        </w:tblCellMar>
      </w:tblPr>
      <w:tr>
        <w:trPr>
          <w:trHeight w:val="195"/>
        </w:trPr>
        <w:tc>
          <w:tcPr>
            <w:tcW w:w="9500" w:type="dxa"/>
            <w:vAlign w:val="bottom"/>
            <w:gridSpan w:val="14"/>
          </w:tcPr>
          <w:p>
            <w:pPr>
              <w:spacing w:after="0"/>
              <w:rPr>
                <w:rFonts w:ascii="Arial" w:cs="Arial" w:eastAsia="Arial" w:hAnsi="Arial"/>
                <w:sz w:val="17"/>
                <w:szCs w:val="17"/>
                <w:b w:val="1"/>
                <w:bCs w:val="1"/>
                <w:color w:val="0000EE"/>
              </w:rPr>
            </w:pPr>
            <w:hyperlink w:anchor="page2">
              <w:r>
                <w:rPr>
                  <w:rFonts w:ascii="Arial" w:cs="Arial" w:eastAsia="Arial" w:hAnsi="Arial"/>
                  <w:sz w:val="17"/>
                  <w:szCs w:val="17"/>
                  <w:b w:val="1"/>
                  <w:bCs w:val="1"/>
                  <w:color w:val="0000EE"/>
                </w:rPr>
                <w:t>Table of Contents</w:t>
              </w:r>
            </w:hyperlink>
          </w:p>
        </w:tc>
        <w:tc>
          <w:tcPr>
            <w:tcW w:w="1520" w:type="dxa"/>
            <w:vAlign w:val="bottom"/>
          </w:tcPr>
          <w:p>
            <w:pPr>
              <w:spacing w:after="0"/>
              <w:rPr>
                <w:sz w:val="16"/>
                <w:szCs w:val="16"/>
                <w:color w:val="auto"/>
              </w:rPr>
            </w:pPr>
          </w:p>
        </w:tc>
      </w:tr>
      <w:tr>
        <w:trPr>
          <w:trHeight w:val="517"/>
        </w:trPr>
        <w:tc>
          <w:tcPr>
            <w:tcW w:w="36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1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20" w:type="dxa"/>
            <w:vAlign w:val="bottom"/>
            <w:gridSpan w:val="10"/>
          </w:tcPr>
          <w:p>
            <w:pPr>
              <w:jc w:val="center"/>
              <w:ind w:right="1560"/>
              <w:spacing w:after="0"/>
              <w:rPr>
                <w:sz w:val="20"/>
                <w:szCs w:val="20"/>
                <w:color w:val="auto"/>
              </w:rPr>
            </w:pPr>
            <w:r>
              <w:rPr>
                <w:rFonts w:ascii="Arial" w:cs="Arial" w:eastAsia="Arial" w:hAnsi="Arial"/>
                <w:sz w:val="17"/>
                <w:szCs w:val="17"/>
                <w:b w:val="1"/>
                <w:bCs w:val="1"/>
                <w:color w:val="auto"/>
              </w:rPr>
              <w:t>INDEX TO CONSOLIDATED FINANCIAL STATEMENTS</w:t>
            </w:r>
          </w:p>
        </w:tc>
        <w:tc>
          <w:tcPr>
            <w:tcW w:w="1520" w:type="dxa"/>
            <w:vAlign w:val="bottom"/>
          </w:tcPr>
          <w:p>
            <w:pPr>
              <w:spacing w:after="0"/>
              <w:rPr>
                <w:sz w:val="24"/>
                <w:szCs w:val="24"/>
                <w:color w:val="auto"/>
              </w:rPr>
            </w:pPr>
          </w:p>
        </w:tc>
      </w:tr>
      <w:tr>
        <w:trPr>
          <w:trHeight w:val="406"/>
        </w:trPr>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40" w:type="dxa"/>
            <w:vAlign w:val="bottom"/>
            <w:gridSpan w:val="11"/>
          </w:tcPr>
          <w:p>
            <w:pPr>
              <w:jc w:val="center"/>
              <w:ind w:right="740"/>
              <w:spacing w:after="0"/>
              <w:rPr>
                <w:sz w:val="20"/>
                <w:szCs w:val="20"/>
                <w:color w:val="auto"/>
              </w:rPr>
            </w:pPr>
            <w:r>
              <w:rPr>
                <w:rFonts w:ascii="Arial" w:cs="Arial" w:eastAsia="Arial" w:hAnsi="Arial"/>
                <w:sz w:val="17"/>
                <w:szCs w:val="17"/>
                <w:b w:val="1"/>
                <w:bCs w:val="1"/>
                <w:color w:val="auto"/>
              </w:rPr>
              <w:t>ARVINAS HOLDING COMPANY, LLC AND SUBSIDIARIES</w:t>
            </w:r>
          </w:p>
        </w:tc>
        <w:tc>
          <w:tcPr>
            <w:tcW w:w="1520" w:type="dxa"/>
            <w:vAlign w:val="bottom"/>
          </w:tcPr>
          <w:p>
            <w:pPr>
              <w:spacing w:after="0"/>
              <w:rPr>
                <w:sz w:val="24"/>
                <w:szCs w:val="24"/>
                <w:color w:val="auto"/>
              </w:rPr>
            </w:pPr>
          </w:p>
        </w:tc>
      </w:tr>
      <w:tr>
        <w:trPr>
          <w:trHeight w:val="511"/>
        </w:trPr>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80" w:type="dxa"/>
            <w:vAlign w:val="bottom"/>
            <w:gridSpan w:val="7"/>
          </w:tcPr>
          <w:p>
            <w:pPr>
              <w:jc w:val="center"/>
              <w:ind w:right="2480"/>
              <w:spacing w:after="0"/>
              <w:rPr>
                <w:sz w:val="20"/>
                <w:szCs w:val="20"/>
                <w:color w:val="auto"/>
              </w:rPr>
            </w:pPr>
            <w:r>
              <w:rPr>
                <w:rFonts w:ascii="Arial" w:cs="Arial" w:eastAsia="Arial" w:hAnsi="Arial"/>
                <w:sz w:val="17"/>
                <w:szCs w:val="17"/>
                <w:b w:val="1"/>
                <w:bCs w:val="1"/>
                <w:color w:val="auto"/>
              </w:rPr>
              <w:t>Index to financial statements</w:t>
            </w:r>
          </w:p>
        </w:tc>
        <w:tc>
          <w:tcPr>
            <w:tcW w:w="1520" w:type="dxa"/>
            <w:vAlign w:val="bottom"/>
          </w:tcPr>
          <w:p>
            <w:pPr>
              <w:spacing w:after="0"/>
              <w:rPr>
                <w:sz w:val="24"/>
                <w:szCs w:val="24"/>
                <w:color w:val="auto"/>
              </w:rPr>
            </w:pPr>
          </w:p>
        </w:tc>
      </w:tr>
      <w:tr>
        <w:trPr>
          <w:trHeight w:val="406"/>
        </w:trPr>
        <w:tc>
          <w:tcPr>
            <w:tcW w:w="360" w:type="dxa"/>
            <w:vAlign w:val="bottom"/>
          </w:tcPr>
          <w:p>
            <w:pPr>
              <w:spacing w:after="0"/>
              <w:rPr>
                <w:sz w:val="24"/>
                <w:szCs w:val="24"/>
                <w:color w:val="auto"/>
              </w:rPr>
            </w:pPr>
          </w:p>
        </w:tc>
        <w:tc>
          <w:tcPr>
            <w:tcW w:w="9140" w:type="dxa"/>
            <w:vAlign w:val="bottom"/>
            <w:gridSpan w:val="13"/>
          </w:tcPr>
          <w:p>
            <w:pPr>
              <w:spacing w:after="0"/>
              <w:rPr>
                <w:sz w:val="20"/>
                <w:szCs w:val="20"/>
                <w:color w:val="auto"/>
              </w:rPr>
            </w:pPr>
            <w:r>
              <w:rPr>
                <w:rFonts w:ascii="Arial" w:cs="Arial" w:eastAsia="Arial" w:hAnsi="Arial"/>
                <w:sz w:val="17"/>
                <w:szCs w:val="17"/>
                <w:b w:val="1"/>
                <w:bCs w:val="1"/>
                <w:color w:val="auto"/>
              </w:rPr>
              <w:t>Audited financial statements</w:t>
            </w:r>
          </w:p>
        </w:tc>
        <w:tc>
          <w:tcPr>
            <w:tcW w:w="1520" w:type="dxa"/>
            <w:vAlign w:val="bottom"/>
          </w:tcPr>
          <w:p>
            <w:pPr>
              <w:spacing w:after="0"/>
              <w:rPr>
                <w:sz w:val="24"/>
                <w:szCs w:val="24"/>
                <w:color w:val="auto"/>
              </w:rPr>
            </w:pPr>
          </w:p>
        </w:tc>
      </w:tr>
      <w:tr>
        <w:trPr>
          <w:trHeight w:val="394"/>
        </w:trPr>
        <w:tc>
          <w:tcPr>
            <w:tcW w:w="360" w:type="dxa"/>
            <w:vAlign w:val="bottom"/>
          </w:tcPr>
          <w:p>
            <w:pPr>
              <w:spacing w:after="0"/>
              <w:rPr>
                <w:sz w:val="24"/>
                <w:szCs w:val="24"/>
                <w:color w:val="auto"/>
              </w:rPr>
            </w:pPr>
          </w:p>
        </w:tc>
        <w:tc>
          <w:tcPr>
            <w:tcW w:w="4480" w:type="dxa"/>
            <w:vAlign w:val="bottom"/>
            <w:tcBorders>
              <w:bottom w:val="single" w:sz="8" w:color="0000EE"/>
            </w:tcBorders>
            <w:gridSpan w:val="8"/>
          </w:tcPr>
          <w:p>
            <w:pPr>
              <w:spacing w:after="0"/>
              <w:rPr>
                <w:rFonts w:ascii="Arial" w:cs="Arial" w:eastAsia="Arial" w:hAnsi="Arial"/>
                <w:sz w:val="17"/>
                <w:szCs w:val="17"/>
                <w:color w:val="0000EE"/>
              </w:rPr>
            </w:pPr>
            <w:hyperlink w:anchor="page203">
              <w:r>
                <w:rPr>
                  <w:rFonts w:ascii="Arial" w:cs="Arial" w:eastAsia="Arial" w:hAnsi="Arial"/>
                  <w:sz w:val="17"/>
                  <w:szCs w:val="17"/>
                  <w:color w:val="0000EE"/>
                </w:rPr>
                <w:t>Report of Independent Registered Public Accounting Firm</w:t>
              </w:r>
            </w:hyperlink>
          </w:p>
        </w:tc>
        <w:tc>
          <w:tcPr>
            <w:tcW w:w="4660" w:type="dxa"/>
            <w:vAlign w:val="bottom"/>
            <w:gridSpan w:val="5"/>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F-2</w:t>
            </w:r>
          </w:p>
        </w:tc>
      </w:tr>
      <w:tr>
        <w:trPr>
          <w:trHeight w:val="177"/>
        </w:trPr>
        <w:tc>
          <w:tcPr>
            <w:tcW w:w="360" w:type="dxa"/>
            <w:vAlign w:val="bottom"/>
          </w:tcPr>
          <w:p>
            <w:pPr>
              <w:spacing w:after="0"/>
              <w:rPr>
                <w:sz w:val="15"/>
                <w:szCs w:val="15"/>
                <w:color w:val="auto"/>
              </w:rPr>
            </w:pPr>
          </w:p>
        </w:tc>
        <w:tc>
          <w:tcPr>
            <w:tcW w:w="2300" w:type="dxa"/>
            <w:vAlign w:val="bottom"/>
            <w:tcBorders>
              <w:bottom w:val="single" w:sz="8" w:color="0000EE"/>
            </w:tcBorders>
            <w:gridSpan w:val="2"/>
          </w:tcPr>
          <w:p>
            <w:pPr>
              <w:spacing w:after="0" w:line="176" w:lineRule="exact"/>
              <w:rPr>
                <w:rFonts w:ascii="Arial" w:cs="Arial" w:eastAsia="Arial" w:hAnsi="Arial"/>
                <w:sz w:val="17"/>
                <w:szCs w:val="17"/>
                <w:color w:val="0000EE"/>
              </w:rPr>
            </w:pPr>
            <w:hyperlink w:anchor="page204">
              <w:r>
                <w:rPr>
                  <w:rFonts w:ascii="Arial" w:cs="Arial" w:eastAsia="Arial" w:hAnsi="Arial"/>
                  <w:sz w:val="17"/>
                  <w:szCs w:val="17"/>
                  <w:color w:val="0000EE"/>
                </w:rPr>
                <w:t>Consolidated Balance Sheets</w:t>
              </w:r>
            </w:hyperlink>
          </w:p>
        </w:tc>
        <w:tc>
          <w:tcPr>
            <w:tcW w:w="6840" w:type="dxa"/>
            <w:vAlign w:val="bottom"/>
            <w:gridSpan w:val="11"/>
          </w:tcPr>
          <w:p>
            <w:pPr>
              <w:spacing w:after="0"/>
              <w:rPr>
                <w:sz w:val="15"/>
                <w:szCs w:val="15"/>
                <w:color w:val="auto"/>
              </w:rPr>
            </w:pPr>
          </w:p>
        </w:tc>
        <w:tc>
          <w:tcPr>
            <w:tcW w:w="1520" w:type="dxa"/>
            <w:vAlign w:val="bottom"/>
          </w:tcPr>
          <w:p>
            <w:pPr>
              <w:jc w:val="right"/>
              <w:spacing w:after="0" w:line="176" w:lineRule="exact"/>
              <w:rPr>
                <w:sz w:val="20"/>
                <w:szCs w:val="20"/>
                <w:color w:val="auto"/>
              </w:rPr>
            </w:pPr>
            <w:r>
              <w:rPr>
                <w:rFonts w:ascii="Arial" w:cs="Arial" w:eastAsia="Arial" w:hAnsi="Arial"/>
                <w:sz w:val="17"/>
                <w:szCs w:val="17"/>
                <w:color w:val="auto"/>
              </w:rPr>
              <w:t>F-3</w:t>
            </w:r>
          </w:p>
        </w:tc>
      </w:tr>
      <w:tr>
        <w:trPr>
          <w:trHeight w:val="177"/>
        </w:trPr>
        <w:tc>
          <w:tcPr>
            <w:tcW w:w="360" w:type="dxa"/>
            <w:vAlign w:val="bottom"/>
          </w:tcPr>
          <w:p>
            <w:pPr>
              <w:spacing w:after="0"/>
              <w:rPr>
                <w:sz w:val="15"/>
                <w:szCs w:val="15"/>
                <w:color w:val="auto"/>
              </w:rPr>
            </w:pPr>
          </w:p>
        </w:tc>
        <w:tc>
          <w:tcPr>
            <w:tcW w:w="9140" w:type="dxa"/>
            <w:vAlign w:val="bottom"/>
            <w:gridSpan w:val="13"/>
          </w:tcPr>
          <w:p>
            <w:pPr>
              <w:spacing w:after="0" w:line="176" w:lineRule="exact"/>
              <w:rPr>
                <w:rFonts w:ascii="Arial" w:cs="Arial" w:eastAsia="Arial" w:hAnsi="Arial"/>
                <w:sz w:val="17"/>
                <w:szCs w:val="17"/>
                <w:color w:val="0000EE"/>
              </w:rPr>
            </w:pPr>
            <w:hyperlink w:anchor="page205">
              <w:r>
                <w:rPr>
                  <w:rFonts w:ascii="Arial" w:cs="Arial" w:eastAsia="Arial" w:hAnsi="Arial"/>
                  <w:sz w:val="17"/>
                  <w:szCs w:val="17"/>
                  <w:color w:val="0000EE"/>
                </w:rPr>
                <w:t>Consolidated Statements of Operations and Comprehensive Loss</w:t>
              </w:r>
            </w:hyperlink>
          </w:p>
        </w:tc>
        <w:tc>
          <w:tcPr>
            <w:tcW w:w="1520" w:type="dxa"/>
            <w:vAlign w:val="bottom"/>
          </w:tcPr>
          <w:p>
            <w:pPr>
              <w:jc w:val="right"/>
              <w:spacing w:after="0" w:line="176" w:lineRule="exact"/>
              <w:rPr>
                <w:sz w:val="20"/>
                <w:szCs w:val="20"/>
                <w:color w:val="auto"/>
              </w:rPr>
            </w:pPr>
            <w:r>
              <w:rPr>
                <w:rFonts w:ascii="Arial" w:cs="Arial" w:eastAsia="Arial" w:hAnsi="Arial"/>
                <w:sz w:val="17"/>
                <w:szCs w:val="17"/>
                <w:color w:val="auto"/>
              </w:rPr>
              <w:t>F-4</w:t>
            </w:r>
          </w:p>
        </w:tc>
      </w:tr>
      <w:tr>
        <w:trPr>
          <w:trHeight w:val="20"/>
        </w:trPr>
        <w:tc>
          <w:tcPr>
            <w:tcW w:w="360" w:type="dxa"/>
            <w:vAlign w:val="bottom"/>
          </w:tcPr>
          <w:p>
            <w:pPr>
              <w:spacing w:after="0" w:line="20" w:lineRule="exact"/>
              <w:rPr>
                <w:sz w:val="1"/>
                <w:szCs w:val="1"/>
                <w:color w:val="auto"/>
              </w:rPr>
            </w:pPr>
          </w:p>
        </w:tc>
        <w:tc>
          <w:tcPr>
            <w:tcW w:w="31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77"/>
        </w:trPr>
        <w:tc>
          <w:tcPr>
            <w:tcW w:w="360" w:type="dxa"/>
            <w:vAlign w:val="bottom"/>
          </w:tcPr>
          <w:p>
            <w:pPr>
              <w:spacing w:after="0"/>
              <w:rPr>
                <w:sz w:val="15"/>
                <w:szCs w:val="15"/>
                <w:color w:val="auto"/>
              </w:rPr>
            </w:pPr>
          </w:p>
        </w:tc>
        <w:tc>
          <w:tcPr>
            <w:tcW w:w="9140" w:type="dxa"/>
            <w:vAlign w:val="bottom"/>
            <w:gridSpan w:val="13"/>
          </w:tcPr>
          <w:p>
            <w:pPr>
              <w:spacing w:after="0" w:line="176" w:lineRule="exact"/>
              <w:rPr>
                <w:rFonts w:ascii="Arial" w:cs="Arial" w:eastAsia="Arial" w:hAnsi="Arial"/>
                <w:sz w:val="17"/>
                <w:szCs w:val="17"/>
                <w:color w:val="0000EE"/>
              </w:rPr>
            </w:pPr>
            <w:hyperlink w:anchor="page206">
              <w:r>
                <w:rPr>
                  <w:rFonts w:ascii="Arial" w:cs="Arial" w:eastAsia="Arial" w:hAnsi="Arial"/>
                  <w:sz w:val="17"/>
                  <w:szCs w:val="17"/>
                  <w:color w:val="0000EE"/>
                </w:rPr>
                <w:t>Consolidated Statements of Redeemable Convertible Preferred Units and Changes in Members’ Equity</w:t>
              </w:r>
            </w:hyperlink>
          </w:p>
        </w:tc>
        <w:tc>
          <w:tcPr>
            <w:tcW w:w="1520" w:type="dxa"/>
            <w:vAlign w:val="bottom"/>
          </w:tcPr>
          <w:p>
            <w:pPr>
              <w:jc w:val="right"/>
              <w:spacing w:after="0" w:line="176" w:lineRule="exact"/>
              <w:rPr>
                <w:sz w:val="20"/>
                <w:szCs w:val="20"/>
                <w:color w:val="auto"/>
              </w:rPr>
            </w:pPr>
            <w:r>
              <w:rPr>
                <w:rFonts w:ascii="Arial" w:cs="Arial" w:eastAsia="Arial" w:hAnsi="Arial"/>
                <w:sz w:val="17"/>
                <w:szCs w:val="17"/>
                <w:color w:val="auto"/>
              </w:rPr>
              <w:t>F-5</w:t>
            </w:r>
          </w:p>
        </w:tc>
      </w:tr>
      <w:tr>
        <w:trPr>
          <w:trHeight w:val="177"/>
        </w:trPr>
        <w:tc>
          <w:tcPr>
            <w:tcW w:w="360" w:type="dxa"/>
            <w:vAlign w:val="bottom"/>
          </w:tcPr>
          <w:p>
            <w:pPr>
              <w:spacing w:after="0"/>
              <w:rPr>
                <w:sz w:val="15"/>
                <w:szCs w:val="15"/>
                <w:color w:val="auto"/>
              </w:rPr>
            </w:pPr>
          </w:p>
        </w:tc>
        <w:tc>
          <w:tcPr>
            <w:tcW w:w="3120" w:type="dxa"/>
            <w:vAlign w:val="bottom"/>
            <w:tcBorders>
              <w:top w:val="single" w:sz="8" w:color="0000EE"/>
              <w:bottom w:val="single" w:sz="8" w:color="0000EE"/>
            </w:tcBorders>
            <w:gridSpan w:val="3"/>
          </w:tcPr>
          <w:p>
            <w:pPr>
              <w:spacing w:after="0" w:line="176" w:lineRule="exact"/>
              <w:rPr>
                <w:rFonts w:ascii="Arial" w:cs="Arial" w:eastAsia="Arial" w:hAnsi="Arial"/>
                <w:sz w:val="17"/>
                <w:szCs w:val="17"/>
                <w:color w:val="0000EE"/>
              </w:rPr>
            </w:pPr>
            <w:hyperlink w:anchor="page207">
              <w:r>
                <w:rPr>
                  <w:rFonts w:ascii="Arial" w:cs="Arial" w:eastAsia="Arial" w:hAnsi="Arial"/>
                  <w:sz w:val="17"/>
                  <w:szCs w:val="17"/>
                  <w:color w:val="0000EE"/>
                </w:rPr>
                <w:t>Consolidated Statements of Cash Flows</w:t>
              </w:r>
            </w:hyperlink>
          </w:p>
        </w:tc>
        <w:tc>
          <w:tcPr>
            <w:tcW w:w="4840" w:type="dxa"/>
            <w:vAlign w:val="bottom"/>
            <w:tcBorders>
              <w:top w:val="single" w:sz="8" w:color="0000EE"/>
            </w:tcBorders>
            <w:gridSpan w:val="8"/>
          </w:tcPr>
          <w:p>
            <w:pPr>
              <w:spacing w:after="0"/>
              <w:rPr>
                <w:sz w:val="15"/>
                <w:szCs w:val="15"/>
                <w:color w:val="auto"/>
              </w:rPr>
            </w:pPr>
          </w:p>
        </w:tc>
        <w:tc>
          <w:tcPr>
            <w:tcW w:w="1180" w:type="dxa"/>
            <w:vAlign w:val="bottom"/>
            <w:gridSpan w:val="2"/>
          </w:tcPr>
          <w:p>
            <w:pPr>
              <w:spacing w:after="0"/>
              <w:rPr>
                <w:sz w:val="15"/>
                <w:szCs w:val="15"/>
                <w:color w:val="auto"/>
              </w:rPr>
            </w:pPr>
          </w:p>
        </w:tc>
        <w:tc>
          <w:tcPr>
            <w:tcW w:w="1520" w:type="dxa"/>
            <w:vAlign w:val="bottom"/>
          </w:tcPr>
          <w:p>
            <w:pPr>
              <w:jc w:val="right"/>
              <w:spacing w:after="0" w:line="176" w:lineRule="exact"/>
              <w:rPr>
                <w:sz w:val="20"/>
                <w:szCs w:val="20"/>
                <w:color w:val="auto"/>
              </w:rPr>
            </w:pPr>
            <w:r>
              <w:rPr>
                <w:rFonts w:ascii="Arial" w:cs="Arial" w:eastAsia="Arial" w:hAnsi="Arial"/>
                <w:sz w:val="17"/>
                <w:szCs w:val="17"/>
                <w:color w:val="auto"/>
              </w:rPr>
              <w:t>F-6</w:t>
            </w:r>
          </w:p>
        </w:tc>
      </w:tr>
      <w:tr>
        <w:trPr>
          <w:trHeight w:val="177"/>
        </w:trPr>
        <w:tc>
          <w:tcPr>
            <w:tcW w:w="360" w:type="dxa"/>
            <w:vAlign w:val="bottom"/>
          </w:tcPr>
          <w:p>
            <w:pPr>
              <w:spacing w:after="0"/>
              <w:rPr>
                <w:sz w:val="15"/>
                <w:szCs w:val="15"/>
                <w:color w:val="auto"/>
              </w:rPr>
            </w:pPr>
          </w:p>
        </w:tc>
        <w:tc>
          <w:tcPr>
            <w:tcW w:w="9140" w:type="dxa"/>
            <w:vAlign w:val="bottom"/>
            <w:gridSpan w:val="13"/>
          </w:tcPr>
          <w:p>
            <w:pPr>
              <w:spacing w:after="0" w:line="176" w:lineRule="exact"/>
              <w:rPr>
                <w:rFonts w:ascii="Arial" w:cs="Arial" w:eastAsia="Arial" w:hAnsi="Arial"/>
                <w:sz w:val="17"/>
                <w:szCs w:val="17"/>
                <w:color w:val="0000EE"/>
              </w:rPr>
            </w:pPr>
            <w:hyperlink w:anchor="page208">
              <w:r>
                <w:rPr>
                  <w:rFonts w:ascii="Arial" w:cs="Arial" w:eastAsia="Arial" w:hAnsi="Arial"/>
                  <w:sz w:val="17"/>
                  <w:szCs w:val="17"/>
                  <w:color w:val="0000EE"/>
                </w:rPr>
                <w:t>Notes to Consolidated Financial Statements</w:t>
              </w:r>
            </w:hyperlink>
          </w:p>
        </w:tc>
        <w:tc>
          <w:tcPr>
            <w:tcW w:w="1520" w:type="dxa"/>
            <w:vAlign w:val="bottom"/>
          </w:tcPr>
          <w:p>
            <w:pPr>
              <w:jc w:val="right"/>
              <w:spacing w:after="0" w:line="176" w:lineRule="exact"/>
              <w:rPr>
                <w:sz w:val="20"/>
                <w:szCs w:val="20"/>
                <w:color w:val="auto"/>
              </w:rPr>
            </w:pPr>
            <w:r>
              <w:rPr>
                <w:rFonts w:ascii="Arial" w:cs="Arial" w:eastAsia="Arial" w:hAnsi="Arial"/>
                <w:sz w:val="17"/>
                <w:szCs w:val="17"/>
                <w:color w:val="auto"/>
              </w:rPr>
              <w:t>F-7</w:t>
            </w:r>
          </w:p>
        </w:tc>
      </w:tr>
      <w:tr>
        <w:trPr>
          <w:trHeight w:val="425"/>
        </w:trPr>
        <w:tc>
          <w:tcPr>
            <w:tcW w:w="360" w:type="dxa"/>
            <w:vAlign w:val="bottom"/>
          </w:tcPr>
          <w:p>
            <w:pPr>
              <w:spacing w:after="0"/>
              <w:rPr>
                <w:sz w:val="24"/>
                <w:szCs w:val="24"/>
                <w:color w:val="auto"/>
              </w:rPr>
            </w:pPr>
          </w:p>
        </w:tc>
        <w:tc>
          <w:tcPr>
            <w:tcW w:w="3400" w:type="dxa"/>
            <w:vAlign w:val="bottom"/>
            <w:tcBorders>
              <w:top w:val="single" w:sz="8" w:color="0000EE"/>
            </w:tcBorders>
            <w:gridSpan w:val="5"/>
          </w:tcPr>
          <w:p>
            <w:pPr>
              <w:spacing w:after="0"/>
              <w:rPr>
                <w:sz w:val="20"/>
                <w:szCs w:val="20"/>
                <w:color w:val="auto"/>
              </w:rPr>
            </w:pPr>
            <w:r>
              <w:rPr>
                <w:rFonts w:ascii="Arial" w:cs="Arial" w:eastAsia="Arial" w:hAnsi="Arial"/>
                <w:sz w:val="17"/>
                <w:szCs w:val="17"/>
                <w:b w:val="1"/>
                <w:bCs w:val="1"/>
                <w:color w:val="auto"/>
              </w:rPr>
              <w:t>Unaudited interim financial statements</w:t>
            </w:r>
          </w:p>
        </w:tc>
        <w:tc>
          <w:tcPr>
            <w:tcW w:w="5740" w:type="dxa"/>
            <w:vAlign w:val="bottom"/>
            <w:gridSpan w:val="8"/>
          </w:tcPr>
          <w:p>
            <w:pPr>
              <w:spacing w:after="0"/>
              <w:rPr>
                <w:sz w:val="24"/>
                <w:szCs w:val="24"/>
                <w:color w:val="auto"/>
              </w:rPr>
            </w:pPr>
          </w:p>
        </w:tc>
        <w:tc>
          <w:tcPr>
            <w:tcW w:w="1520" w:type="dxa"/>
            <w:vAlign w:val="bottom"/>
          </w:tcPr>
          <w:p>
            <w:pPr>
              <w:spacing w:after="0"/>
              <w:rPr>
                <w:sz w:val="24"/>
                <w:szCs w:val="24"/>
                <w:color w:val="auto"/>
              </w:rPr>
            </w:pPr>
          </w:p>
        </w:tc>
      </w:tr>
      <w:tr>
        <w:trPr>
          <w:trHeight w:val="394"/>
        </w:trPr>
        <w:tc>
          <w:tcPr>
            <w:tcW w:w="360" w:type="dxa"/>
            <w:vAlign w:val="bottom"/>
          </w:tcPr>
          <w:p>
            <w:pPr>
              <w:spacing w:after="0"/>
              <w:rPr>
                <w:sz w:val="24"/>
                <w:szCs w:val="24"/>
                <w:color w:val="auto"/>
              </w:rPr>
            </w:pPr>
          </w:p>
        </w:tc>
        <w:tc>
          <w:tcPr>
            <w:tcW w:w="3240" w:type="dxa"/>
            <w:vAlign w:val="bottom"/>
            <w:tcBorders>
              <w:bottom w:val="single" w:sz="8" w:color="0000EE"/>
            </w:tcBorders>
            <w:gridSpan w:val="4"/>
          </w:tcPr>
          <w:p>
            <w:pPr>
              <w:spacing w:after="0"/>
              <w:rPr>
                <w:rFonts w:ascii="Arial" w:cs="Arial" w:eastAsia="Arial" w:hAnsi="Arial"/>
                <w:sz w:val="17"/>
                <w:szCs w:val="17"/>
                <w:color w:val="0000EE"/>
              </w:rPr>
            </w:pPr>
            <w:hyperlink w:anchor="page227">
              <w:r>
                <w:rPr>
                  <w:rFonts w:ascii="Arial" w:cs="Arial" w:eastAsia="Arial" w:hAnsi="Arial"/>
                  <w:sz w:val="17"/>
                  <w:szCs w:val="17"/>
                  <w:color w:val="0000EE"/>
                </w:rPr>
                <w:t>Condensed Consolidated Balance Sheets</w:t>
              </w:r>
            </w:hyperlink>
          </w:p>
        </w:tc>
        <w:tc>
          <w:tcPr>
            <w:tcW w:w="5900" w:type="dxa"/>
            <w:vAlign w:val="bottom"/>
            <w:gridSpan w:val="9"/>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F-26</w:t>
            </w:r>
          </w:p>
        </w:tc>
      </w:tr>
      <w:tr>
        <w:trPr>
          <w:trHeight w:val="177"/>
        </w:trPr>
        <w:tc>
          <w:tcPr>
            <w:tcW w:w="360" w:type="dxa"/>
            <w:vAlign w:val="bottom"/>
          </w:tcPr>
          <w:p>
            <w:pPr>
              <w:spacing w:after="0"/>
              <w:rPr>
                <w:sz w:val="15"/>
                <w:szCs w:val="15"/>
                <w:color w:val="auto"/>
              </w:rPr>
            </w:pPr>
          </w:p>
        </w:tc>
        <w:tc>
          <w:tcPr>
            <w:tcW w:w="9140" w:type="dxa"/>
            <w:vAlign w:val="bottom"/>
            <w:gridSpan w:val="13"/>
          </w:tcPr>
          <w:p>
            <w:pPr>
              <w:spacing w:after="0" w:line="176" w:lineRule="exact"/>
              <w:rPr>
                <w:rFonts w:ascii="Arial" w:cs="Arial" w:eastAsia="Arial" w:hAnsi="Arial"/>
                <w:sz w:val="17"/>
                <w:szCs w:val="17"/>
                <w:color w:val="0000EE"/>
              </w:rPr>
            </w:pPr>
            <w:hyperlink w:anchor="page228">
              <w:r>
                <w:rPr>
                  <w:rFonts w:ascii="Arial" w:cs="Arial" w:eastAsia="Arial" w:hAnsi="Arial"/>
                  <w:sz w:val="17"/>
                  <w:szCs w:val="17"/>
                  <w:color w:val="0000EE"/>
                </w:rPr>
                <w:t>Condensed Consolidated Statements of Operations and Comprehensive Loss</w:t>
              </w:r>
            </w:hyperlink>
          </w:p>
        </w:tc>
        <w:tc>
          <w:tcPr>
            <w:tcW w:w="1520" w:type="dxa"/>
            <w:vAlign w:val="bottom"/>
          </w:tcPr>
          <w:p>
            <w:pPr>
              <w:jc w:val="right"/>
              <w:spacing w:after="0" w:line="176" w:lineRule="exact"/>
              <w:rPr>
                <w:sz w:val="20"/>
                <w:szCs w:val="20"/>
                <w:color w:val="auto"/>
              </w:rPr>
            </w:pPr>
            <w:r>
              <w:rPr>
                <w:rFonts w:ascii="Arial" w:cs="Arial" w:eastAsia="Arial" w:hAnsi="Arial"/>
                <w:sz w:val="17"/>
                <w:szCs w:val="17"/>
                <w:color w:val="auto"/>
              </w:rPr>
              <w:t>F-27</w:t>
            </w:r>
          </w:p>
        </w:tc>
      </w:tr>
      <w:tr>
        <w:trPr>
          <w:trHeight w:val="20"/>
        </w:trPr>
        <w:tc>
          <w:tcPr>
            <w:tcW w:w="360" w:type="dxa"/>
            <w:vAlign w:val="bottom"/>
          </w:tcPr>
          <w:p>
            <w:pPr>
              <w:spacing w:after="0" w:line="20" w:lineRule="exact"/>
              <w:rPr>
                <w:sz w:val="1"/>
                <w:szCs w:val="1"/>
                <w:color w:val="auto"/>
              </w:rPr>
            </w:pPr>
          </w:p>
        </w:tc>
        <w:tc>
          <w:tcPr>
            <w:tcW w:w="4060" w:type="dxa"/>
            <w:vAlign w:val="bottom"/>
            <w:gridSpan w:val="6"/>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77"/>
        </w:trPr>
        <w:tc>
          <w:tcPr>
            <w:tcW w:w="360" w:type="dxa"/>
            <w:vAlign w:val="bottom"/>
          </w:tcPr>
          <w:p>
            <w:pPr>
              <w:spacing w:after="0"/>
              <w:rPr>
                <w:sz w:val="15"/>
                <w:szCs w:val="15"/>
                <w:color w:val="auto"/>
              </w:rPr>
            </w:pPr>
          </w:p>
        </w:tc>
        <w:tc>
          <w:tcPr>
            <w:tcW w:w="7980" w:type="dxa"/>
            <w:vAlign w:val="bottom"/>
            <w:tcBorders>
              <w:bottom w:val="single" w:sz="8" w:color="0000EE"/>
            </w:tcBorders>
            <w:gridSpan w:val="12"/>
          </w:tcPr>
          <w:p>
            <w:pPr>
              <w:spacing w:after="0" w:line="176" w:lineRule="exact"/>
              <w:rPr>
                <w:rFonts w:ascii="Arial" w:cs="Arial" w:eastAsia="Arial" w:hAnsi="Arial"/>
                <w:sz w:val="17"/>
                <w:szCs w:val="17"/>
                <w:color w:val="0000EE"/>
              </w:rPr>
            </w:pPr>
            <w:hyperlink w:anchor="page229">
              <w:r>
                <w:rPr>
                  <w:rFonts w:ascii="Arial" w:cs="Arial" w:eastAsia="Arial" w:hAnsi="Arial"/>
                  <w:sz w:val="17"/>
                  <w:szCs w:val="17"/>
                  <w:color w:val="0000EE"/>
                </w:rPr>
                <w:t>Condensed Consolidated Statements of Redeemable Preferred Units and Changes in Members’ Equity</w:t>
              </w:r>
            </w:hyperlink>
          </w:p>
        </w:tc>
        <w:tc>
          <w:tcPr>
            <w:tcW w:w="1160" w:type="dxa"/>
            <w:vAlign w:val="bottom"/>
          </w:tcPr>
          <w:p>
            <w:pPr>
              <w:spacing w:after="0"/>
              <w:rPr>
                <w:sz w:val="15"/>
                <w:szCs w:val="15"/>
                <w:color w:val="auto"/>
              </w:rPr>
            </w:pPr>
          </w:p>
        </w:tc>
        <w:tc>
          <w:tcPr>
            <w:tcW w:w="1520" w:type="dxa"/>
            <w:vAlign w:val="bottom"/>
          </w:tcPr>
          <w:p>
            <w:pPr>
              <w:jc w:val="right"/>
              <w:spacing w:after="0" w:line="176" w:lineRule="exact"/>
              <w:rPr>
                <w:sz w:val="20"/>
                <w:szCs w:val="20"/>
                <w:color w:val="auto"/>
              </w:rPr>
            </w:pPr>
            <w:r>
              <w:rPr>
                <w:rFonts w:ascii="Arial" w:cs="Arial" w:eastAsia="Arial" w:hAnsi="Arial"/>
                <w:sz w:val="17"/>
                <w:szCs w:val="17"/>
                <w:color w:val="auto"/>
              </w:rPr>
              <w:t>F-28</w:t>
            </w:r>
          </w:p>
        </w:tc>
      </w:tr>
      <w:tr>
        <w:trPr>
          <w:trHeight w:val="177"/>
        </w:trPr>
        <w:tc>
          <w:tcPr>
            <w:tcW w:w="360" w:type="dxa"/>
            <w:vAlign w:val="bottom"/>
          </w:tcPr>
          <w:p>
            <w:pPr>
              <w:spacing w:after="0"/>
              <w:rPr>
                <w:sz w:val="15"/>
                <w:szCs w:val="15"/>
                <w:color w:val="auto"/>
              </w:rPr>
            </w:pPr>
          </w:p>
        </w:tc>
        <w:tc>
          <w:tcPr>
            <w:tcW w:w="4060" w:type="dxa"/>
            <w:vAlign w:val="bottom"/>
            <w:tcBorders>
              <w:bottom w:val="single" w:sz="8" w:color="0000EE"/>
            </w:tcBorders>
            <w:gridSpan w:val="6"/>
          </w:tcPr>
          <w:p>
            <w:pPr>
              <w:spacing w:after="0" w:line="176" w:lineRule="exact"/>
              <w:rPr>
                <w:rFonts w:ascii="Arial" w:cs="Arial" w:eastAsia="Arial" w:hAnsi="Arial"/>
                <w:sz w:val="17"/>
                <w:szCs w:val="17"/>
                <w:color w:val="0000EE"/>
              </w:rPr>
            </w:pPr>
            <w:hyperlink w:anchor="page230">
              <w:r>
                <w:rPr>
                  <w:rFonts w:ascii="Arial" w:cs="Arial" w:eastAsia="Arial" w:hAnsi="Arial"/>
                  <w:sz w:val="17"/>
                  <w:szCs w:val="17"/>
                  <w:color w:val="0000EE"/>
                </w:rPr>
                <w:t>Condensed Consolidated Statements of Cash Flows</w:t>
              </w:r>
            </w:hyperlink>
          </w:p>
        </w:tc>
        <w:tc>
          <w:tcPr>
            <w:tcW w:w="5080" w:type="dxa"/>
            <w:vAlign w:val="bottom"/>
            <w:gridSpan w:val="7"/>
          </w:tcPr>
          <w:p>
            <w:pPr>
              <w:spacing w:after="0"/>
              <w:rPr>
                <w:sz w:val="15"/>
                <w:szCs w:val="15"/>
                <w:color w:val="auto"/>
              </w:rPr>
            </w:pPr>
          </w:p>
        </w:tc>
        <w:tc>
          <w:tcPr>
            <w:tcW w:w="1520" w:type="dxa"/>
            <w:vAlign w:val="bottom"/>
          </w:tcPr>
          <w:p>
            <w:pPr>
              <w:jc w:val="right"/>
              <w:spacing w:after="0" w:line="176" w:lineRule="exact"/>
              <w:rPr>
                <w:sz w:val="20"/>
                <w:szCs w:val="20"/>
                <w:color w:val="auto"/>
              </w:rPr>
            </w:pPr>
            <w:r>
              <w:rPr>
                <w:rFonts w:ascii="Arial" w:cs="Arial" w:eastAsia="Arial" w:hAnsi="Arial"/>
                <w:sz w:val="17"/>
                <w:szCs w:val="17"/>
                <w:color w:val="auto"/>
              </w:rPr>
              <w:t>F-29</w:t>
            </w:r>
          </w:p>
        </w:tc>
      </w:tr>
      <w:tr>
        <w:trPr>
          <w:trHeight w:val="177"/>
        </w:trPr>
        <w:tc>
          <w:tcPr>
            <w:tcW w:w="360" w:type="dxa"/>
            <w:vAlign w:val="bottom"/>
          </w:tcPr>
          <w:p>
            <w:pPr>
              <w:spacing w:after="0"/>
              <w:rPr>
                <w:sz w:val="15"/>
                <w:szCs w:val="15"/>
                <w:color w:val="auto"/>
              </w:rPr>
            </w:pPr>
          </w:p>
        </w:tc>
        <w:tc>
          <w:tcPr>
            <w:tcW w:w="9140" w:type="dxa"/>
            <w:vAlign w:val="bottom"/>
            <w:gridSpan w:val="13"/>
          </w:tcPr>
          <w:p>
            <w:pPr>
              <w:spacing w:after="0" w:line="176" w:lineRule="exact"/>
              <w:rPr>
                <w:rFonts w:ascii="Arial" w:cs="Arial" w:eastAsia="Arial" w:hAnsi="Arial"/>
                <w:sz w:val="17"/>
                <w:szCs w:val="17"/>
                <w:color w:val="0000EE"/>
              </w:rPr>
            </w:pPr>
            <w:hyperlink w:anchor="page231">
              <w:r>
                <w:rPr>
                  <w:rFonts w:ascii="Arial" w:cs="Arial" w:eastAsia="Arial" w:hAnsi="Arial"/>
                  <w:sz w:val="17"/>
                  <w:szCs w:val="17"/>
                  <w:color w:val="0000EE"/>
                </w:rPr>
                <w:t>Notes to Condensed Consolidated Financial Statements</w:t>
              </w:r>
            </w:hyperlink>
          </w:p>
        </w:tc>
        <w:tc>
          <w:tcPr>
            <w:tcW w:w="1520" w:type="dxa"/>
            <w:vAlign w:val="bottom"/>
          </w:tcPr>
          <w:p>
            <w:pPr>
              <w:jc w:val="right"/>
              <w:spacing w:after="0" w:line="176" w:lineRule="exact"/>
              <w:rPr>
                <w:sz w:val="20"/>
                <w:szCs w:val="20"/>
                <w:color w:val="auto"/>
              </w:rPr>
            </w:pPr>
            <w:r>
              <w:rPr>
                <w:rFonts w:ascii="Arial" w:cs="Arial" w:eastAsia="Arial" w:hAnsi="Arial"/>
                <w:sz w:val="17"/>
                <w:szCs w:val="17"/>
                <w:color w:val="auto"/>
              </w:rPr>
              <w:t>F-30</w:t>
            </w:r>
          </w:p>
        </w:tc>
      </w:tr>
      <w:tr>
        <w:trPr>
          <w:trHeight w:val="360"/>
        </w:trPr>
        <w:tc>
          <w:tcPr>
            <w:tcW w:w="360" w:type="dxa"/>
            <w:vAlign w:val="bottom"/>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60" w:type="dxa"/>
            <w:vAlign w:val="bottom"/>
            <w:gridSpan w:val="4"/>
          </w:tcPr>
          <w:p>
            <w:pPr>
              <w:jc w:val="center"/>
              <w:ind w:right="3520"/>
              <w:spacing w:after="0"/>
              <w:rPr>
                <w:sz w:val="20"/>
                <w:szCs w:val="20"/>
                <w:color w:val="auto"/>
              </w:rPr>
            </w:pPr>
            <w:r>
              <w:rPr>
                <w:rFonts w:ascii="Arial" w:cs="Arial" w:eastAsia="Arial" w:hAnsi="Arial"/>
                <w:sz w:val="17"/>
                <w:szCs w:val="17"/>
                <w:color w:val="auto"/>
              </w:rPr>
              <w:t>F-1</w:t>
            </w:r>
          </w:p>
        </w:tc>
        <w:tc>
          <w:tcPr>
            <w:tcW w:w="15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240" w:top="442" w:right="639" w:bottom="1440" w:gutter="0" w:footer="0" w:header="0"/>
        </w:sect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p>
    <w:bookmarkStart w:id="202" w:name="page203"/>
    <w:bookmarkEnd w:id="2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ind w:left="330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3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To the members and the Board of Managers of Arvinas Holding Company, LLC</w:t>
      </w:r>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Opinion on the Financial Statements</w:t>
      </w:r>
    </w:p>
    <w:p>
      <w:pPr>
        <w:spacing w:after="0" w:line="126" w:lineRule="exact"/>
        <w:rPr>
          <w:sz w:val="20"/>
          <w:szCs w:val="20"/>
          <w:color w:val="auto"/>
        </w:rPr>
      </w:pPr>
    </w:p>
    <w:p>
      <w:pPr>
        <w:ind w:left="360"/>
        <w:spacing w:after="0" w:line="244" w:lineRule="auto"/>
        <w:rPr>
          <w:sz w:val="20"/>
          <w:szCs w:val="20"/>
          <w:color w:val="auto"/>
        </w:rPr>
      </w:pPr>
      <w:r>
        <w:rPr>
          <w:rFonts w:ascii="Arial" w:cs="Arial" w:eastAsia="Arial" w:hAnsi="Arial"/>
          <w:sz w:val="17"/>
          <w:szCs w:val="17"/>
          <w:color w:val="auto"/>
        </w:rPr>
        <w:t>We have audited the accompanying consolidated balance sheets of Arvinas Holding Company, LLC and subsidiaries (the “Company”) as of December 31, 2017 and 2016, the related consolidated statements of operations and comprehensive loss, redeemable convertible preferred units and changes in members’ equity, and cash flows, for each of the two years in the period ended December 31, 2017, and the related notes (collectively referred to as the “financial statements”). In our opinion, the financial statements present fairly, in all material respects, the financial position of the Company as of December 31, 2017 and 2016, and the results of its operations and its cash flows for each of the two years in the period ended December 31, 2017, in conformity with accounting principles generally accepted in the United States of America.</w:t>
      </w:r>
    </w:p>
    <w:p>
      <w:pPr>
        <w:spacing w:after="0" w:line="200" w:lineRule="exact"/>
        <w:rPr>
          <w:sz w:val="20"/>
          <w:szCs w:val="20"/>
          <w:color w:val="auto"/>
        </w:rPr>
      </w:pPr>
    </w:p>
    <w:p>
      <w:pPr>
        <w:spacing w:after="0" w:line="279"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Basis for Opinion</w:t>
      </w:r>
    </w:p>
    <w:p>
      <w:pPr>
        <w:spacing w:after="0" w:line="126" w:lineRule="exact"/>
        <w:rPr>
          <w:sz w:val="20"/>
          <w:szCs w:val="20"/>
          <w:color w:val="auto"/>
        </w:rPr>
      </w:pPr>
    </w:p>
    <w:p>
      <w:pPr>
        <w:ind w:left="360" w:right="180"/>
        <w:spacing w:after="0" w:line="247"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7" w:lineRule="exact"/>
        <w:rPr>
          <w:sz w:val="20"/>
          <w:szCs w:val="20"/>
          <w:color w:val="auto"/>
        </w:rPr>
      </w:pPr>
    </w:p>
    <w:p>
      <w:pPr>
        <w:ind w:left="360" w:right="40"/>
        <w:spacing w:after="0" w:line="245"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90" w:lineRule="exact"/>
        <w:rPr>
          <w:sz w:val="20"/>
          <w:szCs w:val="20"/>
          <w:color w:val="auto"/>
        </w:rPr>
      </w:pPr>
    </w:p>
    <w:p>
      <w:pPr>
        <w:ind w:left="360" w:right="160"/>
        <w:spacing w:after="0" w:line="241" w:lineRule="auto"/>
        <w:rPr>
          <w:sz w:val="20"/>
          <w:szCs w:val="20"/>
          <w:color w:val="auto"/>
        </w:rPr>
      </w:pPr>
      <w:r>
        <w:rPr>
          <w:rFonts w:ascii="Arial" w:cs="Arial" w:eastAsia="Arial" w:hAnsi="Arial"/>
          <w:sz w:val="17"/>
          <w:szCs w:val="17"/>
          <w:color w:val="auto"/>
        </w:rPr>
        <w:t>Our audits included performing procedures to assess the risks of material misstatement of the financial statements, whether due to error or fraud, and performing procedures that respond to those risks.</w:t>
      </w:r>
    </w:p>
    <w:p>
      <w:pPr>
        <w:spacing w:after="0" w:line="1" w:lineRule="exact"/>
        <w:rPr>
          <w:sz w:val="20"/>
          <w:szCs w:val="20"/>
          <w:color w:val="auto"/>
        </w:rPr>
      </w:pPr>
    </w:p>
    <w:p>
      <w:pPr>
        <w:ind w:left="360" w:right="120"/>
        <w:spacing w:after="0" w:line="250" w:lineRule="auto"/>
        <w:rPr>
          <w:sz w:val="20"/>
          <w:szCs w:val="20"/>
          <w:color w:val="auto"/>
        </w:rPr>
      </w:pPr>
      <w:r>
        <w:rPr>
          <w:rFonts w:ascii="Arial" w:cs="Arial" w:eastAsia="Arial" w:hAnsi="Arial"/>
          <w:sz w:val="17"/>
          <w:szCs w:val="17"/>
          <w:color w:val="auto"/>
        </w:rPr>
        <w:t>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/s/ DELOITTE &amp; TOUCHE LLP</w:t>
      </w:r>
    </w:p>
    <w:p>
      <w:pPr>
        <w:spacing w:after="0" w:line="10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Hartford, Connecticut</w:t>
      </w:r>
    </w:p>
    <w:p>
      <w:pPr>
        <w:spacing w:after="0" w:line="10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June 22, 2018 (September 14, 2018 as to the effects of the reverse unit split described in Note 15)</w:t>
      </w:r>
    </w:p>
    <w:p>
      <w:pPr>
        <w:spacing w:after="0" w:line="10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We have served as the Company’s auditor since 2016.</w:t>
      </w:r>
    </w:p>
    <w:p>
      <w:pPr>
        <w:spacing w:after="0" w:line="145"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F-2</w:t>
      </w:r>
    </w:p>
    <w:p>
      <w:pPr>
        <w:sectPr>
          <w:pgSz w:w="11900" w:h="16838" w:orient="portrait"/>
          <w:cols w:equalWidth="0" w:num="1">
            <w:col w:w="11020"/>
          </w:cols>
          <w:pgMar w:left="240" w:top="450" w:right="639" w:bottom="1440" w:gutter="0" w:footer="0" w:header="0"/>
        </w:sectPr>
      </w:pPr>
    </w:p>
    <w:bookmarkStart w:id="203" w:name="page204"/>
    <w:bookmarkEnd w:id="2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ind w:left="3360"/>
        <w:spacing w:after="0"/>
        <w:rPr>
          <w:sz w:val="20"/>
          <w:szCs w:val="20"/>
          <w:color w:val="auto"/>
        </w:rPr>
      </w:pPr>
      <w:r>
        <w:rPr>
          <w:rFonts w:ascii="Arial" w:cs="Arial" w:eastAsia="Arial" w:hAnsi="Arial"/>
          <w:sz w:val="17"/>
          <w:szCs w:val="17"/>
          <w:b w:val="1"/>
          <w:bCs w:val="1"/>
          <w:color w:val="auto"/>
        </w:rPr>
        <w:t>ARVINAS HOLDING COMPANY, LLC AND SUBSIDIARIES</w:t>
      </w:r>
    </w:p>
    <w:p>
      <w:pPr>
        <w:spacing w:after="0" w:line="316"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Consolidated Balance Sheets</w:t>
      </w:r>
    </w:p>
    <w:p>
      <w:pPr>
        <w:spacing w:after="0" w:line="249" w:lineRule="exact"/>
        <w:rPr>
          <w:sz w:val="20"/>
          <w:szCs w:val="20"/>
          <w:color w:val="auto"/>
        </w:rPr>
      </w:pPr>
    </w:p>
    <w:tbl>
      <w:tblPr>
        <w:tblLayout w:type="fixed"/>
        <w:tblInd w:w="36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76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294"/>
              <w:spacing w:after="0" w:line="151"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293"/>
              <w:spacing w:after="0" w:line="151"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760" w:type="dxa"/>
            <w:vAlign w:val="bottom"/>
            <w:shd w:val="clear" w:color="auto" w:fill="CCEEFF"/>
          </w:tcPr>
          <w:p>
            <w:pPr>
              <w:spacing w:after="0" w:line="176" w:lineRule="exact"/>
              <w:rPr>
                <w:sz w:val="20"/>
                <w:szCs w:val="20"/>
                <w:color w:val="auto"/>
              </w:rPr>
            </w:pPr>
            <w:r>
              <w:rPr>
                <w:rFonts w:ascii="Arial" w:cs="Arial" w:eastAsia="Arial" w:hAnsi="Arial"/>
                <w:sz w:val="17"/>
                <w:szCs w:val="17"/>
                <w:b w:val="1"/>
                <w:bCs w:val="1"/>
                <w:color w:val="auto"/>
              </w:rPr>
              <w:t>Assets</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760" w:type="dxa"/>
            <w:vAlign w:val="bottom"/>
          </w:tcPr>
          <w:p>
            <w:pPr>
              <w:spacing w:after="0"/>
              <w:rPr>
                <w:sz w:val="20"/>
                <w:szCs w:val="20"/>
                <w:color w:val="auto"/>
              </w:rPr>
            </w:pPr>
            <w:r>
              <w:rPr>
                <w:rFonts w:ascii="Arial" w:cs="Arial" w:eastAsia="Arial" w:hAnsi="Arial"/>
                <w:sz w:val="17"/>
                <w:szCs w:val="17"/>
                <w:color w:val="auto"/>
              </w:rPr>
              <w:t>Current assets: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Cash and cash equivalents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30,912,391</w:t>
            </w:r>
          </w:p>
        </w:tc>
        <w:tc>
          <w:tcPr>
            <w:tcW w:w="2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5,088,548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760" w:type="dxa"/>
            <w:vAlign w:val="bottom"/>
          </w:tcPr>
          <w:p>
            <w:pPr>
              <w:ind w:left="340"/>
              <w:spacing w:after="0"/>
              <w:rPr>
                <w:sz w:val="20"/>
                <w:szCs w:val="20"/>
                <w:color w:val="auto"/>
              </w:rPr>
            </w:pPr>
            <w:r>
              <w:rPr>
                <w:rFonts w:ascii="Arial" w:cs="Arial" w:eastAsia="Arial" w:hAnsi="Arial"/>
                <w:sz w:val="17"/>
                <w:szCs w:val="17"/>
                <w:color w:val="auto"/>
              </w:rPr>
              <w:t>Marketable securities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8,258,982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30,468,703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Account receivable</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25,000,000</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760" w:type="dxa"/>
            <w:vAlign w:val="bottom"/>
          </w:tcPr>
          <w:p>
            <w:pPr>
              <w:ind w:left="340"/>
              <w:spacing w:after="0"/>
              <w:rPr>
                <w:sz w:val="20"/>
                <w:szCs w:val="20"/>
                <w:color w:val="auto"/>
              </w:rPr>
            </w:pPr>
            <w:r>
              <w:rPr>
                <w:rFonts w:ascii="Arial" w:cs="Arial" w:eastAsia="Arial" w:hAnsi="Arial"/>
                <w:sz w:val="17"/>
                <w:szCs w:val="17"/>
                <w:color w:val="auto"/>
              </w:rPr>
              <w:t>Other receivables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1,040,452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1,410,182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Prepaid expenses and other current assets</w:t>
            </w: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316,903</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314,841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7"/>
                <w:szCs w:val="17"/>
                <w:color w:val="auto"/>
              </w:rPr>
              <w:t>Total current assets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65,528,728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37,282,274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2"/>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7"/>
                <w:szCs w:val="17"/>
                <w:color w:val="auto"/>
              </w:rPr>
              <w:t>Property, equipment and leasehold improvements, net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1,298,881</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633,848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2"/>
        </w:trPr>
        <w:tc>
          <w:tcPr>
            <w:tcW w:w="7780" w:type="dxa"/>
            <w:vAlign w:val="bottom"/>
            <w:gridSpan w:val="2"/>
          </w:tcPr>
          <w:p>
            <w:pPr>
              <w:spacing w:after="0"/>
              <w:rPr>
                <w:sz w:val="20"/>
                <w:szCs w:val="20"/>
                <w:color w:val="auto"/>
              </w:rPr>
            </w:pPr>
            <w:r>
              <w:rPr>
                <w:rFonts w:ascii="Arial" w:cs="Arial" w:eastAsia="Arial" w:hAnsi="Arial"/>
                <w:sz w:val="17"/>
                <w:szCs w:val="17"/>
                <w:color w:val="auto"/>
              </w:rPr>
              <w:t>Other assets: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Deposits</w:t>
            </w: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20,760</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20,760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gridSpan w:val="2"/>
          </w:tcPr>
          <w:p>
            <w:pPr>
              <w:spacing w:after="0"/>
              <w:rPr>
                <w:sz w:val="20"/>
                <w:szCs w:val="20"/>
                <w:color w:val="auto"/>
              </w:rPr>
            </w:pPr>
            <w:r>
              <w:rPr>
                <w:rFonts w:ascii="Arial" w:cs="Arial" w:eastAsia="Arial" w:hAnsi="Arial"/>
                <w:sz w:val="17"/>
                <w:szCs w:val="17"/>
                <w:color w:val="auto"/>
              </w:rPr>
              <w:t>Total assets</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66,848,369</w:t>
            </w:r>
          </w:p>
        </w:tc>
        <w:tc>
          <w:tcPr>
            <w:tcW w:w="240" w:type="dxa"/>
            <w:vAlign w:val="bottom"/>
          </w:tcPr>
          <w:p>
            <w:pPr>
              <w:spacing w:after="0"/>
              <w:rPr>
                <w:sz w:val="17"/>
                <w:szCs w:val="17"/>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37,936,882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7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Liabilities and members’ equity</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760" w:type="dxa"/>
            <w:vAlign w:val="bottom"/>
          </w:tcPr>
          <w:p>
            <w:pPr>
              <w:spacing w:after="0"/>
              <w:rPr>
                <w:sz w:val="20"/>
                <w:szCs w:val="20"/>
                <w:color w:val="auto"/>
              </w:rPr>
            </w:pPr>
            <w:r>
              <w:rPr>
                <w:rFonts w:ascii="Arial" w:cs="Arial" w:eastAsia="Arial" w:hAnsi="Arial"/>
                <w:sz w:val="17"/>
                <w:szCs w:val="17"/>
                <w:color w:val="auto"/>
              </w:rPr>
              <w:t>Current liabilities: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Accounts payable</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596,527</w:t>
            </w:r>
          </w:p>
        </w:tc>
        <w:tc>
          <w:tcPr>
            <w:tcW w:w="2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1,566,006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760" w:type="dxa"/>
            <w:vAlign w:val="bottom"/>
          </w:tcPr>
          <w:p>
            <w:pPr>
              <w:ind w:left="340"/>
              <w:spacing w:after="0"/>
              <w:rPr>
                <w:sz w:val="20"/>
                <w:szCs w:val="20"/>
                <w:color w:val="auto"/>
              </w:rPr>
            </w:pPr>
            <w:r>
              <w:rPr>
                <w:rFonts w:ascii="Arial" w:cs="Arial" w:eastAsia="Arial" w:hAnsi="Arial"/>
                <w:sz w:val="17"/>
                <w:szCs w:val="17"/>
                <w:color w:val="auto"/>
              </w:rPr>
              <w:t>Accrued expenses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3,545,936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1,651,593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Deferred revenue</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13,553,136</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6,675,443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tcPr>
          <w:p>
            <w:pPr>
              <w:ind w:left="340"/>
              <w:spacing w:after="0"/>
              <w:rPr>
                <w:sz w:val="20"/>
                <w:szCs w:val="20"/>
                <w:color w:val="auto"/>
              </w:rPr>
            </w:pPr>
            <w:r>
              <w:rPr>
                <w:rFonts w:ascii="Arial" w:cs="Arial" w:eastAsia="Arial" w:hAnsi="Arial"/>
                <w:sz w:val="17"/>
                <w:szCs w:val="17"/>
                <w:color w:val="auto"/>
              </w:rPr>
              <w:t>Current portion of long-term debt</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159,265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141,212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7"/>
                <w:szCs w:val="17"/>
                <w:color w:val="auto"/>
              </w:rPr>
              <w:t>Total current liabilities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17,854,864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10,034,254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2"/>
        </w:trPr>
        <w:tc>
          <w:tcPr>
            <w:tcW w:w="7780" w:type="dxa"/>
            <w:vAlign w:val="bottom"/>
            <w:gridSpan w:val="2"/>
          </w:tcPr>
          <w:p>
            <w:pPr>
              <w:spacing w:after="0"/>
              <w:rPr>
                <w:sz w:val="20"/>
                <w:szCs w:val="20"/>
                <w:color w:val="auto"/>
              </w:rPr>
            </w:pPr>
            <w:r>
              <w:rPr>
                <w:rFonts w:ascii="Arial" w:cs="Arial" w:eastAsia="Arial" w:hAnsi="Arial"/>
                <w:sz w:val="17"/>
                <w:szCs w:val="17"/>
                <w:color w:val="auto"/>
              </w:rPr>
              <w:t>Deferred revenue</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48,545,625</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3,502,194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7"/>
                <w:szCs w:val="17"/>
                <w:color w:val="auto"/>
              </w:rPr>
              <w:t>Long term debt, net of current portion</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151,122</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312,575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tcPr>
          <w:p>
            <w:pPr>
              <w:spacing w:after="0"/>
              <w:rPr>
                <w:sz w:val="20"/>
                <w:szCs w:val="20"/>
                <w:color w:val="auto"/>
              </w:rPr>
            </w:pPr>
            <w:r>
              <w:rPr>
                <w:rFonts w:ascii="Arial" w:cs="Arial" w:eastAsia="Arial" w:hAnsi="Arial"/>
                <w:sz w:val="17"/>
                <w:szCs w:val="17"/>
                <w:color w:val="auto"/>
              </w:rPr>
              <w:t>Preferred unit warrant liability</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50,888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56,759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66,602,499</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13,905,782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7"/>
                <w:szCs w:val="17"/>
                <w:color w:val="auto"/>
              </w:rPr>
              <w:t>Commitments and contingencies (Note 12)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2"/>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7"/>
                <w:szCs w:val="17"/>
                <w:color w:val="auto"/>
              </w:rPr>
              <w:t>Series A redeemable convertible preferred units, no par value, at redemption value, 22,463,665</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units issued and outstanding</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19,768,025</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15,300,002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7780" w:type="dxa"/>
            <w:vAlign w:val="bottom"/>
            <w:gridSpan w:val="2"/>
          </w:tcPr>
          <w:p>
            <w:pPr>
              <w:spacing w:after="0"/>
              <w:rPr>
                <w:sz w:val="20"/>
                <w:szCs w:val="20"/>
                <w:color w:val="auto"/>
              </w:rPr>
            </w:pPr>
            <w:r>
              <w:rPr>
                <w:rFonts w:ascii="Arial" w:cs="Arial" w:eastAsia="Arial" w:hAnsi="Arial"/>
                <w:sz w:val="17"/>
                <w:szCs w:val="17"/>
                <w:color w:val="auto"/>
              </w:rPr>
              <w:t>Series B redeemable convertible preferred units, no par value, at redemption value, 24,977,489</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7"/>
                <w:szCs w:val="17"/>
                <w:color w:val="auto"/>
              </w:rPr>
              <w:t>units issued and outstanding</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41,712,407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41,609,999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2"/>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7"/>
                <w:szCs w:val="17"/>
                <w:color w:val="auto"/>
              </w:rPr>
              <w:t>Members’ equity:</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760" w:type="dxa"/>
            <w:vAlign w:val="bottom"/>
          </w:tcPr>
          <w:p>
            <w:pPr>
              <w:ind w:left="340"/>
              <w:spacing w:after="0"/>
              <w:rPr>
                <w:sz w:val="20"/>
                <w:szCs w:val="20"/>
                <w:color w:val="auto"/>
              </w:rPr>
            </w:pPr>
            <w:r>
              <w:rPr>
                <w:rFonts w:ascii="Arial" w:cs="Arial" w:eastAsia="Arial" w:hAnsi="Arial"/>
                <w:sz w:val="17"/>
                <w:szCs w:val="17"/>
                <w:color w:val="auto"/>
              </w:rPr>
              <w:t>Common units, no par value, 1,897,544 units issued and outstanding</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6,167</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6,167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Incentive units, no par value, 3,669,963 and 3,066,734 units issued as of December 31, 2017</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7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and 2016, respectively</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1,186,419</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941,371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760" w:type="dxa"/>
            <w:vAlign w:val="bottom"/>
          </w:tcPr>
          <w:p>
            <w:pPr>
              <w:ind w:left="340"/>
              <w:spacing w:after="0"/>
              <w:rPr>
                <w:sz w:val="20"/>
                <w:szCs w:val="20"/>
                <w:color w:val="auto"/>
              </w:rPr>
            </w:pPr>
            <w:r>
              <w:rPr>
                <w:rFonts w:ascii="Arial" w:cs="Arial" w:eastAsia="Arial" w:hAnsi="Arial"/>
                <w:sz w:val="17"/>
                <w:szCs w:val="17"/>
                <w:color w:val="auto"/>
              </w:rPr>
              <w:t>Accumulated deficit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(62,417,397)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(33,797,760)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Accumulated other comprehensive loss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(9,751)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(28,679)</w:t>
            </w:r>
          </w:p>
        </w:tc>
        <w:tc>
          <w:tcPr>
            <w:tcW w:w="0" w:type="dxa"/>
            <w:vAlign w:val="bottom"/>
          </w:tcPr>
          <w:p>
            <w:pPr>
              <w:spacing w:after="0"/>
              <w:rPr>
                <w:sz w:val="1"/>
                <w:szCs w:val="1"/>
                <w:color w:val="auto"/>
              </w:rPr>
            </w:pPr>
          </w:p>
        </w:tc>
      </w:tr>
      <w:tr>
        <w:trPr>
          <w:trHeight w:val="20"/>
        </w:trPr>
        <w:tc>
          <w:tcPr>
            <w:tcW w:w="77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80" w:type="dxa"/>
            <w:vAlign w:val="bottom"/>
            <w:gridSpan w:val="2"/>
          </w:tcPr>
          <w:p>
            <w:pPr>
              <w:spacing w:after="0"/>
              <w:rPr>
                <w:sz w:val="20"/>
                <w:szCs w:val="20"/>
                <w:color w:val="auto"/>
              </w:rPr>
            </w:pPr>
            <w:r>
              <w:rPr>
                <w:rFonts w:ascii="Arial" w:cs="Arial" w:eastAsia="Arial" w:hAnsi="Arial"/>
                <w:sz w:val="17"/>
                <w:szCs w:val="17"/>
                <w:color w:val="auto"/>
              </w:rPr>
              <w:t>Total members’ equity</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(61,234,562)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(32,878,901)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 and members’ equity</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66,848,369</w:t>
            </w:r>
          </w:p>
        </w:tc>
        <w:tc>
          <w:tcPr>
            <w:tcW w:w="2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37,936,882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See accompanying notes</w:t>
      </w:r>
    </w:p>
    <w:p>
      <w:pPr>
        <w:spacing w:after="0" w:line="16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11060"/>
          </w:cols>
          <w:pgMar w:left="240" w:top="450" w:right="599" w:bottom="1440" w:gutter="0" w:footer="0" w:header="0"/>
        </w:sectPr>
      </w:pPr>
    </w:p>
    <w:bookmarkStart w:id="204" w:name="page205"/>
    <w:bookmarkEnd w:id="2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ind w:left="3360"/>
        <w:spacing w:after="0"/>
        <w:rPr>
          <w:sz w:val="20"/>
          <w:szCs w:val="20"/>
          <w:color w:val="auto"/>
        </w:rPr>
      </w:pPr>
      <w:r>
        <w:rPr>
          <w:rFonts w:ascii="Arial" w:cs="Arial" w:eastAsia="Arial" w:hAnsi="Arial"/>
          <w:sz w:val="17"/>
          <w:szCs w:val="17"/>
          <w:b w:val="1"/>
          <w:bCs w:val="1"/>
          <w:color w:val="auto"/>
        </w:rPr>
        <w:t>ARVINAS HOLDING COMPANY, LLC AND SUBSIDIARIES</w:t>
      </w:r>
    </w:p>
    <w:p>
      <w:pPr>
        <w:spacing w:after="0" w:line="316" w:lineRule="exact"/>
        <w:rPr>
          <w:sz w:val="20"/>
          <w:szCs w:val="20"/>
          <w:color w:val="auto"/>
        </w:rPr>
      </w:pPr>
    </w:p>
    <w:p>
      <w:pPr>
        <w:ind w:left="2980"/>
        <w:spacing w:after="0"/>
        <w:rPr>
          <w:sz w:val="20"/>
          <w:szCs w:val="20"/>
          <w:color w:val="auto"/>
        </w:rPr>
      </w:pPr>
      <w:r>
        <w:rPr>
          <w:rFonts w:ascii="Arial" w:cs="Arial" w:eastAsia="Arial" w:hAnsi="Arial"/>
          <w:sz w:val="17"/>
          <w:szCs w:val="17"/>
          <w:b w:val="1"/>
          <w:bCs w:val="1"/>
          <w:color w:val="auto"/>
        </w:rPr>
        <w:t>Consolidated Statements of Operations and Comprehensive Loss</w:t>
      </w:r>
    </w:p>
    <w:p>
      <w:pPr>
        <w:spacing w:after="0" w:line="245"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rPr>
                <w:sz w:val="1"/>
                <w:szCs w:val="1"/>
                <w:color w:val="auto"/>
              </w:rPr>
            </w:pPr>
          </w:p>
        </w:tc>
      </w:tr>
      <w:tr>
        <w:trPr>
          <w:trHeight w:val="169"/>
        </w:trPr>
        <w:tc>
          <w:tcPr>
            <w:tcW w:w="8020" w:type="dxa"/>
            <w:vAlign w:val="bottom"/>
            <w:gridSpan w:val="2"/>
          </w:tcPr>
          <w:p>
            <w:pPr>
              <w:spacing w:after="0"/>
              <w:rPr>
                <w:sz w:val="20"/>
                <w:szCs w:val="20"/>
                <w:color w:val="auto"/>
              </w:rPr>
            </w:pPr>
            <w:r>
              <w:rPr>
                <w:rFonts w:ascii="Arial" w:cs="Arial" w:eastAsia="Arial" w:hAnsi="Arial"/>
                <w:sz w:val="14"/>
                <w:szCs w:val="14"/>
                <w:i w:val="1"/>
                <w:iCs w:val="1"/>
                <w:color w:val="auto"/>
              </w:rPr>
              <w:t>Consolidated Statements of Operations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8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296"/>
              <w:spacing w:after="0" w:line="151"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294"/>
              <w:spacing w:after="0" w:line="151"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Revenue</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7,578,876</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6,669,024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02"/>
        </w:trPr>
        <w:tc>
          <w:tcPr>
            <w:tcW w:w="802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Research and development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28,792,902</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19,942,194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0" w:type="dxa"/>
            <w:vAlign w:val="bottom"/>
          </w:tcPr>
          <w:p>
            <w:pPr>
              <w:ind w:left="340"/>
              <w:spacing w:after="0"/>
              <w:rPr>
                <w:sz w:val="20"/>
                <w:szCs w:val="20"/>
                <w:color w:val="auto"/>
              </w:rPr>
            </w:pPr>
            <w:r>
              <w:rPr>
                <w:rFonts w:ascii="Arial" w:cs="Arial" w:eastAsia="Arial" w:hAnsi="Arial"/>
                <w:sz w:val="17"/>
                <w:szCs w:val="17"/>
                <w:color w:val="auto"/>
              </w:rPr>
              <w:t>General and administrative</w:t>
            </w: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3,546,241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3,196,250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Total operating expenses</w:t>
            </w: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32,339,143</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23,138,444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20" w:type="dxa"/>
            <w:vAlign w:val="bottom"/>
            <w:gridSpan w:val="2"/>
          </w:tcPr>
          <w:p>
            <w:pPr>
              <w:spacing w:after="0"/>
              <w:rPr>
                <w:sz w:val="20"/>
                <w:szCs w:val="20"/>
                <w:color w:val="auto"/>
              </w:rPr>
            </w:pPr>
            <w:r>
              <w:rPr>
                <w:rFonts w:ascii="Arial" w:cs="Arial" w:eastAsia="Arial" w:hAnsi="Arial"/>
                <w:sz w:val="17"/>
                <w:szCs w:val="17"/>
                <w:color w:val="auto"/>
              </w:rPr>
              <w:t>Loss from operations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(24,760,267)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(16,469,420)</w:t>
            </w:r>
          </w:p>
        </w:tc>
        <w:tc>
          <w:tcPr>
            <w:tcW w:w="0" w:type="dxa"/>
            <w:vAlign w:val="bottom"/>
          </w:tcPr>
          <w:p>
            <w:pPr>
              <w:spacing w:after="0"/>
              <w:rPr>
                <w:sz w:val="1"/>
                <w:szCs w:val="1"/>
                <w:color w:val="auto"/>
              </w:rPr>
            </w:pPr>
          </w:p>
        </w:tc>
      </w:tr>
      <w:tr>
        <w:trPr>
          <w:trHeight w:val="92"/>
        </w:trPr>
        <w:tc>
          <w:tcPr>
            <w:tcW w:w="20" w:type="dxa"/>
            <w:vAlign w:val="bottom"/>
            <w:vMerge w:val="restart"/>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00" w:type="dxa"/>
            <w:vAlign w:val="bottom"/>
          </w:tcPr>
          <w:p>
            <w:pPr>
              <w:ind w:left="340"/>
              <w:spacing w:after="0"/>
              <w:rPr>
                <w:sz w:val="20"/>
                <w:szCs w:val="20"/>
                <w:color w:val="auto"/>
              </w:rPr>
            </w:pPr>
            <w:r>
              <w:rPr>
                <w:rFonts w:ascii="Arial" w:cs="Arial" w:eastAsia="Arial" w:hAnsi="Arial"/>
                <w:sz w:val="17"/>
                <w:szCs w:val="17"/>
                <w:color w:val="auto"/>
              </w:rPr>
              <w:t>Other income, net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554,159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1,656,184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Change in fair value of preferred unit warrant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5,871</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14,816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00" w:type="dxa"/>
            <w:vAlign w:val="bottom"/>
          </w:tcPr>
          <w:p>
            <w:pPr>
              <w:ind w:left="340"/>
              <w:spacing w:after="0"/>
              <w:rPr>
                <w:sz w:val="20"/>
                <w:szCs w:val="20"/>
                <w:color w:val="auto"/>
              </w:rPr>
            </w:pPr>
            <w:r>
              <w:rPr>
                <w:rFonts w:ascii="Arial" w:cs="Arial" w:eastAsia="Arial" w:hAnsi="Arial"/>
                <w:sz w:val="17"/>
                <w:szCs w:val="17"/>
                <w:color w:val="auto"/>
              </w:rPr>
              <w:t>Interest income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201,388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427,773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 expense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(50,357)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(67,404)</w:t>
            </w:r>
          </w:p>
        </w:tc>
        <w:tc>
          <w:tcPr>
            <w:tcW w:w="0" w:type="dxa"/>
            <w:vAlign w:val="bottom"/>
          </w:tcPr>
          <w:p>
            <w:pPr>
              <w:spacing w:after="0"/>
              <w:rPr>
                <w:sz w:val="1"/>
                <w:szCs w:val="1"/>
                <w:color w:val="auto"/>
              </w:rPr>
            </w:pPr>
          </w:p>
        </w:tc>
      </w:tr>
      <w:tr>
        <w:trPr>
          <w:trHeight w:val="216"/>
        </w:trPr>
        <w:tc>
          <w:tcPr>
            <w:tcW w:w="8020" w:type="dxa"/>
            <w:vAlign w:val="bottom"/>
            <w:gridSpan w:val="2"/>
          </w:tcPr>
          <w:p>
            <w:pPr>
              <w:spacing w:after="0"/>
              <w:rPr>
                <w:sz w:val="20"/>
                <w:szCs w:val="20"/>
                <w:color w:val="auto"/>
              </w:rPr>
            </w:pPr>
            <w:r>
              <w:rPr>
                <w:rFonts w:ascii="Arial" w:cs="Arial" w:eastAsia="Arial" w:hAnsi="Arial"/>
                <w:sz w:val="17"/>
                <w:szCs w:val="17"/>
                <w:color w:val="auto"/>
              </w:rPr>
              <w:t>Total other income</w:t>
            </w: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711,061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2,031,369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2"/>
        </w:trPr>
        <w:tc>
          <w:tcPr>
            <w:tcW w:w="20" w:type="dxa"/>
            <w:vAlign w:val="bottom"/>
            <w:vMerge w:val="restart"/>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Loss before income taxes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(24,049,206)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(14,438,051)</w:t>
            </w:r>
          </w:p>
        </w:tc>
        <w:tc>
          <w:tcPr>
            <w:tcW w:w="0" w:type="dxa"/>
            <w:vAlign w:val="bottom"/>
          </w:tcPr>
          <w:p>
            <w:pPr>
              <w:spacing w:after="0"/>
              <w:rPr>
                <w:sz w:val="1"/>
                <w:szCs w:val="1"/>
                <w:color w:val="auto"/>
              </w:rPr>
            </w:pPr>
          </w:p>
        </w:tc>
      </w:tr>
      <w:tr>
        <w:trPr>
          <w:trHeight w:val="308"/>
        </w:trPr>
        <w:tc>
          <w:tcPr>
            <w:tcW w:w="8020" w:type="dxa"/>
            <w:vAlign w:val="bottom"/>
            <w:gridSpan w:val="2"/>
          </w:tcPr>
          <w:p>
            <w:pPr>
              <w:spacing w:after="0"/>
              <w:rPr>
                <w:sz w:val="20"/>
                <w:szCs w:val="20"/>
                <w:color w:val="auto"/>
              </w:rPr>
            </w:pPr>
            <w:r>
              <w:rPr>
                <w:rFonts w:ascii="Arial" w:cs="Arial" w:eastAsia="Arial" w:hAnsi="Arial"/>
                <w:sz w:val="17"/>
                <w:szCs w:val="17"/>
                <w:color w:val="auto"/>
              </w:rPr>
              <w:t>Benefit from income taxes</w:t>
            </w: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87,408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(24,049,206)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(14,350,643)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00" w:type="dxa"/>
            <w:vAlign w:val="bottom"/>
          </w:tcPr>
          <w:p>
            <w:pPr>
              <w:ind w:left="340"/>
              <w:spacing w:after="0"/>
              <w:rPr>
                <w:sz w:val="20"/>
                <w:szCs w:val="20"/>
                <w:color w:val="auto"/>
              </w:rPr>
            </w:pPr>
            <w:r>
              <w:rPr>
                <w:rFonts w:ascii="Arial" w:cs="Arial" w:eastAsia="Arial" w:hAnsi="Arial"/>
                <w:sz w:val="17"/>
                <w:szCs w:val="17"/>
                <w:color w:val="auto"/>
              </w:rPr>
              <w:t>Change in redemption value of redeemable preferred units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(4,570,431)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1,997,020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8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Net loss attributable to common units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(28,619,637)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(12,353,623)</w:t>
            </w:r>
          </w:p>
        </w:tc>
        <w:tc>
          <w:tcPr>
            <w:tcW w:w="0" w:type="dxa"/>
            <w:vAlign w:val="bottom"/>
          </w:tcPr>
          <w:p>
            <w:pPr>
              <w:spacing w:after="0"/>
              <w:rPr>
                <w:sz w:val="1"/>
                <w:szCs w:val="1"/>
                <w:color w:val="auto"/>
              </w:rPr>
            </w:pPr>
          </w:p>
        </w:tc>
      </w:tr>
      <w:tr>
        <w:trPr>
          <w:trHeight w:val="20"/>
        </w:trPr>
        <w:tc>
          <w:tcPr>
            <w:tcW w:w="8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020" w:type="dxa"/>
            <w:vAlign w:val="bottom"/>
            <w:gridSpan w:val="2"/>
          </w:tcPr>
          <w:p>
            <w:pPr>
              <w:spacing w:after="0" w:line="189" w:lineRule="exact"/>
              <w:rPr>
                <w:sz w:val="20"/>
                <w:szCs w:val="20"/>
                <w:color w:val="auto"/>
              </w:rPr>
            </w:pPr>
            <w:r>
              <w:rPr>
                <w:rFonts w:ascii="Arial" w:cs="Arial" w:eastAsia="Arial" w:hAnsi="Arial"/>
                <w:sz w:val="17"/>
                <w:szCs w:val="17"/>
                <w:color w:val="auto"/>
              </w:rPr>
              <w:t>Net loss per common unit, basic and diluted</w:t>
            </w:r>
          </w:p>
        </w:tc>
        <w:tc>
          <w:tcPr>
            <w:tcW w:w="100" w:type="dxa"/>
            <w:vAlign w:val="bottom"/>
            <w:gridSpan w:val="2"/>
          </w:tcPr>
          <w:p>
            <w:pPr>
              <w:jc w:val="right"/>
              <w:spacing w:after="0" w:line="189" w:lineRule="exact"/>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(15.08)</w:t>
            </w:r>
          </w:p>
        </w:tc>
        <w:tc>
          <w:tcPr>
            <w:tcW w:w="3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(6.51)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0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Weighted average common units outstanding, basic and diluted</w:t>
            </w: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1,897,544</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1,897,544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020" w:type="dxa"/>
            <w:vAlign w:val="bottom"/>
            <w:gridSpan w:val="2"/>
          </w:tcPr>
          <w:p>
            <w:pPr>
              <w:spacing w:after="0" w:line="189" w:lineRule="exact"/>
              <w:rPr>
                <w:sz w:val="20"/>
                <w:szCs w:val="20"/>
                <w:color w:val="auto"/>
              </w:rPr>
            </w:pPr>
            <w:r>
              <w:rPr>
                <w:rFonts w:ascii="Arial" w:cs="Arial" w:eastAsia="Arial" w:hAnsi="Arial"/>
                <w:sz w:val="17"/>
                <w:szCs w:val="17"/>
                <w:color w:val="auto"/>
              </w:rPr>
              <w:t>Pro forma net loss per share, basic and diluted (unaudited)</w:t>
            </w:r>
          </w:p>
        </w:tc>
        <w:tc>
          <w:tcPr>
            <w:tcW w:w="100" w:type="dxa"/>
            <w:vAlign w:val="bottom"/>
            <w:gridSpan w:val="2"/>
          </w:tcPr>
          <w:p>
            <w:pPr>
              <w:jc w:val="right"/>
              <w:spacing w:after="0" w:line="189" w:lineRule="exact"/>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(1.35)</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0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 forma weighted average shares outstanding, basic and diluted (unaudited)</w:t>
            </w: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17,879,297</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rPr>
                <w:sz w:val="1"/>
                <w:szCs w:val="1"/>
                <w:color w:val="auto"/>
              </w:rPr>
            </w:pPr>
          </w:p>
        </w:tc>
      </w:tr>
      <w:tr>
        <w:trPr>
          <w:trHeight w:val="169"/>
        </w:trPr>
        <w:tc>
          <w:tcPr>
            <w:tcW w:w="8020" w:type="dxa"/>
            <w:vAlign w:val="bottom"/>
            <w:gridSpan w:val="2"/>
          </w:tcPr>
          <w:p>
            <w:pPr>
              <w:spacing w:after="0"/>
              <w:rPr>
                <w:sz w:val="20"/>
                <w:szCs w:val="20"/>
                <w:color w:val="auto"/>
              </w:rPr>
            </w:pPr>
            <w:r>
              <w:rPr>
                <w:rFonts w:ascii="Arial" w:cs="Arial" w:eastAsia="Arial" w:hAnsi="Arial"/>
                <w:sz w:val="14"/>
                <w:szCs w:val="14"/>
                <w:i w:val="1"/>
                <w:iCs w:val="1"/>
                <w:color w:val="auto"/>
              </w:rPr>
              <w:t>Consolidated Statements of Comprehensive Loss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8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296"/>
              <w:spacing w:after="0" w:line="151"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294"/>
              <w:spacing w:after="0" w:line="151"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loss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97"/>
              </w:rPr>
              <w:t>(24,049,206)</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97"/>
              </w:rPr>
              <w:t>(14,350,643)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02"/>
        </w:trPr>
        <w:tc>
          <w:tcPr>
            <w:tcW w:w="8020" w:type="dxa"/>
            <w:vAlign w:val="bottom"/>
            <w:gridSpan w:val="2"/>
          </w:tcPr>
          <w:p>
            <w:pPr>
              <w:spacing w:after="0"/>
              <w:rPr>
                <w:sz w:val="20"/>
                <w:szCs w:val="20"/>
                <w:color w:val="auto"/>
              </w:rPr>
            </w:pPr>
            <w:r>
              <w:rPr>
                <w:rFonts w:ascii="Arial" w:cs="Arial" w:eastAsia="Arial" w:hAnsi="Arial"/>
                <w:sz w:val="17"/>
                <w:szCs w:val="17"/>
                <w:color w:val="auto"/>
              </w:rPr>
              <w:t>Other comprehensive gain (loss):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Unrealized gain (loss) on available-for-sale securities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18,928</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(12,006)</w:t>
            </w:r>
          </w:p>
        </w:tc>
        <w:tc>
          <w:tcPr>
            <w:tcW w:w="0" w:type="dxa"/>
            <w:vAlign w:val="bottom"/>
          </w:tcPr>
          <w:p>
            <w:pPr>
              <w:spacing w:after="0"/>
              <w:rPr>
                <w:sz w:val="1"/>
                <w:szCs w:val="1"/>
                <w:color w:val="auto"/>
              </w:rPr>
            </w:pPr>
          </w:p>
        </w:tc>
      </w:tr>
      <w:tr>
        <w:trPr>
          <w:trHeight w:val="20"/>
        </w:trPr>
        <w:tc>
          <w:tcPr>
            <w:tcW w:w="8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20" w:type="dxa"/>
            <w:vAlign w:val="bottom"/>
            <w:gridSpan w:val="2"/>
          </w:tcPr>
          <w:p>
            <w:pPr>
              <w:spacing w:after="0"/>
              <w:rPr>
                <w:sz w:val="20"/>
                <w:szCs w:val="20"/>
                <w:color w:val="auto"/>
              </w:rPr>
            </w:pPr>
            <w:r>
              <w:rPr>
                <w:rFonts w:ascii="Arial" w:cs="Arial" w:eastAsia="Arial" w:hAnsi="Arial"/>
                <w:sz w:val="17"/>
                <w:szCs w:val="17"/>
                <w:color w:val="auto"/>
              </w:rPr>
              <w:t>Comprehensive loss</w:t>
            </w: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(24,030,278)</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(14,362,649)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See accompanying notes</w:t>
      </w:r>
    </w:p>
    <w:p>
      <w:pPr>
        <w:spacing w:after="0" w:line="16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1060"/>
          </w:cols>
          <w:pgMar w:left="240" w:top="449" w:right="599" w:bottom="1440" w:gutter="0" w:footer="0" w:header="0"/>
        </w:sectPr>
      </w:pPr>
    </w:p>
    <w:bookmarkStart w:id="205" w:name="page206"/>
    <w:bookmarkEnd w:id="2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ARVINAS HOLDING COMPANY, LLC AND SUBSIDIARIES</w:t>
      </w:r>
    </w:p>
    <w:p>
      <w:pPr>
        <w:spacing w:after="0" w:line="316" w:lineRule="exact"/>
        <w:rPr>
          <w:sz w:val="20"/>
          <w:szCs w:val="20"/>
          <w:color w:val="auto"/>
        </w:rPr>
      </w:pPr>
    </w:p>
    <w:p>
      <w:pPr>
        <w:ind w:left="1460"/>
        <w:spacing w:after="0"/>
        <w:rPr>
          <w:sz w:val="20"/>
          <w:szCs w:val="20"/>
          <w:color w:val="auto"/>
        </w:rPr>
      </w:pPr>
      <w:r>
        <w:rPr>
          <w:rFonts w:ascii="Arial" w:cs="Arial" w:eastAsia="Arial" w:hAnsi="Arial"/>
          <w:sz w:val="17"/>
          <w:szCs w:val="17"/>
          <w:b w:val="1"/>
          <w:bCs w:val="1"/>
          <w:color w:val="auto"/>
        </w:rPr>
        <w:t>Consolidated Statements of Redeemable Convertible Preferred Units and Changes in Members’ Equity</w:t>
      </w:r>
    </w:p>
    <w:p>
      <w:pPr>
        <w:spacing w:after="0" w:line="245"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0" w:type="dxa"/>
            <w:vAlign w:val="bottom"/>
            <w:gridSpan w:val="3"/>
            <w:vMerge w:val="restart"/>
          </w:tcPr>
          <w:p>
            <w:pPr>
              <w:jc w:val="right"/>
              <w:ind w:right="30"/>
              <w:spacing w:after="0"/>
              <w:rPr>
                <w:sz w:val="20"/>
                <w:szCs w:val="20"/>
                <w:color w:val="auto"/>
              </w:rPr>
            </w:pPr>
            <w:r>
              <w:rPr>
                <w:rFonts w:ascii="Arial" w:cs="Arial" w:eastAsia="Arial" w:hAnsi="Arial"/>
                <w:sz w:val="14"/>
                <w:szCs w:val="14"/>
                <w:b w:val="1"/>
                <w:bCs w:val="1"/>
                <w:color w:val="auto"/>
              </w:rPr>
              <w:t>Series B Redeemable</w:t>
            </w:r>
          </w:p>
        </w:tc>
        <w:tc>
          <w:tcPr>
            <w:tcW w:w="80" w:type="dxa"/>
            <w:vAlign w:val="bottom"/>
          </w:tcPr>
          <w:p>
            <w:pPr>
              <w:spacing w:after="0"/>
              <w:rPr>
                <w:sz w:val="14"/>
                <w:szCs w:val="14"/>
                <w:color w:val="auto"/>
              </w:rPr>
            </w:pPr>
          </w:p>
        </w:tc>
        <w:tc>
          <w:tcPr>
            <w:tcW w:w="1860" w:type="dxa"/>
            <w:vAlign w:val="bottom"/>
            <w:tcBorders>
              <w:right w:val="single" w:sz="8" w:color="auto"/>
            </w:tcBorders>
            <w:gridSpan w:val="4"/>
            <w:vMerge w:val="restart"/>
          </w:tcPr>
          <w:p>
            <w:pPr>
              <w:jc w:val="right"/>
              <w:ind w:right="340"/>
              <w:spacing w:after="0"/>
              <w:rPr>
                <w:sz w:val="20"/>
                <w:szCs w:val="20"/>
                <w:color w:val="auto"/>
              </w:rPr>
            </w:pPr>
            <w:r>
              <w:rPr>
                <w:rFonts w:ascii="Arial" w:cs="Arial" w:eastAsia="Arial" w:hAnsi="Arial"/>
                <w:sz w:val="14"/>
                <w:szCs w:val="14"/>
                <w:b w:val="1"/>
                <w:bCs w:val="1"/>
                <w:color w:val="auto"/>
              </w:rPr>
              <w:t>Series A Redeemable</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860" w:type="dxa"/>
            <w:vAlign w:val="bottom"/>
            <w:tcBorders>
              <w:right w:val="single" w:sz="8" w:color="auto"/>
            </w:tcBorders>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gridSpan w:val="2"/>
            <w:vMerge w:val="restart"/>
          </w:tcPr>
          <w:p>
            <w:pPr>
              <w:jc w:val="center"/>
              <w:ind w:right="160"/>
              <w:spacing w:after="0" w:line="157" w:lineRule="exact"/>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7"/>
                <w:szCs w:val="7"/>
                <w:color w:val="auto"/>
              </w:rPr>
            </w:pPr>
          </w:p>
        </w:tc>
        <w:tc>
          <w:tcPr>
            <w:tcW w:w="920" w:type="dxa"/>
            <w:vAlign w:val="bottom"/>
            <w:gridSpan w:val="2"/>
            <w:vMerge w:val="restart"/>
          </w:tcPr>
          <w:p>
            <w:pPr>
              <w:jc w:val="center"/>
              <w:ind w:right="80"/>
              <w:spacing w:after="0" w:line="157"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600" w:type="dxa"/>
            <w:vAlign w:val="bottom"/>
            <w:gridSpan w:val="3"/>
            <w:vMerge w:val="restart"/>
          </w:tcPr>
          <w:p>
            <w:pPr>
              <w:jc w:val="right"/>
              <w:ind w:right="10"/>
              <w:spacing w:after="0"/>
              <w:rPr>
                <w:sz w:val="20"/>
                <w:szCs w:val="20"/>
                <w:color w:val="auto"/>
              </w:rPr>
            </w:pPr>
            <w:r>
              <w:rPr>
                <w:rFonts w:ascii="Arial" w:cs="Arial" w:eastAsia="Arial" w:hAnsi="Arial"/>
                <w:sz w:val="14"/>
                <w:szCs w:val="14"/>
                <w:b w:val="1"/>
                <w:bCs w:val="1"/>
                <w:color w:val="auto"/>
              </w:rPr>
              <w:t>Convertible Preferred</w:t>
            </w:r>
          </w:p>
        </w:tc>
        <w:tc>
          <w:tcPr>
            <w:tcW w:w="80" w:type="dxa"/>
            <w:vAlign w:val="bottom"/>
          </w:tcPr>
          <w:p>
            <w:pPr>
              <w:spacing w:after="0"/>
              <w:rPr>
                <w:sz w:val="5"/>
                <w:szCs w:val="5"/>
                <w:color w:val="auto"/>
              </w:rPr>
            </w:pPr>
          </w:p>
        </w:tc>
        <w:tc>
          <w:tcPr>
            <w:tcW w:w="1860" w:type="dxa"/>
            <w:vAlign w:val="bottom"/>
            <w:tcBorders>
              <w:right w:val="single" w:sz="8" w:color="auto"/>
            </w:tcBorders>
            <w:gridSpan w:val="4"/>
            <w:vMerge w:val="restart"/>
          </w:tcPr>
          <w:p>
            <w:pPr>
              <w:jc w:val="right"/>
              <w:ind w:right="340"/>
              <w:spacing w:after="0"/>
              <w:rPr>
                <w:sz w:val="20"/>
                <w:szCs w:val="20"/>
                <w:color w:val="auto"/>
              </w:rPr>
            </w:pPr>
            <w:r>
              <w:rPr>
                <w:rFonts w:ascii="Arial" w:cs="Arial" w:eastAsia="Arial" w:hAnsi="Arial"/>
                <w:sz w:val="14"/>
                <w:szCs w:val="14"/>
                <w:b w:val="1"/>
                <w:bCs w:val="1"/>
                <w:color w:val="auto"/>
              </w:rPr>
              <w:t>Convertible Preferred</w:t>
            </w:r>
          </w:p>
        </w:tc>
        <w:tc>
          <w:tcPr>
            <w:tcW w:w="20" w:type="dxa"/>
            <w:vAlign w:val="bottom"/>
          </w:tcPr>
          <w:p>
            <w:pPr>
              <w:spacing w:after="0"/>
              <w:rPr>
                <w:sz w:val="5"/>
                <w:szCs w:val="5"/>
                <w:color w:val="auto"/>
              </w:rPr>
            </w:pPr>
          </w:p>
        </w:tc>
        <w:tc>
          <w:tcPr>
            <w:tcW w:w="1280" w:type="dxa"/>
            <w:vAlign w:val="bottom"/>
            <w:gridSpan w:val="4"/>
            <w:vMerge w:val="restart"/>
          </w:tcPr>
          <w:p>
            <w:pPr>
              <w:jc w:val="right"/>
              <w:ind w:right="270"/>
              <w:spacing w:after="0"/>
              <w:rPr>
                <w:sz w:val="20"/>
                <w:szCs w:val="20"/>
                <w:color w:val="auto"/>
              </w:rPr>
            </w:pPr>
            <w:r>
              <w:rPr>
                <w:rFonts w:ascii="Arial" w:cs="Arial" w:eastAsia="Arial" w:hAnsi="Arial"/>
                <w:sz w:val="14"/>
                <w:szCs w:val="14"/>
                <w:b w:val="1"/>
                <w:bCs w:val="1"/>
                <w:color w:val="auto"/>
              </w:rPr>
              <w:t>Common</w:t>
            </w:r>
          </w:p>
        </w:tc>
        <w:tc>
          <w:tcPr>
            <w:tcW w:w="80" w:type="dxa"/>
            <w:vAlign w:val="bottom"/>
          </w:tcPr>
          <w:p>
            <w:pPr>
              <w:spacing w:after="0"/>
              <w:rPr>
                <w:sz w:val="5"/>
                <w:szCs w:val="5"/>
                <w:color w:val="auto"/>
              </w:rPr>
            </w:pPr>
          </w:p>
        </w:tc>
        <w:tc>
          <w:tcPr>
            <w:tcW w:w="1460" w:type="dxa"/>
            <w:vAlign w:val="bottom"/>
            <w:gridSpan w:val="4"/>
            <w:vMerge w:val="restart"/>
          </w:tcPr>
          <w:p>
            <w:pPr>
              <w:jc w:val="right"/>
              <w:ind w:right="350"/>
              <w:spacing w:after="0"/>
              <w:rPr>
                <w:sz w:val="20"/>
                <w:szCs w:val="20"/>
                <w:color w:val="auto"/>
              </w:rPr>
            </w:pPr>
            <w:r>
              <w:rPr>
                <w:rFonts w:ascii="Arial" w:cs="Arial" w:eastAsia="Arial" w:hAnsi="Arial"/>
                <w:sz w:val="14"/>
                <w:szCs w:val="14"/>
                <w:b w:val="1"/>
                <w:bCs w:val="1"/>
                <w:color w:val="auto"/>
              </w:rPr>
              <w:t>Incentive</w:t>
            </w: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860" w:type="dxa"/>
            <w:vAlign w:val="bottom"/>
            <w:tcBorders>
              <w:right w:val="single" w:sz="8" w:color="auto"/>
            </w:tcBorders>
            <w:gridSpan w:val="4"/>
            <w:vMerge w:val="continue"/>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1040" w:type="dxa"/>
            <w:vAlign w:val="bottom"/>
            <w:gridSpan w:val="3"/>
            <w:vMerge w:val="restart"/>
          </w:tcPr>
          <w:p>
            <w:pPr>
              <w:jc w:val="right"/>
              <w:ind w:right="80"/>
              <w:spacing w:after="0" w:line="157" w:lineRule="exact"/>
              <w:rPr>
                <w:sz w:val="20"/>
                <w:szCs w:val="20"/>
                <w:color w:val="auto"/>
              </w:rPr>
            </w:pPr>
            <w:r>
              <w:rPr>
                <w:rFonts w:ascii="Arial" w:cs="Arial" w:eastAsia="Arial" w:hAnsi="Arial"/>
                <w:sz w:val="14"/>
                <w:szCs w:val="14"/>
                <w:b w:val="1"/>
                <w:bCs w:val="1"/>
                <w:color w:val="auto"/>
              </w:rPr>
              <w:t>Accumulated</w:t>
            </w:r>
          </w:p>
        </w:tc>
        <w:tc>
          <w:tcPr>
            <w:tcW w:w="1180" w:type="dxa"/>
            <w:vAlign w:val="bottom"/>
            <w:gridSpan w:val="4"/>
            <w:vMerge w:val="restart"/>
          </w:tcPr>
          <w:p>
            <w:pPr>
              <w:ind w:left="40"/>
              <w:spacing w:after="0" w:line="157" w:lineRule="exact"/>
              <w:rPr>
                <w:sz w:val="20"/>
                <w:szCs w:val="20"/>
                <w:color w:val="auto"/>
              </w:rPr>
            </w:pPr>
            <w:r>
              <w:rPr>
                <w:rFonts w:ascii="Arial" w:cs="Arial" w:eastAsia="Arial" w:hAnsi="Arial"/>
                <w:sz w:val="14"/>
                <w:szCs w:val="14"/>
                <w:b w:val="1"/>
                <w:bCs w:val="1"/>
                <w:color w:val="auto"/>
              </w:rPr>
              <w:t>Comprehensive</w:t>
            </w:r>
          </w:p>
        </w:tc>
        <w:tc>
          <w:tcPr>
            <w:tcW w:w="40" w:type="dxa"/>
            <w:vAlign w:val="bottom"/>
          </w:tcPr>
          <w:p>
            <w:pPr>
              <w:spacing w:after="0"/>
              <w:rPr>
                <w:sz w:val="8"/>
                <w:szCs w:val="8"/>
                <w:color w:val="auto"/>
              </w:rPr>
            </w:pPr>
          </w:p>
        </w:tc>
        <w:tc>
          <w:tcPr>
            <w:tcW w:w="920" w:type="dxa"/>
            <w:vAlign w:val="bottom"/>
            <w:gridSpan w:val="2"/>
            <w:vMerge w:val="restart"/>
          </w:tcPr>
          <w:p>
            <w:pPr>
              <w:jc w:val="center"/>
              <w:ind w:right="100"/>
              <w:spacing w:after="0" w:line="157" w:lineRule="exact"/>
              <w:rPr>
                <w:sz w:val="20"/>
                <w:szCs w:val="20"/>
                <w:color w:val="auto"/>
              </w:rPr>
            </w:pPr>
            <w:r>
              <w:rPr>
                <w:rFonts w:ascii="Arial" w:cs="Arial" w:eastAsia="Arial" w:hAnsi="Arial"/>
                <w:sz w:val="14"/>
                <w:szCs w:val="14"/>
                <w:b w:val="1"/>
                <w:bCs w:val="1"/>
                <w:color w:val="auto"/>
              </w:rPr>
              <w:t>Members’</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040" w:type="dxa"/>
            <w:vAlign w:val="bottom"/>
            <w:gridSpan w:val="3"/>
            <w:vMerge w:val="continue"/>
          </w:tcPr>
          <w:p>
            <w:pPr>
              <w:spacing w:after="0"/>
              <w:rPr>
                <w:sz w:val="2"/>
                <w:szCs w:val="2"/>
                <w:color w:val="auto"/>
              </w:rPr>
            </w:pPr>
          </w:p>
        </w:tc>
        <w:tc>
          <w:tcPr>
            <w:tcW w:w="1180" w:type="dxa"/>
            <w:vAlign w:val="bottom"/>
            <w:gridSpan w:val="4"/>
            <w:vMerge w:val="continue"/>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40" w:type="dxa"/>
            <w:vAlign w:val="bottom"/>
          </w:tcPr>
          <w:p>
            <w:pPr>
              <w:jc w:val="right"/>
              <w:ind w:right="130"/>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4"/>
                <w:szCs w:val="14"/>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4"/>
                <w:szCs w:val="14"/>
                <w:color w:val="auto"/>
              </w:rPr>
            </w:pPr>
          </w:p>
        </w:tc>
        <w:tc>
          <w:tcPr>
            <w:tcW w:w="760" w:type="dxa"/>
            <w:vAlign w:val="bottom"/>
          </w:tcPr>
          <w:p>
            <w:pPr>
              <w:jc w:val="right"/>
              <w:ind w:right="130"/>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4"/>
                <w:szCs w:val="14"/>
                <w:color w:val="auto"/>
              </w:rPr>
            </w:pPr>
          </w:p>
        </w:tc>
        <w:tc>
          <w:tcPr>
            <w:tcW w:w="102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4"/>
                <w:szCs w:val="14"/>
                <w:color w:val="auto"/>
              </w:rPr>
            </w:pPr>
          </w:p>
        </w:tc>
        <w:tc>
          <w:tcPr>
            <w:tcW w:w="680" w:type="dxa"/>
            <w:vAlign w:val="bottom"/>
          </w:tcPr>
          <w:p>
            <w:pPr>
              <w:jc w:val="right"/>
              <w:ind w:right="110"/>
              <w:spacing w:after="0"/>
              <w:rPr>
                <w:sz w:val="20"/>
                <w:szCs w:val="20"/>
                <w:color w:val="auto"/>
              </w:rPr>
            </w:pPr>
            <w:r>
              <w:rPr>
                <w:rFonts w:ascii="Arial" w:cs="Arial" w:eastAsia="Arial" w:hAnsi="Arial"/>
                <w:sz w:val="14"/>
                <w:szCs w:val="14"/>
                <w:b w:val="1"/>
                <w:bCs w:val="1"/>
                <w:color w:val="auto"/>
              </w:rPr>
              <w:t>Units</w:t>
            </w:r>
          </w:p>
        </w:tc>
        <w:tc>
          <w:tcPr>
            <w:tcW w:w="600" w:type="dxa"/>
            <w:vAlign w:val="bottom"/>
            <w:gridSpan w:val="3"/>
          </w:tcPr>
          <w:p>
            <w:pPr>
              <w:ind w:left="60"/>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4"/>
                <w:szCs w:val="14"/>
                <w:color w:val="auto"/>
              </w:rPr>
            </w:pPr>
          </w:p>
        </w:tc>
        <w:tc>
          <w:tcPr>
            <w:tcW w:w="680" w:type="dxa"/>
            <w:vAlign w:val="bottom"/>
          </w:tcPr>
          <w:p>
            <w:pPr>
              <w:jc w:val="right"/>
              <w:ind w:right="110"/>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Loss</w:t>
            </w:r>
          </w:p>
        </w:tc>
        <w:tc>
          <w:tcPr>
            <w:tcW w:w="4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w:t>
            </w: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right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4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December 31,</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tcBorders>
              <w:right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40" w:type="dxa"/>
            <w:vAlign w:val="bottom"/>
            <w:shd w:val="clear" w:color="auto" w:fill="CCEEFF"/>
          </w:tcPr>
          <w:p>
            <w:pPr>
              <w:ind w:left="120"/>
              <w:spacing w:after="0" w:line="153" w:lineRule="exact"/>
              <w:rPr>
                <w:sz w:val="20"/>
                <w:szCs w:val="20"/>
                <w:color w:val="auto"/>
              </w:rPr>
            </w:pPr>
            <w:r>
              <w:rPr>
                <w:rFonts w:ascii="Arial" w:cs="Arial" w:eastAsia="Arial" w:hAnsi="Arial"/>
                <w:sz w:val="14"/>
                <w:szCs w:val="14"/>
                <w:color w:val="auto"/>
              </w:rPr>
              <w:t>2015</w:t>
            </w:r>
          </w:p>
        </w:tc>
        <w:tc>
          <w:tcPr>
            <w:tcW w:w="74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24,977,489</w:t>
            </w:r>
          </w:p>
        </w:tc>
        <w:tc>
          <w:tcPr>
            <w:tcW w:w="86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$41,609,999</w:t>
            </w:r>
          </w:p>
        </w:tc>
        <w:tc>
          <w:tcPr>
            <w:tcW w:w="84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22,463,665</w:t>
            </w:r>
          </w:p>
        </w:tc>
        <w:tc>
          <w:tcPr>
            <w:tcW w:w="86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$17,297,022</w:t>
            </w:r>
          </w:p>
        </w:tc>
        <w:tc>
          <w:tcPr>
            <w:tcW w:w="240" w:type="dxa"/>
            <w:vAlign w:val="bottom"/>
            <w:tcBorders>
              <w:right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1,897,544</w:t>
            </w:r>
          </w:p>
        </w:tc>
        <w:tc>
          <w:tcPr>
            <w:tcW w:w="200" w:type="dxa"/>
            <w:vAlign w:val="bottom"/>
            <w:gridSpan w:val="2"/>
            <w:shd w:val="clear" w:color="auto" w:fill="CCEEFF"/>
          </w:tcPr>
          <w:p>
            <w:pPr>
              <w:ind w:left="60"/>
              <w:spacing w:after="0" w:line="153"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6,167</w:t>
            </w:r>
          </w:p>
        </w:tc>
        <w:tc>
          <w:tcPr>
            <w:tcW w:w="76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2,059,309</w:t>
            </w:r>
          </w:p>
        </w:tc>
        <w:tc>
          <w:tcPr>
            <w:tcW w:w="14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415,785</w:t>
            </w:r>
          </w:p>
        </w:tc>
        <w:tc>
          <w:tcPr>
            <w:tcW w:w="1040" w:type="dxa"/>
            <w:vAlign w:val="bottom"/>
            <w:gridSpan w:val="3"/>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 (21,444,137)</w:t>
            </w:r>
          </w:p>
        </w:tc>
        <w:tc>
          <w:tcPr>
            <w:tcW w:w="120" w:type="dxa"/>
            <w:vAlign w:val="bottom"/>
            <w:gridSpan w:val="2"/>
            <w:shd w:val="clear" w:color="auto" w:fill="CCEEFF"/>
          </w:tcPr>
          <w:p>
            <w:pPr>
              <w:ind w:left="40"/>
              <w:spacing w:after="0" w:line="153"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(16,673)</w:t>
            </w:r>
          </w:p>
        </w:tc>
        <w:tc>
          <w:tcPr>
            <w:tcW w:w="960" w:type="dxa"/>
            <w:vAlign w:val="bottom"/>
            <w:gridSpan w:val="3"/>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$(21,038,858)</w:t>
            </w:r>
          </w:p>
        </w:tc>
        <w:tc>
          <w:tcPr>
            <w:tcW w:w="0" w:type="dxa"/>
            <w:vAlign w:val="bottom"/>
          </w:tcPr>
          <w:p>
            <w:pPr>
              <w:spacing w:after="0"/>
              <w:rPr>
                <w:sz w:val="1"/>
                <w:szCs w:val="1"/>
                <w:color w:val="auto"/>
              </w:rPr>
            </w:pPr>
          </w:p>
        </w:tc>
      </w:tr>
      <w:tr>
        <w:trPr>
          <w:trHeight w:val="162"/>
        </w:trPr>
        <w:tc>
          <w:tcPr>
            <w:tcW w:w="1260" w:type="dxa"/>
            <w:vAlign w:val="bottom"/>
            <w:gridSpan w:val="2"/>
          </w:tcPr>
          <w:p>
            <w:pPr>
              <w:spacing w:after="0"/>
              <w:rPr>
                <w:sz w:val="20"/>
                <w:szCs w:val="20"/>
                <w:color w:val="auto"/>
              </w:rPr>
            </w:pPr>
            <w:r>
              <w:rPr>
                <w:rFonts w:ascii="Arial" w:cs="Arial" w:eastAsia="Arial" w:hAnsi="Arial"/>
                <w:sz w:val="14"/>
                <w:szCs w:val="14"/>
                <w:color w:val="auto"/>
              </w:rPr>
              <w:t>Incentive unit-</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40" w:type="dxa"/>
            <w:vAlign w:val="bottom"/>
          </w:tcPr>
          <w:p>
            <w:pPr>
              <w:ind w:left="120"/>
              <w:spacing w:after="0" w:line="157" w:lineRule="exact"/>
              <w:rPr>
                <w:sz w:val="20"/>
                <w:szCs w:val="20"/>
                <w:color w:val="auto"/>
              </w:rPr>
            </w:pPr>
            <w:r>
              <w:rPr>
                <w:rFonts w:ascii="Arial" w:cs="Arial" w:eastAsia="Arial" w:hAnsi="Arial"/>
                <w:sz w:val="14"/>
                <w:szCs w:val="14"/>
                <w:color w:val="auto"/>
              </w:rPr>
              <w:t>based</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40" w:type="dxa"/>
            <w:vAlign w:val="bottom"/>
          </w:tcPr>
          <w:p>
            <w:pPr>
              <w:ind w:left="120"/>
              <w:spacing w:after="0" w:line="153" w:lineRule="exact"/>
              <w:rPr>
                <w:sz w:val="20"/>
                <w:szCs w:val="20"/>
                <w:color w:val="auto"/>
              </w:rPr>
            </w:pPr>
            <w:r>
              <w:rPr>
                <w:rFonts w:ascii="Arial" w:cs="Arial" w:eastAsia="Arial" w:hAnsi="Arial"/>
                <w:sz w:val="14"/>
                <w:szCs w:val="14"/>
                <w:color w:val="auto"/>
              </w:rPr>
              <w:t>compensation</w:t>
            </w:r>
          </w:p>
        </w:tc>
        <w:tc>
          <w:tcPr>
            <w:tcW w:w="74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8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6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20" w:type="dxa"/>
            <w:vAlign w:val="bottom"/>
            <w:tcBorders>
              <w:right w:val="single" w:sz="8" w:color="auto"/>
            </w:tcBorders>
            <w:gridSpan w:val="2"/>
          </w:tcPr>
          <w:p>
            <w:pPr>
              <w:jc w:val="right"/>
              <w:ind w:right="240"/>
              <w:spacing w:after="0" w:line="15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8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1,007,425</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right"/>
              <w:spacing w:after="0" w:line="153" w:lineRule="exact"/>
              <w:rPr>
                <w:sz w:val="20"/>
                <w:szCs w:val="20"/>
                <w:color w:val="auto"/>
              </w:rPr>
            </w:pPr>
            <w:r>
              <w:rPr>
                <w:rFonts w:ascii="Arial" w:cs="Arial" w:eastAsia="Arial" w:hAnsi="Arial"/>
                <w:sz w:val="14"/>
                <w:szCs w:val="14"/>
                <w:color w:val="auto"/>
              </w:rPr>
              <w:t>525,586</w:t>
            </w:r>
          </w:p>
        </w:tc>
        <w:tc>
          <w:tcPr>
            <w:tcW w:w="80" w:type="dxa"/>
            <w:vAlign w:val="bottom"/>
          </w:tcPr>
          <w:p>
            <w:pPr>
              <w:spacing w:after="0"/>
              <w:rPr>
                <w:sz w:val="13"/>
                <w:szCs w:val="13"/>
                <w:color w:val="auto"/>
              </w:rPr>
            </w:pPr>
          </w:p>
        </w:tc>
        <w:tc>
          <w:tcPr>
            <w:tcW w:w="960" w:type="dxa"/>
            <w:vAlign w:val="bottom"/>
            <w:gridSpan w:val="2"/>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525,586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4"/>
                <w:szCs w:val="14"/>
                <w:color w:val="auto"/>
              </w:rPr>
              <w:t>Change in</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tcBorders>
              <w:right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4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redemption</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tcBorders>
              <w:right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4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value of</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tcBorders>
              <w:right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40" w:type="dxa"/>
            <w:vAlign w:val="bottom"/>
            <w:shd w:val="clear" w:color="auto" w:fill="CCEEFF"/>
          </w:tcPr>
          <w:p>
            <w:pPr>
              <w:ind w:left="120"/>
              <w:spacing w:after="0" w:line="153" w:lineRule="exact"/>
              <w:rPr>
                <w:sz w:val="20"/>
                <w:szCs w:val="20"/>
                <w:color w:val="auto"/>
              </w:rPr>
            </w:pPr>
            <w:r>
              <w:rPr>
                <w:rFonts w:ascii="Arial" w:cs="Arial" w:eastAsia="Arial" w:hAnsi="Arial"/>
                <w:sz w:val="14"/>
                <w:szCs w:val="14"/>
                <w:color w:val="auto"/>
              </w:rPr>
              <w:t>preferred units</w:t>
            </w:r>
          </w:p>
        </w:tc>
        <w:tc>
          <w:tcPr>
            <w:tcW w:w="74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gridSpan w:val="3"/>
            <w:shd w:val="clear" w:color="auto" w:fill="CCEEFF"/>
          </w:tcPr>
          <w:p>
            <w:pPr>
              <w:jc w:val="right"/>
              <w:ind w:right="200"/>
              <w:spacing w:after="0" w:line="153" w:lineRule="exact"/>
              <w:rPr>
                <w:sz w:val="20"/>
                <w:szCs w:val="20"/>
                <w:color w:val="auto"/>
              </w:rPr>
            </w:pPr>
            <w:r>
              <w:rPr>
                <w:rFonts w:ascii="Arial" w:cs="Arial" w:eastAsia="Arial" w:hAnsi="Arial"/>
                <w:sz w:val="14"/>
                <w:szCs w:val="14"/>
                <w:color w:val="auto"/>
              </w:rPr>
              <w:t>(1,997,020)</w:t>
            </w:r>
          </w:p>
        </w:tc>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1,997,020</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1,997,020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260" w:type="dxa"/>
            <w:vAlign w:val="bottom"/>
            <w:gridSpan w:val="2"/>
          </w:tcPr>
          <w:p>
            <w:pPr>
              <w:spacing w:after="0" w:line="157" w:lineRule="exact"/>
              <w:rPr>
                <w:sz w:val="20"/>
                <w:szCs w:val="20"/>
                <w:color w:val="auto"/>
              </w:rPr>
            </w:pPr>
            <w:r>
              <w:rPr>
                <w:rFonts w:ascii="Arial" w:cs="Arial" w:eastAsia="Arial" w:hAnsi="Arial"/>
                <w:sz w:val="14"/>
                <w:szCs w:val="14"/>
                <w:color w:val="auto"/>
              </w:rPr>
              <w:t>Net loss</w:t>
            </w:r>
          </w:p>
        </w:tc>
        <w:tc>
          <w:tcPr>
            <w:tcW w:w="7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20" w:type="dxa"/>
            <w:vAlign w:val="bottom"/>
            <w:tcBorders>
              <w:right w:val="single" w:sz="8" w:color="auto"/>
            </w:tcBorders>
            <w:gridSpan w:val="2"/>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40"/>
              <w:spacing w:after="0" w:line="157" w:lineRule="exact"/>
              <w:rPr>
                <w:sz w:val="20"/>
                <w:szCs w:val="20"/>
                <w:color w:val="auto"/>
              </w:rPr>
            </w:pPr>
            <w:r>
              <w:rPr>
                <w:rFonts w:ascii="Arial" w:cs="Arial" w:eastAsia="Arial" w:hAnsi="Arial"/>
                <w:sz w:val="14"/>
                <w:szCs w:val="14"/>
                <w:color w:val="auto"/>
              </w:rPr>
              <w:t>(14,350,643)</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40"/>
              <w:spacing w:after="0" w:line="157" w:lineRule="exact"/>
              <w:rPr>
                <w:sz w:val="20"/>
                <w:szCs w:val="20"/>
                <w:color w:val="auto"/>
              </w:rPr>
            </w:pPr>
            <w:r>
              <w:rPr>
                <w:rFonts w:ascii="Arial" w:cs="Arial" w:eastAsia="Arial" w:hAnsi="Arial"/>
                <w:sz w:val="14"/>
                <w:szCs w:val="14"/>
                <w:color w:val="auto"/>
              </w:rPr>
              <w:t>(14,350,643)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4"/>
                <w:szCs w:val="14"/>
                <w:color w:val="auto"/>
              </w:rPr>
              <w:t>Unrealized loss on</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tcBorders>
              <w:right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4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available-for-sale</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tcBorders>
              <w:right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40" w:type="dxa"/>
            <w:vAlign w:val="bottom"/>
            <w:shd w:val="clear" w:color="auto" w:fill="CCEEFF"/>
          </w:tcPr>
          <w:p>
            <w:pPr>
              <w:ind w:left="120"/>
              <w:spacing w:after="0" w:line="153" w:lineRule="exact"/>
              <w:rPr>
                <w:sz w:val="20"/>
                <w:szCs w:val="20"/>
                <w:color w:val="auto"/>
              </w:rPr>
            </w:pPr>
            <w:r>
              <w:rPr>
                <w:rFonts w:ascii="Arial" w:cs="Arial" w:eastAsia="Arial" w:hAnsi="Arial"/>
                <w:sz w:val="14"/>
                <w:szCs w:val="14"/>
                <w:color w:val="auto"/>
              </w:rPr>
              <w:t>securities</w:t>
            </w:r>
          </w:p>
        </w:tc>
        <w:tc>
          <w:tcPr>
            <w:tcW w:w="74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20" w:type="dxa"/>
            <w:vAlign w:val="bottom"/>
            <w:tcBorders>
              <w:right w:val="single" w:sz="8" w:color="auto"/>
            </w:tcBorders>
            <w:gridSpan w:val="2"/>
            <w:shd w:val="clear" w:color="auto" w:fill="CCEEFF"/>
          </w:tcPr>
          <w:p>
            <w:pPr>
              <w:jc w:val="right"/>
              <w:ind w:right="240"/>
              <w:spacing w:after="0" w:line="153"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(12,006)</w:t>
            </w:r>
          </w:p>
        </w:tc>
        <w:tc>
          <w:tcPr>
            <w:tcW w:w="960" w:type="dxa"/>
            <w:vAlign w:val="bottom"/>
            <w:gridSpan w:val="3"/>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(12,006)</w:t>
            </w:r>
          </w:p>
        </w:tc>
        <w:tc>
          <w:tcPr>
            <w:tcW w:w="0" w:type="dxa"/>
            <w:vAlign w:val="bottom"/>
          </w:tcPr>
          <w:p>
            <w:pPr>
              <w:spacing w:after="0"/>
              <w:rPr>
                <w:sz w:val="1"/>
                <w:szCs w:val="1"/>
                <w:color w:val="auto"/>
              </w:rPr>
            </w:pPr>
          </w:p>
        </w:tc>
      </w:tr>
      <w:tr>
        <w:trPr>
          <w:trHeight w:val="168"/>
        </w:trPr>
        <w:tc>
          <w:tcPr>
            <w:tcW w:w="1260" w:type="dxa"/>
            <w:vAlign w:val="bottom"/>
            <w:gridSpan w:val="2"/>
          </w:tcPr>
          <w:p>
            <w:pPr>
              <w:spacing w:after="0"/>
              <w:rPr>
                <w:sz w:val="20"/>
                <w:szCs w:val="20"/>
                <w:color w:val="auto"/>
              </w:rPr>
            </w:pPr>
            <w:r>
              <w:rPr>
                <w:rFonts w:ascii="Arial" w:cs="Arial" w:eastAsia="Arial" w:hAnsi="Arial"/>
                <w:sz w:val="14"/>
                <w:szCs w:val="14"/>
                <w:color w:val="auto"/>
              </w:rPr>
              <w:t>Balance at</w:t>
            </w:r>
          </w:p>
        </w:tc>
        <w:tc>
          <w:tcPr>
            <w:tcW w:w="7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40" w:type="dxa"/>
            <w:vAlign w:val="bottom"/>
          </w:tcPr>
          <w:p>
            <w:pPr>
              <w:ind w:left="120"/>
              <w:spacing w:after="0" w:line="157" w:lineRule="exact"/>
              <w:rPr>
                <w:sz w:val="20"/>
                <w:szCs w:val="20"/>
                <w:color w:val="auto"/>
              </w:rPr>
            </w:pPr>
            <w:r>
              <w:rPr>
                <w:rFonts w:ascii="Arial" w:cs="Arial" w:eastAsia="Arial" w:hAnsi="Arial"/>
                <w:sz w:val="14"/>
                <w:szCs w:val="14"/>
                <w:color w:val="auto"/>
              </w:rPr>
              <w:t>December 31,</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260" w:type="dxa"/>
            <w:vAlign w:val="bottom"/>
            <w:gridSpan w:val="2"/>
          </w:tcPr>
          <w:p>
            <w:pPr>
              <w:ind w:left="140"/>
              <w:spacing w:after="0" w:line="153" w:lineRule="exact"/>
              <w:rPr>
                <w:sz w:val="20"/>
                <w:szCs w:val="20"/>
                <w:color w:val="auto"/>
              </w:rPr>
            </w:pPr>
            <w:r>
              <w:rPr>
                <w:rFonts w:ascii="Arial" w:cs="Arial" w:eastAsia="Arial" w:hAnsi="Arial"/>
                <w:sz w:val="14"/>
                <w:szCs w:val="14"/>
                <w:color w:val="auto"/>
              </w:rPr>
              <w:t>2016</w:t>
            </w:r>
          </w:p>
        </w:tc>
        <w:tc>
          <w:tcPr>
            <w:tcW w:w="740" w:type="dxa"/>
            <w:vAlign w:val="bottom"/>
          </w:tcPr>
          <w:p>
            <w:pPr>
              <w:jc w:val="right"/>
              <w:spacing w:after="0" w:line="153" w:lineRule="exact"/>
              <w:rPr>
                <w:sz w:val="20"/>
                <w:szCs w:val="20"/>
                <w:color w:val="auto"/>
              </w:rPr>
            </w:pPr>
            <w:r>
              <w:rPr>
                <w:rFonts w:ascii="Arial" w:cs="Arial" w:eastAsia="Arial" w:hAnsi="Arial"/>
                <w:sz w:val="14"/>
                <w:szCs w:val="14"/>
                <w:color w:val="auto"/>
              </w:rPr>
              <w:t>24,977,489</w:t>
            </w:r>
          </w:p>
        </w:tc>
        <w:tc>
          <w:tcPr>
            <w:tcW w:w="86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$41,609,999</w:t>
            </w:r>
          </w:p>
        </w:tc>
        <w:tc>
          <w:tcPr>
            <w:tcW w:w="84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22,463,665</w:t>
            </w:r>
          </w:p>
        </w:tc>
        <w:tc>
          <w:tcPr>
            <w:tcW w:w="86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$15,300,002</w:t>
            </w:r>
          </w:p>
        </w:tc>
        <w:tc>
          <w:tcPr>
            <w:tcW w:w="2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jc w:val="right"/>
              <w:spacing w:after="0" w:line="153" w:lineRule="exact"/>
              <w:rPr>
                <w:sz w:val="20"/>
                <w:szCs w:val="20"/>
                <w:color w:val="auto"/>
              </w:rPr>
            </w:pPr>
            <w:r>
              <w:rPr>
                <w:rFonts w:ascii="Arial" w:cs="Arial" w:eastAsia="Arial" w:hAnsi="Arial"/>
                <w:sz w:val="14"/>
                <w:szCs w:val="14"/>
                <w:color w:val="auto"/>
              </w:rPr>
              <w:t>1,897,544</w:t>
            </w:r>
          </w:p>
        </w:tc>
        <w:tc>
          <w:tcPr>
            <w:tcW w:w="200" w:type="dxa"/>
            <w:vAlign w:val="bottom"/>
            <w:gridSpan w:val="2"/>
          </w:tcPr>
          <w:p>
            <w:pPr>
              <w:ind w:left="60"/>
              <w:spacing w:after="0" w:line="153"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3" w:lineRule="exact"/>
              <w:rPr>
                <w:sz w:val="20"/>
                <w:szCs w:val="20"/>
                <w:color w:val="auto"/>
              </w:rPr>
            </w:pPr>
            <w:r>
              <w:rPr>
                <w:rFonts w:ascii="Arial" w:cs="Arial" w:eastAsia="Arial" w:hAnsi="Arial"/>
                <w:sz w:val="14"/>
                <w:szCs w:val="14"/>
                <w:color w:val="auto"/>
              </w:rPr>
              <w:t>6,167</w:t>
            </w:r>
          </w:p>
        </w:tc>
        <w:tc>
          <w:tcPr>
            <w:tcW w:w="76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3,066,734</w:t>
            </w:r>
          </w:p>
        </w:tc>
        <w:tc>
          <w:tcPr>
            <w:tcW w:w="14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3" w:lineRule="exact"/>
              <w:rPr>
                <w:sz w:val="20"/>
                <w:szCs w:val="20"/>
                <w:color w:val="auto"/>
              </w:rPr>
            </w:pPr>
            <w:r>
              <w:rPr>
                <w:rFonts w:ascii="Arial" w:cs="Arial" w:eastAsia="Arial" w:hAnsi="Arial"/>
                <w:sz w:val="14"/>
                <w:szCs w:val="14"/>
                <w:color w:val="auto"/>
              </w:rPr>
              <w:t>941,371</w:t>
            </w:r>
          </w:p>
        </w:tc>
        <w:tc>
          <w:tcPr>
            <w:tcW w:w="1040" w:type="dxa"/>
            <w:vAlign w:val="bottom"/>
            <w:gridSpan w:val="3"/>
          </w:tcPr>
          <w:p>
            <w:pPr>
              <w:jc w:val="right"/>
              <w:ind w:right="40"/>
              <w:spacing w:after="0" w:line="153" w:lineRule="exact"/>
              <w:rPr>
                <w:sz w:val="20"/>
                <w:szCs w:val="20"/>
                <w:color w:val="auto"/>
              </w:rPr>
            </w:pPr>
            <w:r>
              <w:rPr>
                <w:rFonts w:ascii="Arial" w:cs="Arial" w:eastAsia="Arial" w:hAnsi="Arial"/>
                <w:sz w:val="14"/>
                <w:szCs w:val="14"/>
                <w:color w:val="auto"/>
              </w:rPr>
              <w:t>$ (33,797,760)</w:t>
            </w:r>
          </w:p>
        </w:tc>
        <w:tc>
          <w:tcPr>
            <w:tcW w:w="120" w:type="dxa"/>
            <w:vAlign w:val="bottom"/>
            <w:gridSpan w:val="2"/>
          </w:tcPr>
          <w:p>
            <w:pPr>
              <w:ind w:left="40"/>
              <w:spacing w:after="0" w:line="153"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(28,679)</w:t>
            </w:r>
          </w:p>
        </w:tc>
        <w:tc>
          <w:tcPr>
            <w:tcW w:w="960" w:type="dxa"/>
            <w:vAlign w:val="bottom"/>
            <w:gridSpan w:val="3"/>
          </w:tcPr>
          <w:p>
            <w:pPr>
              <w:jc w:val="right"/>
              <w:ind w:right="40"/>
              <w:spacing w:after="0" w:line="153" w:lineRule="exact"/>
              <w:rPr>
                <w:sz w:val="20"/>
                <w:szCs w:val="20"/>
                <w:color w:val="auto"/>
              </w:rPr>
            </w:pPr>
            <w:r>
              <w:rPr>
                <w:rFonts w:ascii="Arial" w:cs="Arial" w:eastAsia="Arial" w:hAnsi="Arial"/>
                <w:sz w:val="14"/>
                <w:szCs w:val="14"/>
                <w:color w:val="auto"/>
              </w:rPr>
              <w:t>$(32,878,901)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4"/>
                <w:szCs w:val="14"/>
                <w:color w:val="auto"/>
              </w:rPr>
              <w:t>Incentive unit-</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tcBorders>
              <w:right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4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based</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tcBorders>
              <w:right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40" w:type="dxa"/>
            <w:vAlign w:val="bottom"/>
            <w:shd w:val="clear" w:color="auto" w:fill="CCEEFF"/>
          </w:tcPr>
          <w:p>
            <w:pPr>
              <w:ind w:left="120"/>
              <w:spacing w:after="0" w:line="153" w:lineRule="exact"/>
              <w:rPr>
                <w:sz w:val="20"/>
                <w:szCs w:val="20"/>
                <w:color w:val="auto"/>
              </w:rPr>
            </w:pPr>
            <w:r>
              <w:rPr>
                <w:rFonts w:ascii="Arial" w:cs="Arial" w:eastAsia="Arial" w:hAnsi="Arial"/>
                <w:sz w:val="14"/>
                <w:szCs w:val="14"/>
                <w:color w:val="auto"/>
              </w:rPr>
              <w:t>compensation</w:t>
            </w:r>
          </w:p>
        </w:tc>
        <w:tc>
          <w:tcPr>
            <w:tcW w:w="74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20" w:type="dxa"/>
            <w:vAlign w:val="bottom"/>
            <w:tcBorders>
              <w:right w:val="single" w:sz="8" w:color="auto"/>
            </w:tcBorders>
            <w:gridSpan w:val="2"/>
            <w:shd w:val="clear" w:color="auto" w:fill="CCEEFF"/>
          </w:tcPr>
          <w:p>
            <w:pPr>
              <w:jc w:val="right"/>
              <w:ind w:right="240"/>
              <w:spacing w:after="0" w:line="153"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603,229</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245,048</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245,048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60" w:type="dxa"/>
            <w:vAlign w:val="bottom"/>
            <w:gridSpan w:val="2"/>
          </w:tcPr>
          <w:p>
            <w:pPr>
              <w:spacing w:after="0"/>
              <w:rPr>
                <w:sz w:val="20"/>
                <w:szCs w:val="20"/>
                <w:color w:val="auto"/>
              </w:rPr>
            </w:pPr>
            <w:r>
              <w:rPr>
                <w:rFonts w:ascii="Arial" w:cs="Arial" w:eastAsia="Arial" w:hAnsi="Arial"/>
                <w:sz w:val="14"/>
                <w:szCs w:val="14"/>
                <w:color w:val="auto"/>
              </w:rPr>
              <w:t>Change in</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40" w:type="dxa"/>
            <w:vAlign w:val="bottom"/>
          </w:tcPr>
          <w:p>
            <w:pPr>
              <w:ind w:left="120"/>
              <w:spacing w:after="0" w:line="157" w:lineRule="exact"/>
              <w:rPr>
                <w:sz w:val="20"/>
                <w:szCs w:val="20"/>
                <w:color w:val="auto"/>
              </w:rPr>
            </w:pPr>
            <w:r>
              <w:rPr>
                <w:rFonts w:ascii="Arial" w:cs="Arial" w:eastAsia="Arial" w:hAnsi="Arial"/>
                <w:sz w:val="14"/>
                <w:szCs w:val="14"/>
                <w:color w:val="auto"/>
              </w:rPr>
              <w:t>redemption</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40" w:type="dxa"/>
            <w:vAlign w:val="bottom"/>
          </w:tcPr>
          <w:p>
            <w:pPr>
              <w:ind w:left="120"/>
              <w:spacing w:after="0" w:line="157" w:lineRule="exact"/>
              <w:rPr>
                <w:sz w:val="20"/>
                <w:szCs w:val="20"/>
                <w:color w:val="auto"/>
              </w:rPr>
            </w:pPr>
            <w:r>
              <w:rPr>
                <w:rFonts w:ascii="Arial" w:cs="Arial" w:eastAsia="Arial" w:hAnsi="Arial"/>
                <w:sz w:val="14"/>
                <w:szCs w:val="14"/>
                <w:color w:val="auto"/>
              </w:rPr>
              <w:t>value of</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40" w:type="dxa"/>
            <w:vAlign w:val="bottom"/>
          </w:tcPr>
          <w:p>
            <w:pPr>
              <w:ind w:left="120"/>
              <w:spacing w:after="0" w:line="153" w:lineRule="exact"/>
              <w:rPr>
                <w:sz w:val="20"/>
                <w:szCs w:val="20"/>
                <w:color w:val="auto"/>
              </w:rPr>
            </w:pPr>
            <w:r>
              <w:rPr>
                <w:rFonts w:ascii="Arial" w:cs="Arial" w:eastAsia="Arial" w:hAnsi="Arial"/>
                <w:sz w:val="14"/>
                <w:szCs w:val="14"/>
                <w:color w:val="auto"/>
              </w:rPr>
              <w:t>preferred units</w:t>
            </w:r>
          </w:p>
        </w:tc>
        <w:tc>
          <w:tcPr>
            <w:tcW w:w="74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102,408</w:t>
            </w:r>
          </w:p>
        </w:tc>
        <w:tc>
          <w:tcPr>
            <w:tcW w:w="80" w:type="dxa"/>
            <w:vAlign w:val="bottom"/>
          </w:tcPr>
          <w:p>
            <w:pPr>
              <w:spacing w:after="0"/>
              <w:rPr>
                <w:sz w:val="13"/>
                <w:szCs w:val="13"/>
                <w:color w:val="auto"/>
              </w:rPr>
            </w:pPr>
          </w:p>
        </w:tc>
        <w:tc>
          <w:tcPr>
            <w:tcW w:w="76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4,468,023</w:t>
            </w:r>
          </w:p>
        </w:tc>
        <w:tc>
          <w:tcPr>
            <w:tcW w:w="2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40" w:type="dxa"/>
            <w:vAlign w:val="bottom"/>
            <w:gridSpan w:val="3"/>
          </w:tcPr>
          <w:p>
            <w:pPr>
              <w:jc w:val="right"/>
              <w:ind w:right="40"/>
              <w:spacing w:after="0" w:line="153" w:lineRule="exact"/>
              <w:rPr>
                <w:sz w:val="20"/>
                <w:szCs w:val="20"/>
                <w:color w:val="auto"/>
              </w:rPr>
            </w:pPr>
            <w:r>
              <w:rPr>
                <w:rFonts w:ascii="Arial" w:cs="Arial" w:eastAsia="Arial" w:hAnsi="Arial"/>
                <w:sz w:val="14"/>
                <w:szCs w:val="14"/>
                <w:color w:val="auto"/>
              </w:rPr>
              <w:t>(4,570,431)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40"/>
              <w:spacing w:after="0" w:line="153" w:lineRule="exact"/>
              <w:rPr>
                <w:sz w:val="20"/>
                <w:szCs w:val="20"/>
                <w:color w:val="auto"/>
              </w:rPr>
            </w:pPr>
            <w:r>
              <w:rPr>
                <w:rFonts w:ascii="Arial" w:cs="Arial" w:eastAsia="Arial" w:hAnsi="Arial"/>
                <w:sz w:val="14"/>
                <w:szCs w:val="14"/>
                <w:color w:val="auto"/>
              </w:rPr>
              <w:t>(4,570,431)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4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Net loss</w:t>
            </w:r>
          </w:p>
        </w:tc>
        <w:tc>
          <w:tcPr>
            <w:tcW w:w="7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20" w:type="dxa"/>
            <w:vAlign w:val="bottom"/>
            <w:tcBorders>
              <w:right w:val="single" w:sz="8" w:color="auto"/>
            </w:tcBorders>
            <w:gridSpan w:val="2"/>
            <w:shd w:val="clear" w:color="auto" w:fill="CCEEFF"/>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(24,049,206)</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(24,049,206)</w:t>
            </w:r>
          </w:p>
        </w:tc>
        <w:tc>
          <w:tcPr>
            <w:tcW w:w="0" w:type="dxa"/>
            <w:vAlign w:val="bottom"/>
          </w:tcPr>
          <w:p>
            <w:pPr>
              <w:spacing w:after="0"/>
              <w:rPr>
                <w:sz w:val="1"/>
                <w:szCs w:val="1"/>
                <w:color w:val="auto"/>
              </w:rPr>
            </w:pPr>
          </w:p>
        </w:tc>
      </w:tr>
      <w:tr>
        <w:trPr>
          <w:trHeight w:val="162"/>
        </w:trPr>
        <w:tc>
          <w:tcPr>
            <w:tcW w:w="1260" w:type="dxa"/>
            <w:vAlign w:val="bottom"/>
            <w:gridSpan w:val="2"/>
          </w:tcPr>
          <w:p>
            <w:pPr>
              <w:spacing w:after="0"/>
              <w:rPr>
                <w:sz w:val="20"/>
                <w:szCs w:val="20"/>
                <w:color w:val="auto"/>
              </w:rPr>
            </w:pPr>
            <w:r>
              <w:rPr>
                <w:rFonts w:ascii="Arial" w:cs="Arial" w:eastAsia="Arial" w:hAnsi="Arial"/>
                <w:sz w:val="14"/>
                <w:szCs w:val="14"/>
                <w:color w:val="auto"/>
              </w:rPr>
              <w:t>Unrealized gain</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40" w:type="dxa"/>
            <w:vAlign w:val="bottom"/>
          </w:tcPr>
          <w:p>
            <w:pPr>
              <w:ind w:left="120"/>
              <w:spacing w:after="0" w:line="157" w:lineRule="exact"/>
              <w:rPr>
                <w:sz w:val="20"/>
                <w:szCs w:val="20"/>
                <w:color w:val="auto"/>
              </w:rPr>
            </w:pPr>
            <w:r>
              <w:rPr>
                <w:rFonts w:ascii="Arial" w:cs="Arial" w:eastAsia="Arial" w:hAnsi="Arial"/>
                <w:sz w:val="14"/>
                <w:szCs w:val="14"/>
                <w:color w:val="auto"/>
              </w:rPr>
              <w:t>(loss) on</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40" w:type="dxa"/>
            <w:vAlign w:val="bottom"/>
          </w:tcPr>
          <w:p>
            <w:pPr>
              <w:ind w:left="120"/>
              <w:spacing w:after="0" w:line="157" w:lineRule="exact"/>
              <w:rPr>
                <w:sz w:val="20"/>
                <w:szCs w:val="20"/>
                <w:color w:val="auto"/>
              </w:rPr>
            </w:pPr>
            <w:r>
              <w:rPr>
                <w:rFonts w:ascii="Arial" w:cs="Arial" w:eastAsia="Arial" w:hAnsi="Arial"/>
                <w:sz w:val="14"/>
                <w:szCs w:val="14"/>
                <w:color w:val="auto"/>
              </w:rPr>
              <w:t>available-for-sale</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40" w:type="dxa"/>
            <w:vAlign w:val="bottom"/>
          </w:tcPr>
          <w:p>
            <w:pPr>
              <w:ind w:left="120"/>
              <w:spacing w:after="0" w:line="153" w:lineRule="exact"/>
              <w:rPr>
                <w:sz w:val="20"/>
                <w:szCs w:val="20"/>
                <w:color w:val="auto"/>
              </w:rPr>
            </w:pPr>
            <w:r>
              <w:rPr>
                <w:rFonts w:ascii="Arial" w:cs="Arial" w:eastAsia="Arial" w:hAnsi="Arial"/>
                <w:sz w:val="14"/>
                <w:szCs w:val="14"/>
                <w:color w:val="auto"/>
              </w:rPr>
              <w:t>securities</w:t>
            </w:r>
          </w:p>
        </w:tc>
        <w:tc>
          <w:tcPr>
            <w:tcW w:w="74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8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6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20" w:type="dxa"/>
            <w:vAlign w:val="bottom"/>
            <w:tcBorders>
              <w:right w:val="single" w:sz="8" w:color="auto"/>
            </w:tcBorders>
            <w:gridSpan w:val="2"/>
          </w:tcPr>
          <w:p>
            <w:pPr>
              <w:jc w:val="right"/>
              <w:ind w:right="240"/>
              <w:spacing w:after="0" w:line="15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8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8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60" w:type="dxa"/>
            <w:vAlign w:val="bottom"/>
            <w:gridSpan w:val="2"/>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spacing w:after="0" w:line="153" w:lineRule="exact"/>
              <w:rPr>
                <w:sz w:val="20"/>
                <w:szCs w:val="20"/>
                <w:color w:val="auto"/>
              </w:rPr>
            </w:pPr>
            <w:r>
              <w:rPr>
                <w:rFonts w:ascii="Arial" w:cs="Arial" w:eastAsia="Arial" w:hAnsi="Arial"/>
                <w:sz w:val="14"/>
                <w:szCs w:val="14"/>
                <w:color w:val="auto"/>
              </w:rPr>
              <w:t>18,928</w:t>
            </w:r>
          </w:p>
        </w:tc>
        <w:tc>
          <w:tcPr>
            <w:tcW w:w="80" w:type="dxa"/>
            <w:vAlign w:val="bottom"/>
          </w:tcPr>
          <w:p>
            <w:pPr>
              <w:spacing w:after="0"/>
              <w:rPr>
                <w:sz w:val="13"/>
                <w:szCs w:val="13"/>
                <w:color w:val="auto"/>
              </w:rPr>
            </w:pPr>
          </w:p>
        </w:tc>
        <w:tc>
          <w:tcPr>
            <w:tcW w:w="88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18,928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4"/>
                <w:szCs w:val="14"/>
                <w:color w:val="auto"/>
              </w:rPr>
              <w:t>Balance at</w:t>
            </w:r>
          </w:p>
        </w:tc>
        <w:tc>
          <w:tcPr>
            <w:tcW w:w="74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40" w:type="dxa"/>
            <w:vAlign w:val="bottom"/>
            <w:tcBorders>
              <w:right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4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December 31,</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tcBorders>
              <w:right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40" w:type="dxa"/>
            <w:vAlign w:val="bottom"/>
            <w:shd w:val="clear" w:color="auto" w:fill="CCEEFF"/>
          </w:tcPr>
          <w:p>
            <w:pPr>
              <w:ind w:left="120"/>
              <w:spacing w:after="0" w:line="153" w:lineRule="exact"/>
              <w:rPr>
                <w:sz w:val="20"/>
                <w:szCs w:val="20"/>
                <w:color w:val="auto"/>
              </w:rPr>
            </w:pPr>
            <w:r>
              <w:rPr>
                <w:rFonts w:ascii="Arial" w:cs="Arial" w:eastAsia="Arial" w:hAnsi="Arial"/>
                <w:sz w:val="14"/>
                <w:szCs w:val="14"/>
                <w:color w:val="auto"/>
              </w:rPr>
              <w:t>2017</w:t>
            </w:r>
          </w:p>
        </w:tc>
        <w:tc>
          <w:tcPr>
            <w:tcW w:w="74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24,977,489</w:t>
            </w:r>
          </w:p>
        </w:tc>
        <w:tc>
          <w:tcPr>
            <w:tcW w:w="86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41,712,407</w:t>
            </w:r>
          </w:p>
        </w:tc>
        <w:tc>
          <w:tcPr>
            <w:tcW w:w="84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22,463,665</w:t>
            </w:r>
          </w:p>
        </w:tc>
        <w:tc>
          <w:tcPr>
            <w:tcW w:w="86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19,768,025</w:t>
            </w:r>
          </w:p>
        </w:tc>
        <w:tc>
          <w:tcPr>
            <w:tcW w:w="240" w:type="dxa"/>
            <w:vAlign w:val="bottom"/>
            <w:tcBorders>
              <w:right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1,897,544</w:t>
            </w:r>
          </w:p>
        </w:tc>
        <w:tc>
          <w:tcPr>
            <w:tcW w:w="200" w:type="dxa"/>
            <w:vAlign w:val="bottom"/>
            <w:gridSpan w:val="2"/>
            <w:shd w:val="clear" w:color="auto" w:fill="CCEEFF"/>
          </w:tcPr>
          <w:p>
            <w:pPr>
              <w:ind w:left="60"/>
              <w:spacing w:after="0" w:line="153"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6,167</w:t>
            </w:r>
          </w:p>
        </w:tc>
        <w:tc>
          <w:tcPr>
            <w:tcW w:w="76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3,669,963</w:t>
            </w:r>
          </w:p>
        </w:tc>
        <w:tc>
          <w:tcPr>
            <w:tcW w:w="14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u w:val="single" w:color="auto"/>
                <w:color w:val="auto"/>
              </w:rPr>
              <w:t>$</w:t>
            </w:r>
          </w:p>
        </w:tc>
        <w:tc>
          <w:tcPr>
            <w:tcW w:w="64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w w:val="99"/>
              </w:rPr>
              <w:t>1,186,419</w:t>
            </w:r>
          </w:p>
        </w:tc>
        <w:tc>
          <w:tcPr>
            <w:tcW w:w="1040" w:type="dxa"/>
            <w:vAlign w:val="bottom"/>
            <w:gridSpan w:val="3"/>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 (62,417,397)</w:t>
            </w:r>
          </w:p>
        </w:tc>
        <w:tc>
          <w:tcPr>
            <w:tcW w:w="120" w:type="dxa"/>
            <w:vAlign w:val="bottom"/>
            <w:gridSpan w:val="2"/>
            <w:shd w:val="clear" w:color="auto" w:fill="CCEEFF"/>
          </w:tcPr>
          <w:p>
            <w:pPr>
              <w:ind w:left="40"/>
              <w:spacing w:after="0" w:line="153"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(9,751)</w:t>
            </w:r>
          </w:p>
        </w:tc>
        <w:tc>
          <w:tcPr>
            <w:tcW w:w="960" w:type="dxa"/>
            <w:vAlign w:val="bottom"/>
            <w:gridSpan w:val="3"/>
            <w:shd w:val="clear" w:color="auto" w:fill="CCEEFF"/>
          </w:tcPr>
          <w:p>
            <w:pPr>
              <w:jc w:val="right"/>
              <w:ind w:right="40"/>
              <w:spacing w:after="0" w:line="153"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(61,234,562)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See accompanying notes</w:t>
      </w:r>
    </w:p>
    <w:p>
      <w:pPr>
        <w:spacing w:after="0" w:line="163"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1180"/>
          </w:cols>
          <w:pgMar w:left="240" w:top="450" w:right="479" w:bottom="1440" w:gutter="0" w:footer="0" w:header="0"/>
        </w:sectPr>
      </w:pPr>
    </w:p>
    <w:bookmarkStart w:id="206" w:name="page207"/>
    <w:bookmarkEnd w:id="2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ind w:left="3360"/>
        <w:spacing w:after="0"/>
        <w:rPr>
          <w:sz w:val="20"/>
          <w:szCs w:val="20"/>
          <w:color w:val="auto"/>
        </w:rPr>
      </w:pPr>
      <w:r>
        <w:rPr>
          <w:rFonts w:ascii="Arial" w:cs="Arial" w:eastAsia="Arial" w:hAnsi="Arial"/>
          <w:sz w:val="17"/>
          <w:szCs w:val="17"/>
          <w:b w:val="1"/>
          <w:bCs w:val="1"/>
          <w:color w:val="auto"/>
        </w:rPr>
        <w:t>ARVINAS HOLDING COMPANY, LLC AND SUBSIDIARIES</w:t>
      </w:r>
    </w:p>
    <w:p>
      <w:pPr>
        <w:spacing w:after="0" w:line="316"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45"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Years Ended</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34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294"/>
              <w:spacing w:after="0" w:line="151"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293"/>
              <w:spacing w:after="0" w:line="151"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340" w:type="dxa"/>
            <w:vAlign w:val="bottom"/>
            <w:shd w:val="clear" w:color="auto" w:fill="CCEEFF"/>
          </w:tcPr>
          <w:p>
            <w:pPr>
              <w:spacing w:after="0" w:line="176" w:lineRule="exact"/>
              <w:rPr>
                <w:sz w:val="20"/>
                <w:szCs w:val="20"/>
                <w:color w:val="auto"/>
              </w:rPr>
            </w:pPr>
            <w:r>
              <w:rPr>
                <w:rFonts w:ascii="Arial" w:cs="Arial" w:eastAsia="Arial" w:hAnsi="Arial"/>
                <w:sz w:val="17"/>
                <w:szCs w:val="17"/>
                <w:b w:val="1"/>
                <w:bCs w:val="1"/>
                <w:color w:val="auto"/>
              </w:rPr>
              <w:t>Cash flows from operating activities:</w:t>
            </w: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40" w:type="dxa"/>
            <w:vAlign w:val="bottom"/>
          </w:tcPr>
          <w:p>
            <w:pPr>
              <w:spacing w:after="0"/>
              <w:rPr>
                <w:sz w:val="20"/>
                <w:szCs w:val="20"/>
                <w:color w:val="auto"/>
              </w:rPr>
            </w:pPr>
            <w:r>
              <w:rPr>
                <w:rFonts w:ascii="Arial" w:cs="Arial" w:eastAsia="Arial" w:hAnsi="Arial"/>
                <w:sz w:val="17"/>
                <w:szCs w:val="17"/>
                <w:color w:val="auto"/>
              </w:rPr>
              <w:t>Net loss</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(24,049,206)</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(14,350,643)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net loss to net cash provided by (used in) operating activities:</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40" w:type="dxa"/>
            <w:vAlign w:val="bottom"/>
          </w:tcPr>
          <w:p>
            <w:pPr>
              <w:ind w:left="340"/>
              <w:spacing w:after="0"/>
              <w:rPr>
                <w:sz w:val="20"/>
                <w:szCs w:val="20"/>
                <w:color w:val="auto"/>
              </w:rPr>
            </w:pPr>
            <w:r>
              <w:rPr>
                <w:rFonts w:ascii="Arial" w:cs="Arial" w:eastAsia="Arial" w:hAnsi="Arial"/>
                <w:sz w:val="17"/>
                <w:szCs w:val="17"/>
                <w:color w:val="auto"/>
              </w:rPr>
              <w:t>Gain on long term debt forgiveness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(1,000,000)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Amortization of debt discount</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12,115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40" w:type="dxa"/>
            <w:vAlign w:val="bottom"/>
          </w:tcPr>
          <w:p>
            <w:pPr>
              <w:ind w:left="340"/>
              <w:spacing w:after="0"/>
              <w:rPr>
                <w:sz w:val="20"/>
                <w:szCs w:val="20"/>
                <w:color w:val="auto"/>
              </w:rPr>
            </w:pPr>
            <w:r>
              <w:rPr>
                <w:rFonts w:ascii="Arial" w:cs="Arial" w:eastAsia="Arial" w:hAnsi="Arial"/>
                <w:sz w:val="17"/>
                <w:szCs w:val="17"/>
                <w:color w:val="auto"/>
              </w:rPr>
              <w:t>Change in fair value of preferred unit warrant liability</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(5,871)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(14,816)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Depreciation and amortization</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347,395</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436,329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40" w:type="dxa"/>
            <w:vAlign w:val="bottom"/>
          </w:tcPr>
          <w:p>
            <w:pPr>
              <w:ind w:left="340"/>
              <w:spacing w:after="0"/>
              <w:rPr>
                <w:sz w:val="20"/>
                <w:szCs w:val="20"/>
                <w:color w:val="auto"/>
              </w:rPr>
            </w:pPr>
            <w:r>
              <w:rPr>
                <w:rFonts w:ascii="Arial" w:cs="Arial" w:eastAsia="Arial" w:hAnsi="Arial"/>
                <w:sz w:val="17"/>
                <w:szCs w:val="17"/>
                <w:color w:val="auto"/>
              </w:rPr>
              <w:t>Non-cash interest expense</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17,963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20,851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accretion of bond discounts/premiums</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344,109</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523,450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40" w:type="dxa"/>
            <w:vAlign w:val="bottom"/>
          </w:tcPr>
          <w:p>
            <w:pPr>
              <w:ind w:left="340"/>
              <w:spacing w:after="0"/>
              <w:rPr>
                <w:sz w:val="20"/>
                <w:szCs w:val="20"/>
                <w:color w:val="auto"/>
              </w:rPr>
            </w:pPr>
            <w:r>
              <w:rPr>
                <w:rFonts w:ascii="Arial" w:cs="Arial" w:eastAsia="Arial" w:hAnsi="Arial"/>
                <w:sz w:val="17"/>
                <w:szCs w:val="17"/>
                <w:color w:val="auto"/>
              </w:rPr>
              <w:t>Non-cash unit-based compensation</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245,048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525,586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7"/>
                <w:szCs w:val="17"/>
                <w:color w:val="auto"/>
              </w:rPr>
              <w:t>Changes in operating assets and liabilities:</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40" w:type="dxa"/>
            <w:vAlign w:val="bottom"/>
          </w:tcPr>
          <w:p>
            <w:pPr>
              <w:ind w:left="340"/>
              <w:spacing w:after="0"/>
              <w:rPr>
                <w:sz w:val="20"/>
                <w:szCs w:val="20"/>
                <w:color w:val="auto"/>
              </w:rPr>
            </w:pPr>
            <w:r>
              <w:rPr>
                <w:rFonts w:ascii="Arial" w:cs="Arial" w:eastAsia="Arial" w:hAnsi="Arial"/>
                <w:sz w:val="17"/>
                <w:szCs w:val="17"/>
                <w:color w:val="auto"/>
              </w:rPr>
              <w:t>Other receivables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369,729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(578,926)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Account receivable</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(25,000,000)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40" w:type="dxa"/>
            <w:vAlign w:val="bottom"/>
          </w:tcPr>
          <w:p>
            <w:pPr>
              <w:ind w:left="340"/>
              <w:spacing w:after="0"/>
              <w:rPr>
                <w:sz w:val="20"/>
                <w:szCs w:val="20"/>
                <w:color w:val="auto"/>
              </w:rPr>
            </w:pPr>
            <w:r>
              <w:rPr>
                <w:rFonts w:ascii="Arial" w:cs="Arial" w:eastAsia="Arial" w:hAnsi="Arial"/>
                <w:sz w:val="17"/>
                <w:szCs w:val="17"/>
                <w:color w:val="auto"/>
              </w:rPr>
              <w:t>Prepaid expenses and other current assets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(2,061)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(138,537)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Deferred tax asset</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45,616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40" w:type="dxa"/>
            <w:vAlign w:val="bottom"/>
          </w:tcPr>
          <w:p>
            <w:pPr>
              <w:ind w:left="340"/>
              <w:spacing w:after="0"/>
              <w:rPr>
                <w:sz w:val="20"/>
                <w:szCs w:val="20"/>
                <w:color w:val="auto"/>
              </w:rPr>
            </w:pPr>
            <w:r>
              <w:rPr>
                <w:rFonts w:ascii="Arial" w:cs="Arial" w:eastAsia="Arial" w:hAnsi="Arial"/>
                <w:sz w:val="17"/>
                <w:szCs w:val="17"/>
                <w:color w:val="auto"/>
              </w:rPr>
              <w:t>Accounts payable</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(969,479)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1,196,476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Accrued expenses</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1,894,343</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553,781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40" w:type="dxa"/>
            <w:vAlign w:val="bottom"/>
          </w:tcPr>
          <w:p>
            <w:pPr>
              <w:ind w:left="340"/>
              <w:spacing w:after="0"/>
              <w:rPr>
                <w:sz w:val="20"/>
                <w:szCs w:val="20"/>
                <w:color w:val="auto"/>
              </w:rPr>
            </w:pPr>
            <w:r>
              <w:rPr>
                <w:rFonts w:ascii="Arial" w:cs="Arial" w:eastAsia="Arial" w:hAnsi="Arial"/>
                <w:sz w:val="17"/>
                <w:szCs w:val="17"/>
                <w:color w:val="auto"/>
              </w:rPr>
              <w:t>Deferred tax liability</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(45,616)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Deferred revenue</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51,921,124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(6,588,795)</w:t>
            </w:r>
          </w:p>
        </w:tc>
        <w:tc>
          <w:tcPr>
            <w:tcW w:w="0" w:type="dxa"/>
            <w:vAlign w:val="bottom"/>
          </w:tcPr>
          <w:p>
            <w:pPr>
              <w:spacing w:after="0"/>
              <w:rPr>
                <w:sz w:val="1"/>
                <w:szCs w:val="1"/>
                <w:color w:val="auto"/>
              </w:rPr>
            </w:pPr>
          </w:p>
        </w:tc>
      </w:tr>
      <w:tr>
        <w:trPr>
          <w:trHeight w:val="20"/>
        </w:trPr>
        <w:tc>
          <w:tcPr>
            <w:tcW w:w="73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360" w:type="dxa"/>
            <w:vAlign w:val="bottom"/>
            <w:gridSpan w:val="2"/>
          </w:tcPr>
          <w:p>
            <w:pPr>
              <w:spacing w:after="0"/>
              <w:rPr>
                <w:sz w:val="20"/>
                <w:szCs w:val="20"/>
                <w:color w:val="auto"/>
              </w:rPr>
            </w:pPr>
            <w:r>
              <w:rPr>
                <w:rFonts w:ascii="Arial" w:cs="Arial" w:eastAsia="Arial" w:hAnsi="Arial"/>
                <w:sz w:val="17"/>
                <w:szCs w:val="17"/>
                <w:color w:val="auto"/>
              </w:rPr>
              <w:t>Net cash provided by (used in) operating activities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5,113,094</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(19,403,129)</w:t>
            </w:r>
          </w:p>
        </w:tc>
        <w:tc>
          <w:tcPr>
            <w:tcW w:w="0" w:type="dxa"/>
            <w:vAlign w:val="bottom"/>
          </w:tcPr>
          <w:p>
            <w:pPr>
              <w:spacing w:after="0"/>
              <w:rPr>
                <w:sz w:val="1"/>
                <w:szCs w:val="1"/>
                <w:color w:val="auto"/>
              </w:rPr>
            </w:pPr>
          </w:p>
        </w:tc>
      </w:tr>
      <w:tr>
        <w:trPr>
          <w:trHeight w:val="111"/>
        </w:trPr>
        <w:tc>
          <w:tcPr>
            <w:tcW w:w="20" w:type="dxa"/>
            <w:vAlign w:val="bottom"/>
            <w:vMerge w:val="restart"/>
          </w:tcPr>
          <w:p>
            <w:pPr>
              <w:spacing w:after="0"/>
              <w:rPr>
                <w:sz w:val="9"/>
                <w:szCs w:val="9"/>
                <w:color w:val="auto"/>
              </w:rPr>
            </w:pPr>
          </w:p>
        </w:tc>
        <w:tc>
          <w:tcPr>
            <w:tcW w:w="7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40" w:type="dxa"/>
            <w:vAlign w:val="bottom"/>
          </w:tcPr>
          <w:p>
            <w:pPr>
              <w:ind w:left="340"/>
              <w:spacing w:after="0"/>
              <w:rPr>
                <w:sz w:val="20"/>
                <w:szCs w:val="20"/>
                <w:color w:val="auto"/>
              </w:rPr>
            </w:pPr>
            <w:r>
              <w:rPr>
                <w:rFonts w:ascii="Arial" w:cs="Arial" w:eastAsia="Arial" w:hAnsi="Arial"/>
                <w:sz w:val="17"/>
                <w:szCs w:val="17"/>
                <w:color w:val="auto"/>
              </w:rPr>
              <w:t>Purchase of marketable securities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(3,200,895)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(36,716,220)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Maturities of marketable securities</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16,008,000</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16,909,338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40" w:type="dxa"/>
            <w:vAlign w:val="bottom"/>
          </w:tcPr>
          <w:p>
            <w:pPr>
              <w:ind w:left="340"/>
              <w:spacing w:after="0"/>
              <w:rPr>
                <w:sz w:val="20"/>
                <w:szCs w:val="20"/>
                <w:color w:val="auto"/>
              </w:rPr>
            </w:pPr>
            <w:r>
              <w:rPr>
                <w:rFonts w:ascii="Arial" w:cs="Arial" w:eastAsia="Arial" w:hAnsi="Arial"/>
                <w:sz w:val="17"/>
                <w:szCs w:val="17"/>
                <w:color w:val="auto"/>
              </w:rPr>
              <w:t>Sales of marketable securities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9,077,435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Purchase of property, equipment and leasehold improvements</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(1,012,428)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(256,667)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40" w:type="dxa"/>
            <w:vAlign w:val="bottom"/>
          </w:tcPr>
          <w:p>
            <w:pPr>
              <w:ind w:left="340"/>
              <w:spacing w:after="0"/>
              <w:rPr>
                <w:sz w:val="20"/>
                <w:szCs w:val="20"/>
                <w:color w:val="auto"/>
              </w:rPr>
            </w:pPr>
            <w:r>
              <w:rPr>
                <w:rFonts w:ascii="Arial" w:cs="Arial" w:eastAsia="Arial" w:hAnsi="Arial"/>
                <w:sz w:val="17"/>
                <w:szCs w:val="17"/>
                <w:color w:val="auto"/>
              </w:rPr>
              <w:t>Cash paid for license</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(50,000)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(used in) investing activities</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20,872,112</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(20,113,549)</w:t>
            </w:r>
          </w:p>
        </w:tc>
        <w:tc>
          <w:tcPr>
            <w:tcW w:w="0" w:type="dxa"/>
            <w:vAlign w:val="bottom"/>
          </w:tcPr>
          <w:p>
            <w:pPr>
              <w:spacing w:after="0"/>
              <w:rPr>
                <w:sz w:val="1"/>
                <w:szCs w:val="1"/>
                <w:color w:val="auto"/>
              </w:rPr>
            </w:pPr>
          </w:p>
        </w:tc>
      </w:tr>
      <w:tr>
        <w:trPr>
          <w:trHeight w:val="308"/>
        </w:trPr>
        <w:tc>
          <w:tcPr>
            <w:tcW w:w="7360" w:type="dxa"/>
            <w:vAlign w:val="bottom"/>
            <w:gridSpan w:val="2"/>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Repayments of long term debt</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(161,363)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(149,739)</w:t>
            </w:r>
          </w:p>
        </w:tc>
        <w:tc>
          <w:tcPr>
            <w:tcW w:w="0" w:type="dxa"/>
            <w:vAlign w:val="bottom"/>
          </w:tcPr>
          <w:p>
            <w:pPr>
              <w:spacing w:after="0"/>
              <w:rPr>
                <w:sz w:val="1"/>
                <w:szCs w:val="1"/>
                <w:color w:val="auto"/>
              </w:rPr>
            </w:pPr>
          </w:p>
        </w:tc>
      </w:tr>
      <w:tr>
        <w:trPr>
          <w:trHeight w:val="20"/>
        </w:trPr>
        <w:tc>
          <w:tcPr>
            <w:tcW w:w="73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360" w:type="dxa"/>
            <w:vAlign w:val="bottom"/>
            <w:gridSpan w:val="2"/>
          </w:tcPr>
          <w:p>
            <w:pPr>
              <w:spacing w:after="0"/>
              <w:rPr>
                <w:sz w:val="20"/>
                <w:szCs w:val="20"/>
                <w:color w:val="auto"/>
              </w:rPr>
            </w:pPr>
            <w:r>
              <w:rPr>
                <w:rFonts w:ascii="Arial" w:cs="Arial" w:eastAsia="Arial" w:hAnsi="Arial"/>
                <w:sz w:val="17"/>
                <w:szCs w:val="17"/>
                <w:color w:val="auto"/>
              </w:rPr>
              <w:t>Net cash used in financing activities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(161,363)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(149,739)</w:t>
            </w:r>
          </w:p>
        </w:tc>
        <w:tc>
          <w:tcPr>
            <w:tcW w:w="0" w:type="dxa"/>
            <w:vAlign w:val="bottom"/>
          </w:tcPr>
          <w:p>
            <w:pPr>
              <w:spacing w:after="0"/>
              <w:rPr>
                <w:sz w:val="1"/>
                <w:szCs w:val="1"/>
                <w:color w:val="auto"/>
              </w:rPr>
            </w:pPr>
          </w:p>
        </w:tc>
      </w:tr>
      <w:tr>
        <w:trPr>
          <w:trHeight w:val="111"/>
        </w:trPr>
        <w:tc>
          <w:tcPr>
            <w:tcW w:w="20" w:type="dxa"/>
            <w:vAlign w:val="bottom"/>
            <w:vMerge w:val="restart"/>
          </w:tcPr>
          <w:p>
            <w:pPr>
              <w:spacing w:after="0"/>
              <w:rPr>
                <w:sz w:val="9"/>
                <w:szCs w:val="9"/>
                <w:color w:val="auto"/>
              </w:rPr>
            </w:pPr>
          </w:p>
        </w:tc>
        <w:tc>
          <w:tcPr>
            <w:tcW w:w="7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7"/>
                <w:szCs w:val="17"/>
                <w:color w:val="auto"/>
              </w:rPr>
              <w:t>Net increase (decrease) in cash and cash equivalents</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25,823,843</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(39,666,417)</w:t>
            </w:r>
          </w:p>
        </w:tc>
        <w:tc>
          <w:tcPr>
            <w:tcW w:w="0" w:type="dxa"/>
            <w:vAlign w:val="bottom"/>
          </w:tcPr>
          <w:p>
            <w:pPr>
              <w:spacing w:after="0"/>
              <w:rPr>
                <w:sz w:val="1"/>
                <w:szCs w:val="1"/>
                <w:color w:val="auto"/>
              </w:rPr>
            </w:pPr>
          </w:p>
        </w:tc>
      </w:tr>
      <w:tr>
        <w:trPr>
          <w:trHeight w:val="308"/>
        </w:trPr>
        <w:tc>
          <w:tcPr>
            <w:tcW w:w="7360" w:type="dxa"/>
            <w:vAlign w:val="bottom"/>
            <w:gridSpan w:val="2"/>
          </w:tcPr>
          <w:p>
            <w:pPr>
              <w:spacing w:after="0"/>
              <w:rPr>
                <w:sz w:val="20"/>
                <w:szCs w:val="20"/>
                <w:color w:val="auto"/>
              </w:rPr>
            </w:pPr>
            <w:r>
              <w:rPr>
                <w:rFonts w:ascii="Arial" w:cs="Arial" w:eastAsia="Arial" w:hAnsi="Arial"/>
                <w:sz w:val="17"/>
                <w:szCs w:val="17"/>
                <w:color w:val="auto"/>
              </w:rPr>
              <w:t>Cash and cash equivalents, beginning of the period</w:t>
            </w:r>
          </w:p>
        </w:tc>
        <w:tc>
          <w:tcPr>
            <w:tcW w:w="6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5,088,548</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44,754,965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end of the period</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30,912,391</w:t>
            </w:r>
          </w:p>
        </w:tc>
        <w:tc>
          <w:tcPr>
            <w:tcW w:w="2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5,088,548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36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Cash paid for interest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32,393</w:t>
            </w:r>
          </w:p>
        </w:tc>
        <w:tc>
          <w:tcPr>
            <w:tcW w:w="2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46,552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Pr>
          <w:p>
            <w:pPr>
              <w:ind w:left="340"/>
              <w:spacing w:after="0"/>
              <w:rPr>
                <w:sz w:val="20"/>
                <w:szCs w:val="20"/>
                <w:color w:val="auto"/>
              </w:rPr>
            </w:pPr>
            <w:r>
              <w:rPr>
                <w:rFonts w:ascii="Arial" w:cs="Arial" w:eastAsia="Arial" w:hAnsi="Arial"/>
                <w:sz w:val="17"/>
                <w:szCs w:val="17"/>
                <w:color w:val="auto"/>
              </w:rPr>
              <w:t>Increase (decrease) in redemption value of preferred units</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4,570,431</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(1,997,020)</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See accompanying notes</w:t>
      </w:r>
    </w:p>
    <w:p>
      <w:pPr>
        <w:spacing w:after="0" w:line="16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1060"/>
          </w:cols>
          <w:pgMar w:left="240" w:top="450" w:right="599" w:bottom="1440" w:gutter="0" w:footer="0" w:header="0"/>
        </w:sectPr>
      </w:pPr>
    </w:p>
    <w:bookmarkStart w:id="207" w:name="page208"/>
    <w:bookmarkEnd w:id="2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ind w:left="3360"/>
        <w:spacing w:after="0"/>
        <w:rPr>
          <w:sz w:val="20"/>
          <w:szCs w:val="20"/>
          <w:color w:val="auto"/>
        </w:rPr>
      </w:pPr>
      <w:r>
        <w:rPr>
          <w:rFonts w:ascii="Arial" w:cs="Arial" w:eastAsia="Arial" w:hAnsi="Arial"/>
          <w:sz w:val="17"/>
          <w:szCs w:val="17"/>
          <w:b w:val="1"/>
          <w:bCs w:val="1"/>
          <w:color w:val="auto"/>
        </w:rPr>
        <w:t>ARVINAS HOLDING COMPANY, LLC AND SUBSIDIARIES</w:t>
      </w:r>
    </w:p>
    <w:p>
      <w:pPr>
        <w:spacing w:after="0" w:line="316"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1. Nature of Business</w:t>
      </w:r>
    </w:p>
    <w:p>
      <w:pPr>
        <w:spacing w:after="0" w:line="126" w:lineRule="exact"/>
        <w:rPr>
          <w:sz w:val="20"/>
          <w:szCs w:val="20"/>
          <w:color w:val="auto"/>
        </w:rPr>
      </w:pPr>
    </w:p>
    <w:p>
      <w:pPr>
        <w:ind w:left="360" w:right="120" w:firstLine="535"/>
        <w:spacing w:after="0" w:line="247" w:lineRule="auto"/>
        <w:rPr>
          <w:sz w:val="20"/>
          <w:szCs w:val="20"/>
          <w:color w:val="auto"/>
        </w:rPr>
      </w:pPr>
      <w:r>
        <w:rPr>
          <w:rFonts w:ascii="Arial" w:cs="Arial" w:eastAsia="Arial" w:hAnsi="Arial"/>
          <w:sz w:val="17"/>
          <w:szCs w:val="17"/>
          <w:color w:val="auto"/>
        </w:rPr>
        <w:t>Arvinas Holding Company, LLC has four wholly owned subsidiaries, Arvinas, Inc., Arvinas Androgen Receptor, Inc., Arvinas Estrogen Receptor, Inc. and Arvinas BRD4, Inc. (collectively, the Company). The Company is a biopharmaceutical company dedicated to improving the lives of patients suffering from debilitating and life-threatening diseases throughout the discovery, development and commercialization of therapies to degrade disease-causing proteins.</w:t>
      </w:r>
    </w:p>
    <w:p>
      <w:pPr>
        <w:spacing w:after="0" w:line="192" w:lineRule="exact"/>
        <w:rPr>
          <w:sz w:val="20"/>
          <w:szCs w:val="20"/>
          <w:color w:val="auto"/>
        </w:rPr>
      </w:pPr>
    </w:p>
    <w:p>
      <w:pPr>
        <w:ind w:left="360" w:right="40" w:firstLine="535"/>
        <w:spacing w:after="0" w:line="244" w:lineRule="auto"/>
        <w:rPr>
          <w:sz w:val="20"/>
          <w:szCs w:val="20"/>
          <w:color w:val="auto"/>
        </w:rPr>
      </w:pPr>
      <w:r>
        <w:rPr>
          <w:rFonts w:ascii="Arial" w:cs="Arial" w:eastAsia="Arial" w:hAnsi="Arial"/>
          <w:sz w:val="17"/>
          <w:szCs w:val="17"/>
          <w:color w:val="auto"/>
        </w:rPr>
        <w:t>Arvinas, Inc. was incorporated in Delaware on July 3, 2013. Effective January 1, 2015, Arvinas Holding Company, LLC (Arvinas LLC) was formed by the shareholders of Arvinas, Inc. and Arvinas, Inc. became a wholly owned subsidiary of Arvinas LLC. In connection with this reorganization, the rights and preferences of the Preferred Stock of Arvinas, Inc. were exchanged for preferred stock units with similar rights and preferences of Arvinas LLC. As part of the reorganization, the employees, consultants and board members of Arvinas, Inc. exchanged their stock options in Arvinas, Inc. stock in exchange for incentive units in Arvinas LLC. Additionally, common stock holders of Arvinas, Inc. exchanged their common stock for common units in Arvinas LLC. All exchanges were made on a 1-for-1 basis. This reorganization was accounted for as a common control transaction as the common stockholders of Arvinas, Inc. formed Arvinas, LLC and transferred all the assets from Arvinas, Inc. to Arvinas LLC.</w:t>
      </w:r>
    </w:p>
    <w:p>
      <w:pPr>
        <w:spacing w:after="0" w:line="193"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Arvinas Androgen Receptor, Inc. was formed in 2015 and Arvinas Estrogen Receptor, Inc. and Arvinas BRD4, Inc. were formed in</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2016.</w:t>
      </w:r>
    </w:p>
    <w:p>
      <w:pPr>
        <w:spacing w:after="0" w:line="296" w:lineRule="exact"/>
        <w:rPr>
          <w:sz w:val="20"/>
          <w:szCs w:val="20"/>
          <w:color w:val="auto"/>
        </w:rPr>
      </w:pPr>
    </w:p>
    <w:p>
      <w:pPr>
        <w:ind w:left="900" w:right="6820" w:hanging="535"/>
        <w:spacing w:after="0" w:line="382" w:lineRule="auto"/>
        <w:tabs>
          <w:tab w:leader="none" w:pos="559" w:val="left"/>
        </w:tabs>
        <w:numPr>
          <w:ilvl w:val="0"/>
          <w:numId w:val="12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Summary of Significant Accounting Policies Principles of Consolidation</w:t>
      </w:r>
    </w:p>
    <w:p>
      <w:pPr>
        <w:spacing w:after="0" w:line="1" w:lineRule="exact"/>
        <w:rPr>
          <w:sz w:val="20"/>
          <w:szCs w:val="20"/>
          <w:color w:val="auto"/>
        </w:rPr>
      </w:pPr>
    </w:p>
    <w:p>
      <w:pPr>
        <w:ind w:left="360" w:right="520" w:firstLine="535"/>
        <w:spacing w:after="0" w:line="259" w:lineRule="auto"/>
        <w:rPr>
          <w:sz w:val="20"/>
          <w:szCs w:val="20"/>
          <w:color w:val="auto"/>
        </w:rPr>
      </w:pPr>
      <w:r>
        <w:rPr>
          <w:rFonts w:ascii="Arial" w:cs="Arial" w:eastAsia="Arial" w:hAnsi="Arial"/>
          <w:sz w:val="17"/>
          <w:szCs w:val="17"/>
          <w:color w:val="auto"/>
        </w:rPr>
        <w:t>The consolidated financial statements of the Company include the accounts of Arvinas Holding Company, LLC and its wholly owned subsidiaries. All intercompany transactions have been eliminated in consolidation.</w:t>
      </w:r>
    </w:p>
    <w:p>
      <w:pPr>
        <w:spacing w:after="0" w:line="266"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26" w:lineRule="exact"/>
        <w:rPr>
          <w:sz w:val="20"/>
          <w:szCs w:val="20"/>
          <w:color w:val="auto"/>
        </w:rPr>
      </w:pPr>
    </w:p>
    <w:p>
      <w:pPr>
        <w:ind w:left="360" w:firstLine="535"/>
        <w:spacing w:after="0" w:line="245" w:lineRule="auto"/>
        <w:rPr>
          <w:sz w:val="20"/>
          <w:szCs w:val="20"/>
          <w:color w:val="auto"/>
        </w:rPr>
      </w:pPr>
      <w:r>
        <w:rPr>
          <w:rFonts w:ascii="Arial" w:cs="Arial" w:eastAsia="Arial" w:hAnsi="Arial"/>
          <w:sz w:val="17"/>
          <w:szCs w:val="17"/>
          <w:color w:val="auto"/>
        </w:rPr>
        <w:t>The preparation of the Company’s consolidated financial statements in conformity with accounting principles generally accepted in the United States requires management to make certain estimates and assumptions that affect the reported amounts and disclosures in the financial statements. While management believes that estimates and assumptions used in the preparation of the consolidated financial statements are appropriate, actual results could differ from those estimates. The most significant estimates are those used in determination of the Company’s revenue recognition, fair value of its common units, preferred unit warrant liability and incentive unit compensation.</w:t>
      </w:r>
    </w:p>
    <w:p>
      <w:pPr>
        <w:spacing w:after="0" w:line="200" w:lineRule="exact"/>
        <w:rPr>
          <w:sz w:val="20"/>
          <w:szCs w:val="20"/>
          <w:color w:val="auto"/>
        </w:rPr>
      </w:pPr>
    </w:p>
    <w:p>
      <w:pPr>
        <w:spacing w:after="0" w:line="277"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Financial Instruments</w:t>
      </w:r>
    </w:p>
    <w:p>
      <w:pPr>
        <w:spacing w:after="0" w:line="126" w:lineRule="exact"/>
        <w:rPr>
          <w:sz w:val="20"/>
          <w:szCs w:val="20"/>
          <w:color w:val="auto"/>
        </w:rPr>
      </w:pPr>
    </w:p>
    <w:p>
      <w:pPr>
        <w:ind w:left="360" w:right="500" w:firstLine="535"/>
        <w:spacing w:after="0" w:line="259" w:lineRule="auto"/>
        <w:rPr>
          <w:sz w:val="20"/>
          <w:szCs w:val="20"/>
          <w:color w:val="auto"/>
        </w:rPr>
      </w:pPr>
      <w:r>
        <w:rPr>
          <w:rFonts w:ascii="Arial" w:cs="Arial" w:eastAsia="Arial" w:hAnsi="Arial"/>
          <w:sz w:val="17"/>
          <w:szCs w:val="17"/>
          <w:color w:val="auto"/>
        </w:rPr>
        <w:t>The Company’s principal financial instruments comprise cash, marketable securities, accounts receivable, accounts payable, accrued liabilities and long-term debt. The carrying value of all financial instruments approximates fair value.</w:t>
      </w:r>
    </w:p>
    <w:p>
      <w:pPr>
        <w:spacing w:after="0" w:line="266"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26" w:lineRule="exact"/>
        <w:rPr>
          <w:sz w:val="20"/>
          <w:szCs w:val="20"/>
          <w:color w:val="auto"/>
        </w:rPr>
      </w:pPr>
    </w:p>
    <w:p>
      <w:pPr>
        <w:ind w:left="360" w:right="500" w:firstLine="535"/>
        <w:spacing w:after="0" w:line="259" w:lineRule="auto"/>
        <w:rPr>
          <w:sz w:val="20"/>
          <w:szCs w:val="20"/>
          <w:color w:val="auto"/>
        </w:rPr>
      </w:pPr>
      <w:r>
        <w:rPr>
          <w:rFonts w:ascii="Arial" w:cs="Arial" w:eastAsia="Arial" w:hAnsi="Arial"/>
          <w:sz w:val="17"/>
          <w:szCs w:val="17"/>
          <w:color w:val="auto"/>
        </w:rPr>
        <w:t>The Company classifies as cash and cash equivalents amounts on deposit in banks and cash invested temporarily in various instruments, primarily money market accounts, with original maturities</w:t>
      </w:r>
    </w:p>
    <w:p>
      <w:pPr>
        <w:spacing w:after="0" w:line="11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1040"/>
          </w:cols>
          <w:pgMar w:left="240" w:top="450" w:right="619" w:bottom="1440" w:gutter="0" w:footer="0" w:header="0"/>
        </w:sectPr>
      </w:pPr>
    </w:p>
    <w:bookmarkStart w:id="208" w:name="page209"/>
    <w:bookmarkEnd w:id="2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spacing w:after="0" w:line="259" w:lineRule="auto"/>
        <w:rPr>
          <w:sz w:val="20"/>
          <w:szCs w:val="20"/>
          <w:color w:val="auto"/>
        </w:rPr>
      </w:pPr>
      <w:r>
        <w:rPr>
          <w:rFonts w:ascii="Arial" w:cs="Arial" w:eastAsia="Arial" w:hAnsi="Arial"/>
          <w:sz w:val="17"/>
          <w:szCs w:val="17"/>
          <w:color w:val="auto"/>
        </w:rPr>
        <w:t>of three months or less at time of purchase. The carrying amounts reported in the consolidated balance sheets represent the fair values of cash and cash equivalents.</w:t>
      </w:r>
    </w:p>
    <w:p>
      <w:pPr>
        <w:spacing w:after="0" w:line="266"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Concentration of Credit Risk</w:t>
      </w:r>
    </w:p>
    <w:p>
      <w:pPr>
        <w:spacing w:after="0" w:line="126" w:lineRule="exact"/>
        <w:rPr>
          <w:sz w:val="20"/>
          <w:szCs w:val="20"/>
          <w:color w:val="auto"/>
        </w:rPr>
      </w:pPr>
    </w:p>
    <w:p>
      <w:pPr>
        <w:jc w:val="both"/>
        <w:ind w:left="360" w:right="60" w:firstLine="535"/>
        <w:spacing w:after="0" w:line="247" w:lineRule="auto"/>
        <w:rPr>
          <w:sz w:val="20"/>
          <w:szCs w:val="20"/>
          <w:color w:val="auto"/>
        </w:rPr>
      </w:pPr>
      <w:r>
        <w:rPr>
          <w:rFonts w:ascii="Arial" w:cs="Arial" w:eastAsia="Arial" w:hAnsi="Arial"/>
          <w:sz w:val="17"/>
          <w:szCs w:val="17"/>
          <w:color w:val="auto"/>
        </w:rPr>
        <w:t>The Company maintains its cash in financial institution accounts that, at times during the year, may exceed federally insured limits. The cash balances in the financial institutions are insured by the Federal Deposit Insurance Corporation (FDIC) up to $250,000. At times, cash maintained on deposit may be in excess of FDIC limits. Cash may also be maintained at commercial institutions that are not insured by the FDIC.</w:t>
      </w:r>
    </w:p>
    <w:p>
      <w:pPr>
        <w:spacing w:after="0" w:line="192" w:lineRule="exact"/>
        <w:rPr>
          <w:sz w:val="20"/>
          <w:szCs w:val="20"/>
          <w:color w:val="auto"/>
        </w:rPr>
      </w:pPr>
    </w:p>
    <w:p>
      <w:pPr>
        <w:jc w:val="both"/>
        <w:ind w:left="360" w:right="140" w:firstLine="535"/>
        <w:spacing w:after="0" w:line="250" w:lineRule="auto"/>
        <w:rPr>
          <w:sz w:val="20"/>
          <w:szCs w:val="20"/>
          <w:color w:val="auto"/>
        </w:rPr>
      </w:pPr>
      <w:r>
        <w:rPr>
          <w:rFonts w:ascii="Arial" w:cs="Arial" w:eastAsia="Arial" w:hAnsi="Arial"/>
          <w:sz w:val="17"/>
          <w:szCs w:val="17"/>
          <w:color w:val="auto"/>
        </w:rPr>
        <w:t>For the year ended December 31, 2017, two collaborators represented 60% and 40% of total revenue. One collaborator accounts for the entire account receivable balance at December 31, 2017. For the year ended December 31, 2016, two collaborators represented 55% and 45% of total revenue.</w:t>
      </w:r>
    </w:p>
    <w:p>
      <w:pPr>
        <w:spacing w:after="0" w:line="274"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Marketable Securities</w:t>
      </w:r>
    </w:p>
    <w:p>
      <w:pPr>
        <w:spacing w:after="0" w:line="126" w:lineRule="exact"/>
        <w:rPr>
          <w:sz w:val="20"/>
          <w:szCs w:val="20"/>
          <w:color w:val="auto"/>
        </w:rPr>
      </w:pPr>
    </w:p>
    <w:p>
      <w:pPr>
        <w:ind w:left="360" w:right="120" w:firstLine="535"/>
        <w:spacing w:after="0" w:line="247" w:lineRule="auto"/>
        <w:rPr>
          <w:sz w:val="20"/>
          <w:szCs w:val="20"/>
          <w:color w:val="auto"/>
        </w:rPr>
      </w:pPr>
      <w:r>
        <w:rPr>
          <w:rFonts w:ascii="Arial" w:cs="Arial" w:eastAsia="Arial" w:hAnsi="Arial"/>
          <w:sz w:val="17"/>
          <w:szCs w:val="17"/>
          <w:color w:val="auto"/>
        </w:rPr>
        <w:t>The Company classifies its marketable securities as available-for-sale securities, which are carried at their fair value based on the quoted market prices of the securities with unrealized gains and losses reported as accumulated other comprehensive income (loss), a separate component of members’ equity. Realized gains and losses on available-for-sale securities are included in net earnings in the period earned or incurred.</w:t>
      </w:r>
    </w:p>
    <w:p>
      <w:pPr>
        <w:spacing w:after="0" w:line="276"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Property, Equipment, and Leasehold Improvements</w:t>
      </w:r>
    </w:p>
    <w:p>
      <w:pPr>
        <w:spacing w:after="0" w:line="126" w:lineRule="exact"/>
        <w:rPr>
          <w:sz w:val="20"/>
          <w:szCs w:val="20"/>
          <w:color w:val="auto"/>
        </w:rPr>
      </w:pPr>
    </w:p>
    <w:p>
      <w:pPr>
        <w:ind w:left="360" w:firstLine="535"/>
        <w:spacing w:after="0" w:line="245" w:lineRule="auto"/>
        <w:rPr>
          <w:sz w:val="20"/>
          <w:szCs w:val="20"/>
          <w:color w:val="auto"/>
        </w:rPr>
      </w:pPr>
      <w:r>
        <w:rPr>
          <w:rFonts w:ascii="Arial" w:cs="Arial" w:eastAsia="Arial" w:hAnsi="Arial"/>
          <w:sz w:val="17"/>
          <w:szCs w:val="17"/>
          <w:color w:val="auto"/>
        </w:rPr>
        <w:t>Property and equipment are recorded at cost. Depreciation is calculated using the straight-line method over the estimated useful lives, which range from three years for office equipment to five years for laboratory equipment. Maintenance and repairs which do not extend the lives of the assets are charged directly to expense as incurred. Upon retirement or disposal, cost and related accumulated depreciation are removed from the related accounts, and any resulting gain or loss is recognized as a component of income or loss for the period. Leasehold improvements are recorded at cost and amortized using the straight-line method over the shorter of the lease term or the useful life of the asset.</w:t>
      </w:r>
    </w:p>
    <w:p>
      <w:pPr>
        <w:spacing w:after="0" w:line="277"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26" w:lineRule="exact"/>
        <w:rPr>
          <w:sz w:val="20"/>
          <w:szCs w:val="20"/>
          <w:color w:val="auto"/>
        </w:rPr>
      </w:pPr>
    </w:p>
    <w:p>
      <w:pPr>
        <w:ind w:left="360" w:right="240" w:firstLine="535"/>
        <w:spacing w:after="0" w:line="250" w:lineRule="auto"/>
        <w:rPr>
          <w:sz w:val="20"/>
          <w:szCs w:val="20"/>
          <w:color w:val="auto"/>
        </w:rPr>
      </w:pPr>
      <w:r>
        <w:rPr>
          <w:rFonts w:ascii="Arial" w:cs="Arial" w:eastAsia="Arial" w:hAnsi="Arial"/>
          <w:sz w:val="17"/>
          <w:szCs w:val="17"/>
          <w:color w:val="auto"/>
        </w:rPr>
        <w:t>When indications of potential impairments are present, the Company evaluates the carrying value of long-lived assets. The Company adjusts the carrying value of the long-lived assets if the sum of undiscounted expected future cash flows is less than carrying value. No such impairments were recorded during 2017 or 2016.</w:t>
      </w:r>
    </w:p>
    <w:p>
      <w:pPr>
        <w:spacing w:after="0" w:line="274"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Deferred Financing Costs</w:t>
      </w:r>
    </w:p>
    <w:p>
      <w:pPr>
        <w:spacing w:after="0" w:line="126" w:lineRule="exact"/>
        <w:rPr>
          <w:sz w:val="20"/>
          <w:szCs w:val="20"/>
          <w:color w:val="auto"/>
        </w:rPr>
      </w:pPr>
    </w:p>
    <w:p>
      <w:pPr>
        <w:ind w:left="360" w:right="180" w:firstLine="535"/>
        <w:spacing w:after="0" w:line="247" w:lineRule="auto"/>
        <w:rPr>
          <w:sz w:val="20"/>
          <w:szCs w:val="20"/>
          <w:color w:val="auto"/>
        </w:rPr>
      </w:pPr>
      <w:r>
        <w:rPr>
          <w:rFonts w:ascii="Arial" w:cs="Arial" w:eastAsia="Arial" w:hAnsi="Arial"/>
          <w:sz w:val="17"/>
          <w:szCs w:val="17"/>
          <w:color w:val="auto"/>
        </w:rPr>
        <w:t>Deferred financing costs were being amortized over the term of the related debt. In 2016, the Company wrote off $12,115 of deferred financing costs in relation to the related debt forgiven (see Note 8) which was recorded as an offset of other income in the consolidated statements of operations. The Company recorded $5,605 and $5,991 of non-cash interest expense relating to the deferred financing costs for the years ended December 31, 2017 and 2016, respectively.</w:t>
      </w:r>
    </w:p>
    <w:p>
      <w:pPr>
        <w:spacing w:after="0" w:line="276"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Segment Information</w:t>
      </w:r>
    </w:p>
    <w:p>
      <w:pPr>
        <w:spacing w:after="0" w:line="126" w:lineRule="exact"/>
        <w:rPr>
          <w:sz w:val="20"/>
          <w:szCs w:val="20"/>
          <w:color w:val="auto"/>
        </w:rPr>
      </w:pPr>
    </w:p>
    <w:p>
      <w:pPr>
        <w:ind w:left="360" w:right="140" w:firstLine="535"/>
        <w:spacing w:after="0" w:line="250" w:lineRule="auto"/>
        <w:rPr>
          <w:sz w:val="20"/>
          <w:szCs w:val="20"/>
          <w:color w:val="auto"/>
        </w:rPr>
      </w:pPr>
      <w:r>
        <w:rPr>
          <w:rFonts w:ascii="Arial" w:cs="Arial" w:eastAsia="Arial" w:hAnsi="Arial"/>
          <w:sz w:val="17"/>
          <w:szCs w:val="17"/>
          <w:color w:val="auto"/>
        </w:rPr>
        <w:t>The Company manages its operations as a single segment for the purposes of assessing performance and making operating decisions. All of the Company’s tangible assets are held in the United States. To date, all of the Company’s revenue has been generated in the United States.</w:t>
      </w:r>
    </w:p>
    <w:p>
      <w:pPr>
        <w:spacing w:after="0" w:line="123"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1020"/>
          </w:cols>
          <w:pgMar w:left="240" w:top="450" w:right="639" w:bottom="1440" w:gutter="0" w:footer="0" w:header="0"/>
        </w:sectPr>
      </w:pPr>
    </w:p>
    <w:bookmarkStart w:id="209" w:name="page210"/>
    <w:bookmarkEnd w:id="2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Revenue Recognition and Deferred Revenue</w:t>
      </w:r>
    </w:p>
    <w:p>
      <w:pPr>
        <w:spacing w:after="0" w:line="108"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Revenues from Contracts</w:t>
      </w:r>
    </w:p>
    <w:p>
      <w:pPr>
        <w:spacing w:after="0" w:line="124" w:lineRule="exact"/>
        <w:rPr>
          <w:sz w:val="20"/>
          <w:szCs w:val="20"/>
          <w:color w:val="auto"/>
        </w:rPr>
      </w:pPr>
    </w:p>
    <w:p>
      <w:pPr>
        <w:ind w:left="360" w:right="380" w:firstLine="535"/>
        <w:spacing w:after="0" w:line="247" w:lineRule="auto"/>
        <w:rPr>
          <w:sz w:val="20"/>
          <w:szCs w:val="20"/>
          <w:color w:val="auto"/>
        </w:rPr>
      </w:pPr>
      <w:r>
        <w:rPr>
          <w:rFonts w:ascii="Arial" w:cs="Arial" w:eastAsia="Arial" w:hAnsi="Arial"/>
          <w:sz w:val="17"/>
          <w:szCs w:val="17"/>
          <w:color w:val="auto"/>
        </w:rPr>
        <w:t xml:space="preserve">As discussed under New Accounting Pronouncements, the Company adopted Accounting Standards Codification (ASC) 606, </w:t>
      </w:r>
      <w:r>
        <w:rPr>
          <w:rFonts w:ascii="Arial" w:cs="Arial" w:eastAsia="Arial" w:hAnsi="Arial"/>
          <w:sz w:val="17"/>
          <w:szCs w:val="17"/>
          <w:i w:val="1"/>
          <w:iCs w:val="1"/>
          <w:color w:val="auto"/>
        </w:rPr>
        <w:t xml:space="preserve">Revenue from Contracts with Customers </w:t>
      </w:r>
      <w:r>
        <w:rPr>
          <w:rFonts w:ascii="Arial" w:cs="Arial" w:eastAsia="Arial" w:hAnsi="Arial"/>
          <w:sz w:val="17"/>
          <w:szCs w:val="17"/>
          <w:color w:val="auto"/>
        </w:rPr>
        <w:t>as of January 1, 2017 using the full retrospective method. For the year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2016, the effect of the changes in revenue recognition under ASC 606 was immaterial from the amount that was reported under the previous guidance.</w:t>
      </w:r>
    </w:p>
    <w:p>
      <w:pPr>
        <w:spacing w:after="0" w:line="192" w:lineRule="exact"/>
        <w:rPr>
          <w:sz w:val="20"/>
          <w:szCs w:val="20"/>
          <w:color w:val="auto"/>
        </w:rPr>
      </w:pPr>
    </w:p>
    <w:p>
      <w:pPr>
        <w:ind w:left="360" w:firstLine="535"/>
        <w:spacing w:after="0" w:line="244" w:lineRule="auto"/>
        <w:rPr>
          <w:sz w:val="20"/>
          <w:szCs w:val="20"/>
          <w:color w:val="auto"/>
        </w:rPr>
      </w:pPr>
      <w:r>
        <w:rPr>
          <w:rFonts w:ascii="Arial" w:cs="Arial" w:eastAsia="Arial" w:hAnsi="Arial"/>
          <w:sz w:val="17"/>
          <w:szCs w:val="17"/>
          <w:color w:val="auto"/>
        </w:rPr>
        <w:t>The Company’s revenue is generated through research collaboration and license agreements with pharmaceutical partners. The terms of these agreements contain multiple goods and services which may include (i) licenses, (ii) research and development activities, and (iii) participation in joint research and development steering committees. The terms of these agreements may include non-refundable upfront license or option fees, payments for research and development activities, payments upon the achievement of certain milestones, and royalty payments based on product sales derived from the collaboration. Under ASC 606, the Company evaluates whether the license agreement, research and development services, and participation in research and development steering committees, represent separate or combined performance obligations. The Company has determined that these services within its existing contracts represent a combined single performance obligation.</w:t>
      </w:r>
    </w:p>
    <w:p>
      <w:pPr>
        <w:spacing w:after="0" w:line="193" w:lineRule="exact"/>
        <w:rPr>
          <w:sz w:val="20"/>
          <w:szCs w:val="20"/>
          <w:color w:val="auto"/>
        </w:rPr>
      </w:pPr>
    </w:p>
    <w:p>
      <w:pPr>
        <w:ind w:left="360" w:right="40" w:firstLine="535"/>
        <w:spacing w:after="0" w:line="245" w:lineRule="auto"/>
        <w:rPr>
          <w:sz w:val="20"/>
          <w:szCs w:val="20"/>
          <w:color w:val="auto"/>
        </w:rPr>
      </w:pPr>
      <w:r>
        <w:rPr>
          <w:rFonts w:ascii="Arial" w:cs="Arial" w:eastAsia="Arial" w:hAnsi="Arial"/>
          <w:sz w:val="17"/>
          <w:szCs w:val="17"/>
          <w:color w:val="auto"/>
        </w:rPr>
        <w:t>The research collaboration and license agreements typically include contingent milestone payments related to specified preclinical and clinical development milestones and regulatory milestones. These milestone payments represent variable consideration that are not initially recognized within the transaction price as they are fully constrained under the guidance in ASC 606. The Company will continue to assess the probability of significant reversals for any amounts that become likely to be realized prior to recognizing the variable consideration associated with these payments within the transaction price.</w:t>
      </w:r>
    </w:p>
    <w:p>
      <w:pPr>
        <w:spacing w:after="0" w:line="195" w:lineRule="exact"/>
        <w:rPr>
          <w:sz w:val="20"/>
          <w:szCs w:val="20"/>
          <w:color w:val="auto"/>
        </w:rPr>
      </w:pPr>
    </w:p>
    <w:p>
      <w:pPr>
        <w:ind w:left="360" w:right="160" w:firstLine="535"/>
        <w:spacing w:after="0" w:line="247" w:lineRule="auto"/>
        <w:rPr>
          <w:sz w:val="20"/>
          <w:szCs w:val="20"/>
          <w:color w:val="auto"/>
        </w:rPr>
      </w:pPr>
      <w:r>
        <w:rPr>
          <w:rFonts w:ascii="Arial" w:cs="Arial" w:eastAsia="Arial" w:hAnsi="Arial"/>
          <w:sz w:val="17"/>
          <w:szCs w:val="17"/>
          <w:color w:val="auto"/>
        </w:rPr>
        <w:t>Revenue is recognized ratably over the Company’s expected performance period under each respective arrangement. The Company makes its best estimate of the period over which the Company expects to fulfill the Company’s performance obligations, which includes access to technology through the license agreement and research activities. Given the uncertainties of these collaboration arrangements, significant judgment is required to determine the duration of the performance period.</w:t>
      </w:r>
    </w:p>
    <w:p>
      <w:pPr>
        <w:spacing w:after="0" w:line="192" w:lineRule="exact"/>
        <w:rPr>
          <w:sz w:val="20"/>
          <w:szCs w:val="20"/>
          <w:color w:val="auto"/>
        </w:rPr>
      </w:pPr>
    </w:p>
    <w:p>
      <w:pPr>
        <w:ind w:left="360" w:right="60" w:firstLine="535"/>
        <w:spacing w:after="0" w:line="245" w:lineRule="auto"/>
        <w:rPr>
          <w:sz w:val="20"/>
          <w:szCs w:val="20"/>
          <w:color w:val="auto"/>
        </w:rPr>
      </w:pPr>
      <w:r>
        <w:rPr>
          <w:rFonts w:ascii="Arial" w:cs="Arial" w:eastAsia="Arial" w:hAnsi="Arial"/>
          <w:sz w:val="17"/>
          <w:szCs w:val="17"/>
          <w:color w:val="auto"/>
        </w:rPr>
        <w:t>For the years ended December 31, 2017 and 2016, transaction price allocated to the combined performance obligation identified under the agreements is recognized as revenue on a straight-line basis over the estimated performance period under each respective arrangement. Straight-line basis was considered the best measure of progress in which control of the combined obligation transfers to the customers, due to the contract containing license rights to technology, research and development services, and joint committee participation, which in totality are expected to occur ratably over the performance period.</w:t>
      </w:r>
    </w:p>
    <w:p>
      <w:pPr>
        <w:spacing w:after="0" w:line="195" w:lineRule="exact"/>
        <w:rPr>
          <w:sz w:val="20"/>
          <w:szCs w:val="20"/>
          <w:color w:val="auto"/>
        </w:rPr>
      </w:pPr>
    </w:p>
    <w:p>
      <w:pPr>
        <w:ind w:left="360" w:firstLine="535"/>
        <w:spacing w:after="0" w:line="245" w:lineRule="auto"/>
        <w:rPr>
          <w:sz w:val="20"/>
          <w:szCs w:val="20"/>
          <w:color w:val="auto"/>
        </w:rPr>
      </w:pPr>
      <w:r>
        <w:rPr>
          <w:rFonts w:ascii="Arial" w:cs="Arial" w:eastAsia="Arial" w:hAnsi="Arial"/>
          <w:sz w:val="17"/>
          <w:szCs w:val="17"/>
          <w:color w:val="auto"/>
        </w:rPr>
        <w:t>The Company’s contracts may also call for certain sales-based milestone and royalty payments upon successful commercialization of a target. In accordance with ASC 606-10-55-65, the Company recognizes revenues from sales-based milestone and royalty payments at the later of a) the occurrence of the subsequent sale; or b) the performance obligation to which some or all of the sales-based milestone or royalty payments has been allocated has been satisfied (or partially satisfied). The Company anticipates recognizing these milestones and royalty payments if and when subsequent sales are generated by the customer from the use of the technology. To date, no revenue from these sales-based milestone and royalty payments has been recognized for any periods.</w:t>
      </w:r>
    </w:p>
    <w:p>
      <w:pPr>
        <w:spacing w:after="0" w:line="192" w:lineRule="exact"/>
        <w:rPr>
          <w:sz w:val="20"/>
          <w:szCs w:val="20"/>
          <w:color w:val="auto"/>
        </w:rPr>
      </w:pPr>
    </w:p>
    <w:p>
      <w:pPr>
        <w:ind w:left="360" w:right="340" w:firstLine="535"/>
        <w:spacing w:after="0" w:line="259" w:lineRule="auto"/>
        <w:rPr>
          <w:sz w:val="20"/>
          <w:szCs w:val="20"/>
          <w:color w:val="auto"/>
        </w:rPr>
      </w:pPr>
      <w:r>
        <w:rPr>
          <w:rFonts w:ascii="Arial" w:cs="Arial" w:eastAsia="Arial" w:hAnsi="Arial"/>
          <w:sz w:val="17"/>
          <w:szCs w:val="17"/>
          <w:color w:val="auto"/>
        </w:rPr>
        <w:t>Amounts received prior to satisfying the above revenue recognition criteria are recorded as a contract liability in the Company’s accompanying consolidated balance sheets.</w:t>
      </w:r>
    </w:p>
    <w:p>
      <w:pPr>
        <w:spacing w:after="0" w:line="11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F-9</w:t>
      </w:r>
    </w:p>
    <w:p>
      <w:pPr>
        <w:sectPr>
          <w:pgSz w:w="11900" w:h="16838" w:orient="portrait"/>
          <w:cols w:equalWidth="0" w:num="1">
            <w:col w:w="11040"/>
          </w:cols>
          <w:pgMar w:left="240" w:top="450" w:right="619" w:bottom="1440" w:gutter="0" w:footer="0" w:header="0"/>
        </w:sectPr>
      </w:pPr>
    </w:p>
    <w:bookmarkStart w:id="210" w:name="page211"/>
    <w:bookmarkEnd w:id="2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Preferred Unit Warrants</w:t>
      </w:r>
    </w:p>
    <w:p>
      <w:pPr>
        <w:spacing w:after="0" w:line="126" w:lineRule="exact"/>
        <w:rPr>
          <w:sz w:val="20"/>
          <w:szCs w:val="20"/>
          <w:color w:val="auto"/>
        </w:rPr>
      </w:pPr>
    </w:p>
    <w:p>
      <w:pPr>
        <w:ind w:left="360" w:right="120" w:firstLine="535"/>
        <w:spacing w:after="0" w:line="247" w:lineRule="auto"/>
        <w:rPr>
          <w:sz w:val="20"/>
          <w:szCs w:val="20"/>
          <w:color w:val="auto"/>
        </w:rPr>
      </w:pPr>
      <w:r>
        <w:rPr>
          <w:rFonts w:ascii="Arial" w:cs="Arial" w:eastAsia="Arial" w:hAnsi="Arial"/>
          <w:sz w:val="17"/>
          <w:szCs w:val="17"/>
          <w:color w:val="auto"/>
        </w:rPr>
        <w:t>Preferred unit warrants issued in conjunction with debt financings are initially recorded at fair value, using a Black-Scholes option pricing model, with a corresponding discount recorded against the face value of the note and a liability, in accordance with ASC guidance related to accounting for debt issued with redeemable preferred unit purchase warrants. The discount is then accreted against the face value of the note over its remaining term as additional interest expense.</w:t>
      </w:r>
    </w:p>
    <w:p>
      <w:pPr>
        <w:spacing w:after="0" w:line="192" w:lineRule="exact"/>
        <w:rPr>
          <w:sz w:val="20"/>
          <w:szCs w:val="20"/>
          <w:color w:val="auto"/>
        </w:rPr>
      </w:pPr>
    </w:p>
    <w:p>
      <w:pPr>
        <w:ind w:left="360" w:right="20" w:firstLine="535"/>
        <w:spacing w:after="0" w:line="245" w:lineRule="auto"/>
        <w:rPr>
          <w:sz w:val="20"/>
          <w:szCs w:val="20"/>
          <w:color w:val="auto"/>
        </w:rPr>
      </w:pPr>
      <w:r>
        <w:rPr>
          <w:rFonts w:ascii="Arial" w:cs="Arial" w:eastAsia="Arial" w:hAnsi="Arial"/>
          <w:sz w:val="17"/>
          <w:szCs w:val="17"/>
          <w:color w:val="auto"/>
        </w:rPr>
        <w:t>The Company classifies warrants to purchase shares of its Series A Redeemable Convertible Preferred Units (Series A Preferred Units) as a liability on its balance sheets as these warrants are free-standing financial instruments that are exercisable for contingently redeemable shares. The preferred unit warrants are recorded in long-term liabilities at fair value, estimated using the Black-Scholes option pricing model, and marked to market at each balance sheet date. The change in carrying value is reported as the change in fair value of warrant liability in the accompanying consolidated statements of operations. The Company will continue to adjust the liability for changes in fair value until the earlier of the exercise of the preferred unit warrant or the expiration of the preferred unit warrant.</w:t>
      </w:r>
    </w:p>
    <w:p>
      <w:pPr>
        <w:spacing w:after="0" w:line="277"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Income Taxes</w:t>
      </w:r>
    </w:p>
    <w:p>
      <w:pPr>
        <w:spacing w:after="0" w:line="108" w:lineRule="exact"/>
        <w:rPr>
          <w:sz w:val="20"/>
          <w:szCs w:val="20"/>
          <w:color w:val="auto"/>
        </w:rPr>
      </w:pPr>
    </w:p>
    <w:p>
      <w:pPr>
        <w:ind w:left="360" w:right="20" w:firstLine="535"/>
        <w:spacing w:after="0" w:line="261" w:lineRule="auto"/>
        <w:rPr>
          <w:sz w:val="20"/>
          <w:szCs w:val="20"/>
          <w:color w:val="auto"/>
        </w:rPr>
      </w:pPr>
      <w:r>
        <w:rPr>
          <w:rFonts w:ascii="Arial" w:cs="Arial" w:eastAsia="Arial" w:hAnsi="Arial"/>
          <w:sz w:val="17"/>
          <w:szCs w:val="17"/>
          <w:color w:val="auto"/>
        </w:rPr>
        <w:t xml:space="preserve">Arvinas LLC is taxed under the provisions of </w:t>
      </w:r>
      <w:r>
        <w:rPr>
          <w:rFonts w:ascii="Arial" w:cs="Arial" w:eastAsia="Arial" w:hAnsi="Arial"/>
          <w:sz w:val="17"/>
          <w:szCs w:val="17"/>
          <w:i w:val="1"/>
          <w:iCs w:val="1"/>
          <w:color w:val="auto"/>
        </w:rPr>
        <w:t>Subchapter K—Partners and Partnerships</w:t>
      </w:r>
      <w:r>
        <w:rPr>
          <w:rFonts w:ascii="Arial" w:cs="Arial" w:eastAsia="Arial" w:hAnsi="Arial"/>
          <w:sz w:val="17"/>
          <w:szCs w:val="17"/>
          <w:color w:val="auto"/>
        </w:rPr>
        <w:t xml:space="preserve"> of the Internal Revenue Code. Under those provisions, Arvinas LLC does not pay federal or state corporate income taxes on its taxable income. Instead, each member includes net operating income or loss for Arvinas LLC on its individual return.</w:t>
      </w:r>
    </w:p>
    <w:p>
      <w:pPr>
        <w:spacing w:after="0" w:line="180" w:lineRule="exact"/>
        <w:rPr>
          <w:sz w:val="20"/>
          <w:szCs w:val="20"/>
          <w:color w:val="auto"/>
        </w:rPr>
      </w:pPr>
    </w:p>
    <w:p>
      <w:pPr>
        <w:ind w:left="360" w:right="20" w:firstLine="535"/>
        <w:spacing w:after="0" w:line="245" w:lineRule="auto"/>
        <w:rPr>
          <w:sz w:val="20"/>
          <w:szCs w:val="20"/>
          <w:color w:val="auto"/>
        </w:rPr>
      </w:pPr>
      <w:r>
        <w:rPr>
          <w:rFonts w:ascii="Arial" w:cs="Arial" w:eastAsia="Arial" w:hAnsi="Arial"/>
          <w:sz w:val="17"/>
          <w:szCs w:val="17"/>
          <w:color w:val="auto"/>
        </w:rPr>
        <w:t xml:space="preserve">Arvinas, Inc., Arvinas Androgen Receptor, Inc., Arvinas Estrogen Receptor, Inc. and Arvinas BRD4, Inc. use the asset and liability method of accounting for income taxes, as set forth in Accounting Standards Codification (ASC) 740, </w:t>
      </w:r>
      <w:r>
        <w:rPr>
          <w:rFonts w:ascii="Arial" w:cs="Arial" w:eastAsia="Arial" w:hAnsi="Arial"/>
          <w:sz w:val="17"/>
          <w:szCs w:val="17"/>
          <w:i w:val="1"/>
          <w:iCs w:val="1"/>
          <w:color w:val="auto"/>
        </w:rPr>
        <w:t>Accounting for Income Taxes</w:t>
      </w:r>
      <w:r>
        <w:rPr>
          <w:rFonts w:ascii="Arial" w:cs="Arial" w:eastAsia="Arial" w:hAnsi="Arial"/>
          <w:sz w:val="17"/>
          <w:szCs w:val="17"/>
          <w:color w:val="auto"/>
        </w:rPr>
        <w:t>. Under this method, deferred tax assets and liabilities are recognized for the expected future tax consequence of temporary differences between the carrying amounts and the tax basis of assets and liabilities and net operating loss carry forwards, all calculated using presently enacted tax rates (see Note 11).</w:t>
      </w:r>
    </w:p>
    <w:p>
      <w:pPr>
        <w:spacing w:after="0" w:line="195" w:lineRule="exact"/>
        <w:rPr>
          <w:sz w:val="20"/>
          <w:szCs w:val="20"/>
          <w:color w:val="auto"/>
        </w:rPr>
      </w:pPr>
    </w:p>
    <w:p>
      <w:pPr>
        <w:ind w:left="360" w:right="280" w:firstLine="535"/>
        <w:spacing w:after="0" w:line="250" w:lineRule="auto"/>
        <w:rPr>
          <w:sz w:val="20"/>
          <w:szCs w:val="20"/>
          <w:color w:val="auto"/>
        </w:rPr>
      </w:pPr>
      <w:r>
        <w:rPr>
          <w:rFonts w:ascii="Arial" w:cs="Arial" w:eastAsia="Arial" w:hAnsi="Arial"/>
          <w:sz w:val="17"/>
          <w:szCs w:val="17"/>
          <w:color w:val="auto"/>
        </w:rPr>
        <w:t>Management has evaluated the effect of ASC 740 guidance related to uncertain income tax positions and concluded that the Company has no significant financial statement exposure to uncertain income tax positions at December 31, 2017 and 2016. The 2015 federal tax return is currently under audit by the Internal Revenue Service.</w:t>
      </w:r>
    </w:p>
    <w:p>
      <w:pPr>
        <w:spacing w:after="0" w:line="274"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Incentive Units</w:t>
      </w:r>
    </w:p>
    <w:p>
      <w:pPr>
        <w:spacing w:after="0" w:line="126" w:lineRule="exact"/>
        <w:rPr>
          <w:sz w:val="20"/>
          <w:szCs w:val="20"/>
          <w:color w:val="auto"/>
        </w:rPr>
      </w:pPr>
    </w:p>
    <w:p>
      <w:pPr>
        <w:ind w:left="360" w:firstLine="535"/>
        <w:spacing w:after="0" w:line="245" w:lineRule="auto"/>
        <w:rPr>
          <w:sz w:val="20"/>
          <w:szCs w:val="20"/>
          <w:color w:val="auto"/>
        </w:rPr>
      </w:pPr>
      <w:r>
        <w:rPr>
          <w:rFonts w:ascii="Arial" w:cs="Arial" w:eastAsia="Arial" w:hAnsi="Arial"/>
          <w:sz w:val="17"/>
          <w:szCs w:val="17"/>
          <w:color w:val="auto"/>
        </w:rPr>
        <w:t>The Company periodically grants incentive units to employees and non-employees, which generally vest over a four-year period. The incentive units represent a separate substantive class of equity with defined rights within the LLC Operating Agreement. The incentive units represent profits interests in the Company, which is an interest in the increase in the value of the entity over the Participation Threshold, as defined in the LLC Operating Agreement and as determined at the time of grant. The holder, therefore, has the right to participate in distributions of profits only in excess of the Participation Threshold. The Participation Threshold is based on the valuation of the common unit on or around the grant date.</w:t>
      </w:r>
    </w:p>
    <w:p>
      <w:pPr>
        <w:spacing w:after="0" w:line="174" w:lineRule="exact"/>
        <w:rPr>
          <w:sz w:val="20"/>
          <w:szCs w:val="20"/>
          <w:color w:val="auto"/>
        </w:rPr>
      </w:pPr>
    </w:p>
    <w:p>
      <w:pPr>
        <w:ind w:left="360" w:firstLine="535"/>
        <w:spacing w:after="0" w:line="261" w:lineRule="auto"/>
        <w:rPr>
          <w:sz w:val="20"/>
          <w:szCs w:val="20"/>
          <w:color w:val="auto"/>
        </w:rPr>
      </w:pPr>
      <w:r>
        <w:rPr>
          <w:rFonts w:ascii="Arial" w:cs="Arial" w:eastAsia="Arial" w:hAnsi="Arial"/>
          <w:sz w:val="17"/>
          <w:szCs w:val="17"/>
          <w:color w:val="auto"/>
        </w:rPr>
        <w:t xml:space="preserve">The Company accounts for incentive units granted in accordance with ASC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(ASC 718). In accordance with ASC 718, compensation expense is measured at estimated fair value of the incentive units and is included as compensation expense over the vesting period during which an employee provides service in exchange for the award.</w:t>
      </w:r>
    </w:p>
    <w:p>
      <w:pPr>
        <w:spacing w:after="0" w:line="114"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F-10</w:t>
      </w:r>
    </w:p>
    <w:p>
      <w:pPr>
        <w:sectPr>
          <w:pgSz w:w="11900" w:h="16838" w:orient="portrait"/>
          <w:cols w:equalWidth="0" w:num="1">
            <w:col w:w="11040"/>
          </w:cols>
          <w:pgMar w:left="240" w:top="450" w:right="619" w:bottom="1440" w:gutter="0" w:footer="0" w:header="0"/>
        </w:sectPr>
      </w:pPr>
    </w:p>
    <w:bookmarkStart w:id="211" w:name="page212"/>
    <w:bookmarkEnd w:id="2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firstLine="535"/>
        <w:spacing w:after="0" w:line="245" w:lineRule="auto"/>
        <w:rPr>
          <w:sz w:val="20"/>
          <w:szCs w:val="20"/>
          <w:color w:val="auto"/>
        </w:rPr>
      </w:pPr>
      <w:r>
        <w:rPr>
          <w:rFonts w:ascii="Arial" w:cs="Arial" w:eastAsia="Arial" w:hAnsi="Arial"/>
          <w:sz w:val="17"/>
          <w:szCs w:val="17"/>
          <w:color w:val="auto"/>
        </w:rPr>
        <w:t>The Company uses a Black-Scholes option pricing model to determine fair value of its incentive units. The Black-Scholes option pricing model includes various assumptions, including the expected life of incentive units, the expected volatility and the expected risk-free interest rate. These assumptions reflect the Company’s best estimates, but they involve inherent uncertainties based on market conditions generally outside the control of the Company. As a result, if other assumptions had been used, unit-based compensation cost could have been materially impacted. Furthermore, if the Company uses different assumptions for future grants, unit-based compensation expense could be materially impacted in future periods.</w:t>
      </w:r>
    </w:p>
    <w:p>
      <w:pPr>
        <w:spacing w:after="0" w:line="174" w:lineRule="exact"/>
        <w:rPr>
          <w:sz w:val="20"/>
          <w:szCs w:val="20"/>
          <w:color w:val="auto"/>
        </w:rPr>
      </w:pPr>
    </w:p>
    <w:p>
      <w:pPr>
        <w:ind w:left="360" w:right="120" w:firstLine="535"/>
        <w:spacing w:after="0" w:line="254" w:lineRule="auto"/>
        <w:rPr>
          <w:sz w:val="20"/>
          <w:szCs w:val="20"/>
          <w:color w:val="auto"/>
        </w:rPr>
      </w:pPr>
      <w:r>
        <w:rPr>
          <w:rFonts w:ascii="Arial" w:cs="Arial" w:eastAsia="Arial" w:hAnsi="Arial"/>
          <w:sz w:val="17"/>
          <w:szCs w:val="17"/>
          <w:color w:val="auto"/>
        </w:rPr>
        <w:t xml:space="preserve">The Company accounts for incentive units issued to non-employees in accordance with the provisions of ASC 505-50, </w:t>
      </w:r>
      <w:r>
        <w:rPr>
          <w:rFonts w:ascii="Arial" w:cs="Arial" w:eastAsia="Arial" w:hAnsi="Arial"/>
          <w:sz w:val="17"/>
          <w:szCs w:val="17"/>
          <w:i w:val="1"/>
          <w:iCs w:val="1"/>
          <w:color w:val="auto"/>
        </w:rPr>
        <w:t xml:space="preserve">Equity-Based Payments to Non-Employees </w:t>
      </w:r>
      <w:r>
        <w:rPr>
          <w:rFonts w:ascii="Arial" w:cs="Arial" w:eastAsia="Arial" w:hAnsi="Arial"/>
          <w:sz w:val="17"/>
          <w:szCs w:val="17"/>
          <w:color w:val="auto"/>
        </w:rPr>
        <w:t>(ASC 505). Under ASC 505, where the fair value of the equity instrument is more reliably measured</w:t>
      </w:r>
      <w:r>
        <w:rPr>
          <w:rFonts w:ascii="Arial" w:cs="Arial" w:eastAsia="Arial" w:hAnsi="Arial"/>
          <w:sz w:val="17"/>
          <w:szCs w:val="17"/>
          <w:i w:val="1"/>
          <w:iCs w:val="1"/>
          <w:color w:val="auto"/>
        </w:rPr>
        <w:t xml:space="preserve"> </w:t>
      </w:r>
      <w:r>
        <w:rPr>
          <w:rFonts w:ascii="Arial" w:cs="Arial" w:eastAsia="Arial" w:hAnsi="Arial"/>
          <w:sz w:val="17"/>
          <w:szCs w:val="17"/>
          <w:color w:val="auto"/>
        </w:rPr>
        <w:t>than the fair value of the services rendered, such services will be valued based on the fair value of the equity instrument. The Company uses a Black-Scholes option pricing model to measure the value of the equity instruments issued to non-employees.</w:t>
      </w:r>
    </w:p>
    <w:p>
      <w:pPr>
        <w:spacing w:after="0" w:line="272"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126" w:lineRule="exact"/>
        <w:rPr>
          <w:sz w:val="20"/>
          <w:szCs w:val="20"/>
          <w:color w:val="auto"/>
        </w:rPr>
      </w:pPr>
    </w:p>
    <w:p>
      <w:pPr>
        <w:jc w:val="both"/>
        <w:ind w:left="360" w:right="460" w:firstLine="535"/>
        <w:spacing w:after="0" w:line="245" w:lineRule="auto"/>
        <w:rPr>
          <w:sz w:val="20"/>
          <w:szCs w:val="20"/>
          <w:color w:val="auto"/>
        </w:rPr>
      </w:pPr>
      <w:r>
        <w:rPr>
          <w:rFonts w:ascii="Arial" w:cs="Arial" w:eastAsia="Arial" w:hAnsi="Arial"/>
          <w:sz w:val="17"/>
          <w:szCs w:val="17"/>
          <w:color w:val="auto"/>
        </w:rPr>
        <w:t>Research and development costs are expensed as incurred. The Company records grants from governmental and non-profit agencies as a reduction in research and development expense. Grants are recognized when there is reasonable assurance that the Company will comply with the conditions attached to the grant arrangement and the grant will be received. Grant payments received related to research and development costs incurred prior to the approval of the qualifying program are recognized immediately upon approval of the program by the grantor.</w:t>
      </w:r>
    </w:p>
    <w:p>
      <w:pPr>
        <w:spacing w:after="0" w:line="280"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108" w:lineRule="exact"/>
        <w:rPr>
          <w:sz w:val="20"/>
          <w:szCs w:val="20"/>
          <w:color w:val="auto"/>
        </w:rPr>
      </w:pPr>
    </w:p>
    <w:p>
      <w:pPr>
        <w:ind w:left="360" w:right="40" w:firstLine="535"/>
        <w:spacing w:after="0" w:line="256" w:lineRule="auto"/>
        <w:rPr>
          <w:sz w:val="20"/>
          <w:szCs w:val="20"/>
          <w:color w:val="auto"/>
        </w:rPr>
      </w:pPr>
      <w:r>
        <w:rPr>
          <w:rFonts w:ascii="Arial" w:cs="Arial" w:eastAsia="Arial" w:hAnsi="Arial"/>
          <w:sz w:val="17"/>
          <w:szCs w:val="17"/>
          <w:color w:val="auto"/>
        </w:rPr>
        <w:t xml:space="preserve">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requires disclosure of the fair value of financial instruments held by the Company. ASC 825, </w:t>
      </w:r>
      <w:r>
        <w:rPr>
          <w:rFonts w:ascii="Arial" w:cs="Arial" w:eastAsia="Arial" w:hAnsi="Arial"/>
          <w:sz w:val="17"/>
          <w:szCs w:val="17"/>
          <w:i w:val="1"/>
          <w:iCs w:val="1"/>
          <w:color w:val="auto"/>
        </w:rPr>
        <w:t>Financial Instruments</w:t>
      </w:r>
      <w:r>
        <w:rPr>
          <w:rFonts w:ascii="Arial" w:cs="Arial" w:eastAsia="Arial" w:hAnsi="Arial"/>
          <w:sz w:val="17"/>
          <w:szCs w:val="17"/>
          <w:color w:val="auto"/>
        </w:rPr>
        <w:t>, defines fair value and establishes a three-level valuation hierarchy for disclosures of fair value measurement that enhances disclosure requirements for fair value measures. The three levels of valuation hierarchy are defined as follows:</w:t>
      </w:r>
    </w:p>
    <w:p>
      <w:pPr>
        <w:spacing w:after="0" w:line="284" w:lineRule="exact"/>
        <w:rPr>
          <w:sz w:val="20"/>
          <w:szCs w:val="20"/>
          <w:color w:val="auto"/>
        </w:rPr>
      </w:pPr>
    </w:p>
    <w:p>
      <w:pPr>
        <w:ind w:left="780"/>
        <w:spacing w:after="0"/>
        <w:rPr>
          <w:sz w:val="20"/>
          <w:szCs w:val="20"/>
          <w:color w:val="auto"/>
        </w:rPr>
      </w:pPr>
      <w:r>
        <w:rPr>
          <w:rFonts w:ascii="Arial" w:cs="Arial" w:eastAsia="Arial" w:hAnsi="Arial"/>
          <w:sz w:val="17"/>
          <w:szCs w:val="17"/>
          <w:color w:val="auto"/>
        </w:rPr>
        <w:t>Level 1—Inputs are based upon observable or quoted prices for identical instruments traded in active markets.</w:t>
      </w:r>
    </w:p>
    <w:p>
      <w:pPr>
        <w:spacing w:after="0" w:line="106" w:lineRule="exact"/>
        <w:rPr>
          <w:sz w:val="20"/>
          <w:szCs w:val="20"/>
          <w:color w:val="auto"/>
        </w:rPr>
      </w:pPr>
    </w:p>
    <w:p>
      <w:pPr>
        <w:ind w:left="580" w:right="120" w:firstLine="210"/>
        <w:spacing w:after="0" w:line="247" w:lineRule="auto"/>
        <w:rPr>
          <w:sz w:val="20"/>
          <w:szCs w:val="20"/>
          <w:color w:val="auto"/>
        </w:rPr>
      </w:pPr>
      <w:r>
        <w:rPr>
          <w:rFonts w:ascii="Arial" w:cs="Arial" w:eastAsia="Arial" w:hAnsi="Arial"/>
          <w:sz w:val="17"/>
          <w:szCs w:val="17"/>
          <w:color w:val="auto"/>
        </w:rPr>
        <w:t>Level 2—Inputs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 Our Level 2 investments consist primarily of corporate notes and bonds and U.S. government and agency securities.</w:t>
      </w:r>
    </w:p>
    <w:p>
      <w:pPr>
        <w:spacing w:after="0" w:line="87" w:lineRule="exact"/>
        <w:rPr>
          <w:sz w:val="20"/>
          <w:szCs w:val="20"/>
          <w:color w:val="auto"/>
        </w:rPr>
      </w:pPr>
    </w:p>
    <w:p>
      <w:pPr>
        <w:jc w:val="both"/>
        <w:ind w:left="580" w:right="260" w:firstLine="210"/>
        <w:spacing w:after="0" w:line="250" w:lineRule="auto"/>
        <w:rPr>
          <w:sz w:val="20"/>
          <w:szCs w:val="20"/>
          <w:color w:val="auto"/>
        </w:rPr>
      </w:pPr>
      <w:r>
        <w:rPr>
          <w:rFonts w:ascii="Arial" w:cs="Arial" w:eastAsia="Arial" w:hAnsi="Arial"/>
          <w:sz w:val="17"/>
          <w:szCs w:val="17"/>
          <w:color w:val="auto"/>
        </w:rPr>
        <w:t>Level 3—Inputs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w:t>
      </w:r>
    </w:p>
    <w:p>
      <w:pPr>
        <w:spacing w:after="0" w:line="189" w:lineRule="exact"/>
        <w:rPr>
          <w:sz w:val="20"/>
          <w:szCs w:val="20"/>
          <w:color w:val="auto"/>
        </w:rPr>
      </w:pPr>
    </w:p>
    <w:p>
      <w:pPr>
        <w:ind w:left="360" w:right="160" w:firstLine="535"/>
        <w:spacing w:after="0" w:line="259" w:lineRule="auto"/>
        <w:rPr>
          <w:sz w:val="20"/>
          <w:szCs w:val="20"/>
          <w:color w:val="auto"/>
        </w:rPr>
      </w:pPr>
      <w:r>
        <w:rPr>
          <w:rFonts w:ascii="Arial" w:cs="Arial" w:eastAsia="Arial" w:hAnsi="Arial"/>
          <w:sz w:val="17"/>
          <w:szCs w:val="17"/>
          <w:color w:val="auto"/>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spacing w:after="0" w:line="181" w:lineRule="exact"/>
        <w:rPr>
          <w:sz w:val="20"/>
          <w:szCs w:val="20"/>
          <w:color w:val="auto"/>
        </w:rPr>
      </w:pPr>
    </w:p>
    <w:p>
      <w:pPr>
        <w:ind w:left="360" w:right="320" w:firstLine="535"/>
        <w:spacing w:after="0" w:line="259" w:lineRule="auto"/>
        <w:rPr>
          <w:sz w:val="20"/>
          <w:szCs w:val="20"/>
          <w:color w:val="auto"/>
        </w:rPr>
      </w:pPr>
      <w:r>
        <w:rPr>
          <w:rFonts w:ascii="Arial" w:cs="Arial" w:eastAsia="Arial" w:hAnsi="Arial"/>
          <w:sz w:val="17"/>
          <w:szCs w:val="17"/>
          <w:color w:val="auto"/>
        </w:rPr>
        <w:t>The Company’s marketable securities consist of corporate bonds and a government bond which are adjusted to fair value each balance sheet date, based on quoted prices, which are considered</w:t>
      </w:r>
    </w:p>
    <w:p>
      <w:pPr>
        <w:spacing w:after="0" w:line="116"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F-11</w:t>
      </w:r>
    </w:p>
    <w:p>
      <w:pPr>
        <w:sectPr>
          <w:pgSz w:w="11900" w:h="16838" w:orient="portrait"/>
          <w:cols w:equalWidth="0" w:num="1">
            <w:col w:w="11020"/>
          </w:cols>
          <w:pgMar w:left="240" w:top="450" w:right="639" w:bottom="1440" w:gutter="0" w:footer="0" w:header="0"/>
        </w:sectPr>
      </w:pPr>
    </w:p>
    <w:bookmarkStart w:id="212" w:name="page213"/>
    <w:bookmarkEnd w:id="2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60"/>
        <w:spacing w:after="0" w:line="259" w:lineRule="auto"/>
        <w:rPr>
          <w:sz w:val="20"/>
          <w:szCs w:val="20"/>
          <w:color w:val="auto"/>
        </w:rPr>
      </w:pPr>
      <w:r>
        <w:rPr>
          <w:rFonts w:ascii="Arial" w:cs="Arial" w:eastAsia="Arial" w:hAnsi="Arial"/>
          <w:sz w:val="17"/>
          <w:szCs w:val="17"/>
          <w:color w:val="auto"/>
        </w:rPr>
        <w:t>Level 2 inputs (see Note 5). The fair value of the preferred unit warrant liability is measured on a recurring basis and is considered a Level 3 instrument in the fair value hierarchy. See Note 8 for the valuation method used and significant assumptions used in the valuation.</w:t>
      </w:r>
    </w:p>
    <w:p>
      <w:pPr>
        <w:spacing w:after="0" w:line="181" w:lineRule="exact"/>
        <w:rPr>
          <w:sz w:val="20"/>
          <w:szCs w:val="20"/>
          <w:color w:val="auto"/>
        </w:rPr>
      </w:pPr>
    </w:p>
    <w:p>
      <w:pPr>
        <w:ind w:left="360" w:right="220" w:firstLine="535"/>
        <w:spacing w:after="0" w:line="259" w:lineRule="auto"/>
        <w:rPr>
          <w:sz w:val="20"/>
          <w:szCs w:val="20"/>
          <w:color w:val="auto"/>
        </w:rPr>
      </w:pPr>
      <w:r>
        <w:rPr>
          <w:rFonts w:ascii="Arial" w:cs="Arial" w:eastAsia="Arial" w:hAnsi="Arial"/>
          <w:sz w:val="17"/>
          <w:szCs w:val="17"/>
          <w:color w:val="auto"/>
        </w:rPr>
        <w:t>The following tables summarize the fair values and levels within the fair value hierarchy in which the fair value measurements fall for assets and liabilities measured on a recurring basis as of:</w:t>
      </w:r>
    </w:p>
    <w:p>
      <w:pPr>
        <w:spacing w:after="0" w:line="193"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42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December 31, 2017</w:t>
            </w:r>
          </w:p>
        </w:tc>
        <w:tc>
          <w:tcPr>
            <w:tcW w:w="1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20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780" w:type="dxa"/>
            <w:vAlign w:val="bottom"/>
          </w:tcPr>
          <w:p>
            <w:pPr>
              <w:spacing w:after="0"/>
              <w:rPr>
                <w:sz w:val="16"/>
                <w:szCs w:val="16"/>
                <w:color w:val="auto"/>
              </w:rPr>
            </w:pPr>
          </w:p>
        </w:tc>
        <w:tc>
          <w:tcPr>
            <w:tcW w:w="960" w:type="dxa"/>
            <w:vAlign w:val="bottom"/>
            <w:gridSpan w:val="4"/>
          </w:tcPr>
          <w:p>
            <w:pPr>
              <w:jc w:val="center"/>
              <w:ind w:right="233"/>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6"/>
                <w:szCs w:val="16"/>
                <w:color w:val="auto"/>
              </w:rPr>
            </w:pPr>
          </w:p>
        </w:tc>
        <w:tc>
          <w:tcPr>
            <w:tcW w:w="1200" w:type="dxa"/>
            <w:vAlign w:val="bottom"/>
            <w:gridSpan w:val="4"/>
          </w:tcPr>
          <w:p>
            <w:pPr>
              <w:ind w:left="20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6"/>
                <w:szCs w:val="16"/>
                <w:color w:val="auto"/>
              </w:rPr>
            </w:pPr>
          </w:p>
        </w:tc>
        <w:tc>
          <w:tcPr>
            <w:tcW w:w="840" w:type="dxa"/>
            <w:vAlign w:val="bottom"/>
            <w:gridSpan w:val="4"/>
          </w:tcPr>
          <w:p>
            <w:pPr>
              <w:jc w:val="right"/>
              <w:ind w:right="213"/>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6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7"/>
                <w:szCs w:val="17"/>
                <w:color w:val="auto"/>
              </w:rPr>
              <w:t>Assets:</w:t>
            </w:r>
          </w:p>
        </w:tc>
        <w:tc>
          <w:tcPr>
            <w:tcW w:w="3420" w:type="dxa"/>
            <w:vAlign w:val="bottom"/>
            <w:tcBorders>
              <w:top w:val="single" w:sz="8" w:color="CCEEFF"/>
            </w:tcBorders>
            <w:shd w:val="clear" w:color="auto" w:fill="CCEEFF"/>
          </w:tcPr>
          <w:p>
            <w:pPr>
              <w:spacing w:after="0"/>
              <w:rPr>
                <w:sz w:val="14"/>
                <w:szCs w:val="14"/>
                <w:color w:val="auto"/>
              </w:rPr>
            </w:pPr>
          </w:p>
        </w:tc>
        <w:tc>
          <w:tcPr>
            <w:tcW w:w="17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gridSpan w:val="2"/>
          </w:tcPr>
          <w:p>
            <w:pPr>
              <w:ind w:left="340"/>
              <w:spacing w:after="0"/>
              <w:rPr>
                <w:sz w:val="20"/>
                <w:szCs w:val="20"/>
                <w:color w:val="auto"/>
              </w:rPr>
            </w:pPr>
            <w:r>
              <w:rPr>
                <w:rFonts w:ascii="Arial" w:cs="Arial" w:eastAsia="Arial" w:hAnsi="Arial"/>
                <w:sz w:val="17"/>
                <w:szCs w:val="17"/>
                <w:color w:val="auto"/>
              </w:rPr>
              <w:t>Marketable securities</w:t>
            </w:r>
          </w:p>
        </w:tc>
        <w:tc>
          <w:tcPr>
            <w:tcW w:w="2080" w:type="dxa"/>
            <w:vAlign w:val="bottom"/>
            <w:gridSpan w:val="2"/>
          </w:tcPr>
          <w:p>
            <w:pPr>
              <w:jc w:val="right"/>
              <w:ind w:right="15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58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1060" w:type="dxa"/>
            <w:vAlign w:val="bottom"/>
            <w:gridSpan w:val="4"/>
          </w:tcPr>
          <w:p>
            <w:pPr>
              <w:jc w:val="right"/>
              <w:spacing w:after="0"/>
              <w:rPr>
                <w:sz w:val="20"/>
                <w:szCs w:val="20"/>
                <w:color w:val="auto"/>
              </w:rPr>
            </w:pPr>
            <w:r>
              <w:rPr>
                <w:rFonts w:ascii="Arial" w:cs="Arial" w:eastAsia="Arial" w:hAnsi="Arial"/>
                <w:sz w:val="17"/>
                <w:szCs w:val="17"/>
                <w:color w:val="auto"/>
              </w:rPr>
              <w:t>$8,258,982</w:t>
            </w:r>
          </w:p>
        </w:tc>
        <w:tc>
          <w:tcPr>
            <w:tcW w:w="300" w:type="dxa"/>
            <w:vAlign w:val="bottom"/>
          </w:tcPr>
          <w:p>
            <w:pPr>
              <w:spacing w:after="0"/>
              <w:rPr>
                <w:sz w:val="18"/>
                <w:szCs w:val="18"/>
                <w:color w:val="auto"/>
              </w:rPr>
            </w:pPr>
          </w:p>
        </w:tc>
        <w:tc>
          <w:tcPr>
            <w:tcW w:w="360" w:type="dxa"/>
            <w:vAlign w:val="bottom"/>
            <w:gridSpan w:val="2"/>
          </w:tcPr>
          <w:p>
            <w:pPr>
              <w:jc w:val="right"/>
              <w:ind w:right="5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460" w:type="dxa"/>
            <w:vAlign w:val="bottom"/>
            <w:gridSpan w:val="2"/>
          </w:tcPr>
          <w:p>
            <w:pPr>
              <w:jc w:val="right"/>
              <w:ind w:right="113"/>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8,258,982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760" w:type="dxa"/>
            <w:vAlign w:val="bottom"/>
          </w:tcPr>
          <w:p>
            <w:pPr>
              <w:spacing w:after="0"/>
              <w:rPr>
                <w:sz w:val="7"/>
                <w:szCs w:val="7"/>
                <w:color w:val="auto"/>
              </w:rPr>
            </w:pPr>
          </w:p>
        </w:tc>
        <w:tc>
          <w:tcPr>
            <w:tcW w:w="3420" w:type="dxa"/>
            <w:vAlign w:val="bottom"/>
          </w:tcPr>
          <w:p>
            <w:pPr>
              <w:spacing w:after="0"/>
              <w:rPr>
                <w:sz w:val="7"/>
                <w:szCs w:val="7"/>
                <w:color w:val="auto"/>
              </w:rPr>
            </w:pPr>
          </w:p>
        </w:tc>
        <w:tc>
          <w:tcPr>
            <w:tcW w:w="17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Liabilities:</w:t>
            </w:r>
          </w:p>
        </w:tc>
        <w:tc>
          <w:tcPr>
            <w:tcW w:w="1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gridSpan w:val="2"/>
          </w:tcPr>
          <w:p>
            <w:pPr>
              <w:ind w:left="340"/>
              <w:spacing w:after="0"/>
              <w:rPr>
                <w:sz w:val="20"/>
                <w:szCs w:val="20"/>
                <w:color w:val="auto"/>
              </w:rPr>
            </w:pPr>
            <w:r>
              <w:rPr>
                <w:rFonts w:ascii="Arial" w:cs="Arial" w:eastAsia="Arial" w:hAnsi="Arial"/>
                <w:sz w:val="17"/>
                <w:szCs w:val="17"/>
                <w:color w:val="auto"/>
              </w:rPr>
              <w:t>Preferred unit warrant</w:t>
            </w:r>
          </w:p>
        </w:tc>
        <w:tc>
          <w:tcPr>
            <w:tcW w:w="2080" w:type="dxa"/>
            <w:vAlign w:val="bottom"/>
            <w:gridSpan w:val="2"/>
          </w:tcPr>
          <w:p>
            <w:pPr>
              <w:jc w:val="right"/>
              <w:ind w:right="15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58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ind w:right="5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233"/>
              <w:spacing w:after="0"/>
              <w:rPr>
                <w:sz w:val="20"/>
                <w:szCs w:val="20"/>
                <w:color w:val="auto"/>
              </w:rPr>
            </w:pPr>
            <w:r>
              <w:rPr>
                <w:rFonts w:ascii="Arial" w:cs="Arial" w:eastAsia="Arial" w:hAnsi="Arial"/>
                <w:sz w:val="17"/>
                <w:szCs w:val="17"/>
                <w:color w:val="auto"/>
              </w:rPr>
              <w:t>—</w:t>
            </w:r>
          </w:p>
        </w:tc>
        <w:tc>
          <w:tcPr>
            <w:tcW w:w="800" w:type="dxa"/>
            <w:vAlign w:val="bottom"/>
            <w:gridSpan w:val="4"/>
          </w:tcPr>
          <w:p>
            <w:pPr>
              <w:jc w:val="right"/>
              <w:spacing w:after="0"/>
              <w:rPr>
                <w:sz w:val="20"/>
                <w:szCs w:val="20"/>
                <w:color w:val="auto"/>
              </w:rPr>
            </w:pPr>
            <w:r>
              <w:rPr>
                <w:rFonts w:ascii="Arial" w:cs="Arial" w:eastAsia="Arial" w:hAnsi="Arial"/>
                <w:sz w:val="17"/>
                <w:szCs w:val="17"/>
                <w:color w:val="auto"/>
              </w:rPr>
              <w:t>$50,888</w:t>
            </w:r>
          </w:p>
        </w:tc>
        <w:tc>
          <w:tcPr>
            <w:tcW w:w="20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50,888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8"/>
        </w:trPr>
        <w:tc>
          <w:tcPr>
            <w:tcW w:w="42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December 31, 2016</w:t>
            </w: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20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73"/>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3"/>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6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7"/>
                <w:szCs w:val="17"/>
                <w:color w:val="auto"/>
              </w:rPr>
              <w:t>Assets:</w:t>
            </w:r>
          </w:p>
        </w:tc>
        <w:tc>
          <w:tcPr>
            <w:tcW w:w="3420" w:type="dxa"/>
            <w:vAlign w:val="bottom"/>
            <w:tcBorders>
              <w:top w:val="single" w:sz="8" w:color="CCEEFF"/>
            </w:tcBorders>
            <w:shd w:val="clear" w:color="auto" w:fill="CCEEFF"/>
          </w:tcPr>
          <w:p>
            <w:pPr>
              <w:spacing w:after="0"/>
              <w:rPr>
                <w:sz w:val="14"/>
                <w:szCs w:val="14"/>
                <w:color w:val="auto"/>
              </w:rPr>
            </w:pPr>
          </w:p>
        </w:tc>
        <w:tc>
          <w:tcPr>
            <w:tcW w:w="17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gridSpan w:val="2"/>
          </w:tcPr>
          <w:p>
            <w:pPr>
              <w:ind w:left="340"/>
              <w:spacing w:after="0"/>
              <w:rPr>
                <w:sz w:val="20"/>
                <w:szCs w:val="20"/>
                <w:color w:val="auto"/>
              </w:rPr>
            </w:pPr>
            <w:r>
              <w:rPr>
                <w:rFonts w:ascii="Arial" w:cs="Arial" w:eastAsia="Arial" w:hAnsi="Arial"/>
                <w:sz w:val="17"/>
                <w:szCs w:val="17"/>
                <w:color w:val="auto"/>
              </w:rPr>
              <w:t>Marketable securities</w:t>
            </w:r>
          </w:p>
        </w:tc>
        <w:tc>
          <w:tcPr>
            <w:tcW w:w="2160" w:type="dxa"/>
            <w:vAlign w:val="bottom"/>
            <w:gridSpan w:val="3"/>
          </w:tcPr>
          <w:p>
            <w:pPr>
              <w:jc w:val="center"/>
              <w:ind w:left="1993"/>
              <w:spacing w:after="0"/>
              <w:rPr>
                <w:sz w:val="20"/>
                <w:szCs w:val="20"/>
                <w:color w:val="auto"/>
              </w:rPr>
            </w:pPr>
            <w:r>
              <w:rPr>
                <w:rFonts w:ascii="Arial" w:cs="Arial" w:eastAsia="Arial" w:hAnsi="Arial"/>
                <w:sz w:val="17"/>
                <w:szCs w:val="17"/>
                <w:color w:val="auto"/>
                <w:w w:val="84"/>
              </w:rPr>
              <w:t>$</w:t>
            </w:r>
          </w:p>
        </w:tc>
        <w:tc>
          <w:tcPr>
            <w:tcW w:w="280" w:type="dxa"/>
            <w:vAlign w:val="bottom"/>
          </w:tcPr>
          <w:p>
            <w:pPr>
              <w:spacing w:after="0"/>
              <w:rPr>
                <w:sz w:val="18"/>
                <w:szCs w:val="18"/>
                <w:color w:val="auto"/>
              </w:rPr>
            </w:pPr>
          </w:p>
        </w:tc>
        <w:tc>
          <w:tcPr>
            <w:tcW w:w="300" w:type="dxa"/>
            <w:vAlign w:val="bottom"/>
          </w:tcPr>
          <w:p>
            <w:pPr>
              <w:ind w:left="120"/>
              <w:spacing w:after="0"/>
              <w:rPr>
                <w:sz w:val="20"/>
                <w:szCs w:val="20"/>
                <w:color w:val="auto"/>
              </w:rPr>
            </w:pPr>
            <w:r>
              <w:rPr>
                <w:rFonts w:ascii="Arial" w:cs="Arial" w:eastAsia="Arial" w:hAnsi="Arial"/>
                <w:sz w:val="17"/>
                <w:szCs w:val="17"/>
                <w:color w:val="auto"/>
                <w:w w:val="93"/>
              </w:rPr>
              <w:t>—</w:t>
            </w:r>
          </w:p>
        </w:tc>
        <w:tc>
          <w:tcPr>
            <w:tcW w:w="1360" w:type="dxa"/>
            <w:vAlign w:val="bottom"/>
            <w:gridSpan w:val="5"/>
          </w:tcPr>
          <w:p>
            <w:pPr>
              <w:jc w:val="right"/>
              <w:spacing w:after="0"/>
              <w:rPr>
                <w:sz w:val="20"/>
                <w:szCs w:val="20"/>
                <w:color w:val="auto"/>
              </w:rPr>
            </w:pPr>
            <w:r>
              <w:rPr>
                <w:rFonts w:ascii="Arial" w:cs="Arial" w:eastAsia="Arial" w:hAnsi="Arial"/>
                <w:sz w:val="17"/>
                <w:szCs w:val="17"/>
                <w:color w:val="auto"/>
              </w:rPr>
              <w:t>$30,468,703</w:t>
            </w:r>
          </w:p>
        </w:tc>
        <w:tc>
          <w:tcPr>
            <w:tcW w:w="540" w:type="dxa"/>
            <w:vAlign w:val="bottom"/>
            <w:gridSpan w:val="3"/>
          </w:tcPr>
          <w:p>
            <w:pPr>
              <w:jc w:val="right"/>
              <w:ind w:right="1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gridSpan w:val="6"/>
          </w:tcPr>
          <w:p>
            <w:pPr>
              <w:jc w:val="right"/>
              <w:spacing w:after="0"/>
              <w:rPr>
                <w:sz w:val="20"/>
                <w:szCs w:val="20"/>
                <w:color w:val="auto"/>
              </w:rPr>
            </w:pPr>
            <w:r>
              <w:rPr>
                <w:rFonts w:ascii="Arial" w:cs="Arial" w:eastAsia="Arial" w:hAnsi="Arial"/>
                <w:sz w:val="17"/>
                <w:szCs w:val="17"/>
                <w:color w:val="auto"/>
              </w:rPr>
              <w:t>$30,468,703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4180" w:type="dxa"/>
            <w:vAlign w:val="bottom"/>
            <w:gridSpan w:val="2"/>
          </w:tcPr>
          <w:p>
            <w:pPr>
              <w:spacing w:after="0"/>
              <w:rPr>
                <w:sz w:val="7"/>
                <w:szCs w:val="7"/>
                <w:color w:val="auto"/>
              </w:rPr>
            </w:pPr>
          </w:p>
        </w:tc>
        <w:tc>
          <w:tcPr>
            <w:tcW w:w="17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Liabilities:</w:t>
            </w:r>
          </w:p>
        </w:tc>
        <w:tc>
          <w:tcPr>
            <w:tcW w:w="1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gridSpan w:val="2"/>
          </w:tcPr>
          <w:p>
            <w:pPr>
              <w:ind w:left="340"/>
              <w:spacing w:after="0"/>
              <w:rPr>
                <w:sz w:val="20"/>
                <w:szCs w:val="20"/>
                <w:color w:val="auto"/>
              </w:rPr>
            </w:pPr>
            <w:r>
              <w:rPr>
                <w:rFonts w:ascii="Arial" w:cs="Arial" w:eastAsia="Arial" w:hAnsi="Arial"/>
                <w:sz w:val="17"/>
                <w:szCs w:val="17"/>
                <w:color w:val="auto"/>
              </w:rPr>
              <w:t>Preferred unit warrant</w:t>
            </w:r>
          </w:p>
        </w:tc>
        <w:tc>
          <w:tcPr>
            <w:tcW w:w="2160" w:type="dxa"/>
            <w:vAlign w:val="bottom"/>
            <w:gridSpan w:val="3"/>
          </w:tcPr>
          <w:p>
            <w:pPr>
              <w:jc w:val="center"/>
              <w:ind w:left="1993"/>
              <w:spacing w:after="0"/>
              <w:rPr>
                <w:sz w:val="20"/>
                <w:szCs w:val="20"/>
                <w:color w:val="auto"/>
              </w:rPr>
            </w:pPr>
            <w:r>
              <w:rPr>
                <w:rFonts w:ascii="Arial" w:cs="Arial" w:eastAsia="Arial" w:hAnsi="Arial"/>
                <w:sz w:val="17"/>
                <w:szCs w:val="17"/>
                <w:color w:val="auto"/>
                <w:w w:val="84"/>
              </w:rPr>
              <w:t>$</w:t>
            </w:r>
          </w:p>
        </w:tc>
        <w:tc>
          <w:tcPr>
            <w:tcW w:w="280" w:type="dxa"/>
            <w:vAlign w:val="bottom"/>
          </w:tcPr>
          <w:p>
            <w:pPr>
              <w:spacing w:after="0"/>
              <w:rPr>
                <w:sz w:val="18"/>
                <w:szCs w:val="18"/>
                <w:color w:val="auto"/>
              </w:rPr>
            </w:pPr>
          </w:p>
        </w:tc>
        <w:tc>
          <w:tcPr>
            <w:tcW w:w="300" w:type="dxa"/>
            <w:vAlign w:val="bottom"/>
          </w:tcPr>
          <w:p>
            <w:pPr>
              <w:ind w:left="120"/>
              <w:spacing w:after="0"/>
              <w:rPr>
                <w:sz w:val="20"/>
                <w:szCs w:val="20"/>
                <w:color w:val="auto"/>
              </w:rPr>
            </w:pPr>
            <w:r>
              <w:rPr>
                <w:rFonts w:ascii="Arial" w:cs="Arial" w:eastAsia="Arial" w:hAnsi="Arial"/>
                <w:sz w:val="17"/>
                <w:szCs w:val="17"/>
                <w:color w:val="auto"/>
                <w:w w:val="93"/>
              </w:rPr>
              <w:t>—</w:t>
            </w:r>
          </w:p>
        </w:tc>
        <w:tc>
          <w:tcPr>
            <w:tcW w:w="540" w:type="dxa"/>
            <w:vAlign w:val="bottom"/>
            <w:gridSpan w:val="3"/>
          </w:tcPr>
          <w:p>
            <w:pPr>
              <w:ind w:left="36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5"/>
          </w:tcPr>
          <w:p>
            <w:pPr>
              <w:jc w:val="right"/>
              <w:spacing w:after="0"/>
              <w:rPr>
                <w:sz w:val="20"/>
                <w:szCs w:val="20"/>
                <w:color w:val="auto"/>
              </w:rPr>
            </w:pPr>
            <w:r>
              <w:rPr>
                <w:rFonts w:ascii="Arial" w:cs="Arial" w:eastAsia="Arial" w:hAnsi="Arial"/>
                <w:sz w:val="17"/>
                <w:szCs w:val="17"/>
                <w:color w:val="auto"/>
              </w:rPr>
              <w:t>$56,759</w:t>
            </w:r>
          </w:p>
        </w:tc>
        <w:tc>
          <w:tcPr>
            <w:tcW w:w="52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56,759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0680" w:type="dxa"/>
            <w:vAlign w:val="bottom"/>
            <w:gridSpan w:val="24"/>
          </w:tcPr>
          <w:p>
            <w:pPr>
              <w:ind w:left="520"/>
              <w:spacing w:after="0"/>
              <w:rPr>
                <w:sz w:val="20"/>
                <w:szCs w:val="20"/>
                <w:color w:val="auto"/>
              </w:rPr>
            </w:pPr>
            <w:r>
              <w:rPr>
                <w:rFonts w:ascii="Arial" w:cs="Arial" w:eastAsia="Arial" w:hAnsi="Arial"/>
                <w:sz w:val="17"/>
                <w:szCs w:val="17"/>
                <w:color w:val="auto"/>
              </w:rPr>
              <w:t>The following table presents the changes in Level 3 instruments measured on a recurring basis for the years ended December 31,</w:t>
            </w:r>
          </w:p>
        </w:tc>
        <w:tc>
          <w:tcPr>
            <w:tcW w:w="0" w:type="dxa"/>
            <w:vAlign w:val="bottom"/>
          </w:tcPr>
          <w:p>
            <w:pPr>
              <w:spacing w:after="0"/>
              <w:rPr>
                <w:sz w:val="1"/>
                <w:szCs w:val="1"/>
                <w:color w:val="auto"/>
              </w:rPr>
            </w:pPr>
          </w:p>
        </w:tc>
      </w:tr>
      <w:tr>
        <w:trPr>
          <w:trHeight w:val="210"/>
        </w:trPr>
        <w:tc>
          <w:tcPr>
            <w:tcW w:w="4200" w:type="dxa"/>
            <w:vAlign w:val="bottom"/>
            <w:gridSpan w:val="3"/>
          </w:tcPr>
          <w:p>
            <w:pPr>
              <w:spacing w:after="0"/>
              <w:rPr>
                <w:sz w:val="20"/>
                <w:szCs w:val="20"/>
                <w:color w:val="auto"/>
              </w:rPr>
            </w:pPr>
            <w:r>
              <w:rPr>
                <w:rFonts w:ascii="Arial" w:cs="Arial" w:eastAsia="Arial" w:hAnsi="Arial"/>
                <w:sz w:val="17"/>
                <w:szCs w:val="17"/>
                <w:color w:val="auto"/>
              </w:rPr>
              <w:t>2017 and 2016:</w:t>
            </w: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9"/>
              </w:rPr>
              <w:t>Preferred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3"/>
          </w:tcPr>
          <w:p>
            <w:pPr>
              <w:jc w:val="center"/>
              <w:ind w:right="120"/>
              <w:spacing w:after="0" w:line="157" w:lineRule="exact"/>
              <w:rPr>
                <w:sz w:val="20"/>
                <w:szCs w:val="20"/>
                <w:color w:val="auto"/>
              </w:rPr>
            </w:pPr>
            <w:r>
              <w:rPr>
                <w:rFonts w:ascii="Arial" w:cs="Arial" w:eastAsia="Arial" w:hAnsi="Arial"/>
                <w:sz w:val="14"/>
                <w:szCs w:val="14"/>
                <w:b w:val="1"/>
                <w:bCs w:val="1"/>
                <w:color w:val="auto"/>
                <w:w w:val="95"/>
              </w:rPr>
              <w:t>Unit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Warrant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7"/>
                <w:szCs w:val="17"/>
                <w:color w:val="auto"/>
              </w:rPr>
              <w:t>Balance at December 31, 2015</w:t>
            </w:r>
          </w:p>
        </w:tc>
        <w:tc>
          <w:tcPr>
            <w:tcW w:w="17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$ 71,575</w:t>
            </w: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gridSpan w:val="2"/>
          </w:tcPr>
          <w:p>
            <w:pPr>
              <w:spacing w:after="0"/>
              <w:rPr>
                <w:sz w:val="20"/>
                <w:szCs w:val="20"/>
                <w:color w:val="auto"/>
              </w:rPr>
            </w:pPr>
            <w:r>
              <w:rPr>
                <w:rFonts w:ascii="Arial" w:cs="Arial" w:eastAsia="Arial" w:hAnsi="Arial"/>
                <w:sz w:val="17"/>
                <w:szCs w:val="17"/>
                <w:color w:val="auto"/>
              </w:rPr>
              <w:t>Change in fair value</w:t>
            </w:r>
          </w:p>
        </w:tc>
        <w:tc>
          <w:tcPr>
            <w:tcW w:w="1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(14,816)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at December 31, 2016</w:t>
            </w:r>
          </w:p>
        </w:tc>
        <w:tc>
          <w:tcPr>
            <w:tcW w:w="1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56,759</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180" w:type="dxa"/>
            <w:vAlign w:val="bottom"/>
            <w:gridSpan w:val="2"/>
          </w:tcPr>
          <w:p>
            <w:pPr>
              <w:spacing w:after="0"/>
              <w:rPr>
                <w:sz w:val="20"/>
                <w:szCs w:val="20"/>
                <w:color w:val="auto"/>
              </w:rPr>
            </w:pPr>
            <w:r>
              <w:rPr>
                <w:rFonts w:ascii="Arial" w:cs="Arial" w:eastAsia="Arial" w:hAnsi="Arial"/>
                <w:sz w:val="17"/>
                <w:szCs w:val="17"/>
                <w:color w:val="auto"/>
              </w:rPr>
              <w:t>Change in fair value</w:t>
            </w:r>
          </w:p>
        </w:tc>
        <w:tc>
          <w:tcPr>
            <w:tcW w:w="1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(5,871)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at December 31, 2017</w:t>
            </w:r>
          </w:p>
        </w:tc>
        <w:tc>
          <w:tcPr>
            <w:tcW w:w="1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$ 50,888</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360" w:right="20" w:firstLine="535"/>
        <w:spacing w:after="0" w:line="246" w:lineRule="auto"/>
        <w:rPr>
          <w:sz w:val="20"/>
          <w:szCs w:val="20"/>
          <w:color w:val="auto"/>
        </w:rPr>
      </w:pPr>
      <w:r>
        <w:rPr>
          <w:rFonts w:ascii="Arial" w:cs="Arial" w:eastAsia="Arial" w:hAnsi="Arial"/>
          <w:sz w:val="17"/>
          <w:szCs w:val="17"/>
          <w:color w:val="auto"/>
        </w:rPr>
        <w:t>Fluctuation in the fair value of the Company’s Series A Preferred Units is the primary driver for the change in the Preferred Unit Warrant liability valuation during each year. As the fair value of the Series A Preferred Units increase, the value to the holder of the instrument generally increases. Additionally, unit price volatility is one of the significant unobservable inputs used in the fair value measurement of the Company’s Preferred Unit Warrant liability. Decreases in expected volatility would generally result in a lower fair value measurement.</w:t>
      </w:r>
    </w:p>
    <w:p>
      <w:pPr>
        <w:spacing w:after="0" w:line="200" w:lineRule="exact"/>
        <w:rPr>
          <w:sz w:val="20"/>
          <w:szCs w:val="20"/>
          <w:color w:val="auto"/>
        </w:rPr>
      </w:pPr>
    </w:p>
    <w:p>
      <w:pPr>
        <w:spacing w:after="0" w:line="276"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Redeemable Preferred Units</w:t>
      </w:r>
    </w:p>
    <w:p>
      <w:pPr>
        <w:spacing w:after="0" w:line="126" w:lineRule="exact"/>
        <w:rPr>
          <w:sz w:val="20"/>
          <w:szCs w:val="20"/>
          <w:color w:val="auto"/>
        </w:rPr>
      </w:pPr>
    </w:p>
    <w:p>
      <w:pPr>
        <w:ind w:left="360" w:right="340" w:firstLine="535"/>
        <w:spacing w:after="0" w:line="250" w:lineRule="auto"/>
        <w:rPr>
          <w:sz w:val="20"/>
          <w:szCs w:val="20"/>
          <w:color w:val="auto"/>
        </w:rPr>
      </w:pPr>
      <w:r>
        <w:rPr>
          <w:rFonts w:ascii="Arial" w:cs="Arial" w:eastAsia="Arial" w:hAnsi="Arial"/>
          <w:sz w:val="17"/>
          <w:szCs w:val="17"/>
          <w:color w:val="auto"/>
        </w:rPr>
        <w:t>The Company has classified redeemable preferred units as temporary equity in the accompanying consolidated balance sheets due to certain redemption events that are outside the Company’s control, including the passage of time. The Company records the redeemable preferred units at its current redemption value as of the balance sheet date.</w:t>
      </w:r>
    </w:p>
    <w:p>
      <w:pPr>
        <w:spacing w:after="0" w:line="274"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Net Loss per Common Unit</w:t>
      </w:r>
    </w:p>
    <w:p>
      <w:pPr>
        <w:spacing w:after="0" w:line="126" w:lineRule="exact"/>
        <w:rPr>
          <w:sz w:val="20"/>
          <w:szCs w:val="20"/>
          <w:color w:val="auto"/>
        </w:rPr>
      </w:pPr>
    </w:p>
    <w:p>
      <w:pPr>
        <w:jc w:val="both"/>
        <w:ind w:left="360" w:right="360" w:firstLine="535"/>
        <w:spacing w:after="0" w:line="250" w:lineRule="auto"/>
        <w:rPr>
          <w:sz w:val="20"/>
          <w:szCs w:val="20"/>
          <w:color w:val="auto"/>
        </w:rPr>
      </w:pPr>
      <w:r>
        <w:rPr>
          <w:rFonts w:ascii="Arial" w:cs="Arial" w:eastAsia="Arial" w:hAnsi="Arial"/>
          <w:sz w:val="17"/>
          <w:szCs w:val="17"/>
          <w:color w:val="auto"/>
        </w:rPr>
        <w:t>Basic net loss per common unit is computed by dividing net loss, after adjusting for redeemable preferred unit dividends, by the weighted-average number of common units outstanding during the period. The change in current redemption value of the redeemable preferred units is treated as a</w:t>
      </w:r>
    </w:p>
    <w:p>
      <w:pPr>
        <w:spacing w:after="0" w:line="12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F-12</w:t>
      </w:r>
    </w:p>
    <w:p>
      <w:pPr>
        <w:sectPr>
          <w:pgSz w:w="11900" w:h="16838" w:orient="portrait"/>
          <w:cols w:equalWidth="0" w:num="1">
            <w:col w:w="11060"/>
          </w:cols>
          <w:pgMar w:left="240" w:top="450" w:right="599" w:bottom="1440" w:gutter="0" w:footer="0" w:header="0"/>
        </w:sectPr>
      </w:pPr>
    </w:p>
    <w:bookmarkStart w:id="213" w:name="page214"/>
    <w:bookmarkEnd w:id="2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180"/>
        <w:spacing w:after="0" w:line="245" w:lineRule="auto"/>
        <w:rPr>
          <w:sz w:val="20"/>
          <w:szCs w:val="20"/>
          <w:color w:val="auto"/>
        </w:rPr>
      </w:pPr>
      <w:r>
        <w:rPr>
          <w:rFonts w:ascii="Arial" w:cs="Arial" w:eastAsia="Arial" w:hAnsi="Arial"/>
          <w:sz w:val="17"/>
          <w:szCs w:val="17"/>
          <w:color w:val="auto"/>
        </w:rPr>
        <w:t>deemed dividend for all periods presented. Diluted net loss per unit is computed using the weighted-average number of common units outstanding during the period and, if dilutive, the weighted average number of potential shares of common units. The effect of the conversion of redeemable preferred units into common units is excluded from the computation of diluted net loss per common unit for all periods as their effect is antidilutive. Additionally, common unit equivalents are excluded from the computation of diluted net loss per common unit for all periods as their effect is antidilutive.</w:t>
      </w:r>
    </w:p>
    <w:p>
      <w:pPr>
        <w:spacing w:after="0" w:line="280"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Reclassifications</w:t>
      </w:r>
    </w:p>
    <w:p>
      <w:pPr>
        <w:spacing w:after="0" w:line="126" w:lineRule="exact"/>
        <w:rPr>
          <w:sz w:val="20"/>
          <w:szCs w:val="20"/>
          <w:color w:val="auto"/>
        </w:rPr>
      </w:pPr>
    </w:p>
    <w:p>
      <w:pPr>
        <w:ind w:left="360" w:right="80" w:firstLine="535"/>
        <w:spacing w:after="0" w:line="247" w:lineRule="auto"/>
        <w:rPr>
          <w:sz w:val="20"/>
          <w:szCs w:val="20"/>
          <w:color w:val="auto"/>
        </w:rPr>
      </w:pPr>
      <w:r>
        <w:rPr>
          <w:rFonts w:ascii="Arial" w:cs="Arial" w:eastAsia="Arial" w:hAnsi="Arial"/>
          <w:sz w:val="17"/>
          <w:szCs w:val="17"/>
          <w:color w:val="auto"/>
        </w:rPr>
        <w:t>Certain reclassifications have been made to the prior year financial statement to conform to current year presentation. Specifically, the Company has reclassified $400,982 of previously reported G&amp;A expense to R&amp;D expense in 2016 within the Statement of Operations to better reflect how management analyzes costs and expenses. This reclassification had no material effect on the reported financial statements.</w:t>
      </w:r>
    </w:p>
    <w:p>
      <w:pPr>
        <w:spacing w:after="0" w:line="276"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New Accounting Pronouncements</w:t>
      </w:r>
    </w:p>
    <w:p>
      <w:pPr>
        <w:spacing w:after="0" w:line="108"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Recently Adopted Accounting Pronouncements</w:t>
      </w:r>
    </w:p>
    <w:p>
      <w:pPr>
        <w:spacing w:after="0" w:line="106" w:lineRule="exact"/>
        <w:rPr>
          <w:sz w:val="20"/>
          <w:szCs w:val="20"/>
          <w:color w:val="auto"/>
        </w:rPr>
      </w:pPr>
    </w:p>
    <w:p>
      <w:pPr>
        <w:ind w:left="360" w:right="80" w:firstLine="535"/>
        <w:spacing w:after="0" w:line="249" w:lineRule="auto"/>
        <w:rPr>
          <w:sz w:val="20"/>
          <w:szCs w:val="20"/>
          <w:color w:val="auto"/>
        </w:rPr>
      </w:pPr>
      <w:r>
        <w:rPr>
          <w:rFonts w:ascii="Arial" w:cs="Arial" w:eastAsia="Arial" w:hAnsi="Arial"/>
          <w:sz w:val="17"/>
          <w:szCs w:val="17"/>
          <w:color w:val="auto"/>
        </w:rPr>
        <w:t xml:space="preserve">In May 2014, the Financial Accounting Standards Board (FASB) issued ASU No.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Customers</w:t>
      </w:r>
      <w:r>
        <w:rPr>
          <w:rFonts w:ascii="Arial" w:cs="Arial" w:eastAsia="Arial" w:hAnsi="Arial"/>
          <w:sz w:val="17"/>
          <w:szCs w:val="17"/>
          <w:color w:val="auto"/>
        </w:rPr>
        <w:t>. The update clarifies the principles for recognizing revenue. The core principle of the guidance is that an entity should</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 revenue to depict the transfer of promised goods or services to customers in an amount that reflects the consideration to which the entity expects to be entitled in exchange for those goods or services. The update is effective for annual reporting periods beginning after December 15, 2017 for public companies. The Company has early adopted the standard effective January 1, 2017 using the full retrospective method. The impact of such adoption was immaterial to the 2016 financial statements.</w:t>
      </w:r>
    </w:p>
    <w:p>
      <w:pPr>
        <w:spacing w:after="0" w:line="173" w:lineRule="exact"/>
        <w:rPr>
          <w:sz w:val="20"/>
          <w:szCs w:val="20"/>
          <w:color w:val="auto"/>
        </w:rPr>
      </w:pPr>
    </w:p>
    <w:p>
      <w:pPr>
        <w:ind w:left="900"/>
        <w:spacing w:after="0"/>
        <w:rPr>
          <w:sz w:val="20"/>
          <w:szCs w:val="20"/>
          <w:color w:val="auto"/>
        </w:rPr>
      </w:pPr>
      <w:r>
        <w:rPr>
          <w:rFonts w:ascii="Arial" w:cs="Arial" w:eastAsia="Arial" w:hAnsi="Arial"/>
          <w:sz w:val="17"/>
          <w:szCs w:val="17"/>
          <w:color w:val="auto"/>
        </w:rPr>
        <w:t xml:space="preserve">In November 2015, the FASB issued ASU No. 2015-17, </w:t>
      </w:r>
      <w:r>
        <w:rPr>
          <w:rFonts w:ascii="Arial" w:cs="Arial" w:eastAsia="Arial" w:hAnsi="Arial"/>
          <w:sz w:val="17"/>
          <w:szCs w:val="17"/>
          <w:i w:val="1"/>
          <w:iCs w:val="1"/>
          <w:color w:val="auto"/>
        </w:rPr>
        <w:t>Income Taxes (Topic 740).</w:t>
      </w:r>
      <w:r>
        <w:rPr>
          <w:rFonts w:ascii="Arial" w:cs="Arial" w:eastAsia="Arial" w:hAnsi="Arial"/>
          <w:sz w:val="17"/>
          <w:szCs w:val="17"/>
          <w:color w:val="auto"/>
        </w:rPr>
        <w:t xml:space="preserve"> ASU 2015-17 simplifies the presentation of</w:t>
      </w:r>
    </w:p>
    <w:p>
      <w:pPr>
        <w:spacing w:after="0" w:line="1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deferred income taxes, and the amendments in this update require that deferred tax liabilities and assets be classified as noncurrent in a</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classified statement of financial position. The amendments in this update apply to all entities that present a classified statement of financial</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position. The current requirement that deferred tax liabilities and assets of a tax-paying component of an entity be offset and presented as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 single amount is not affected by the amendments in this update. ASU 2015-17 is effective for annual periods beginning after</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December 15, 2016. The Company early adopted this guidance as of December 31, 2016, on a prospective basis. Due to the full valuation</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allowance, there was no impact on our balance sheet.</w:t>
      </w:r>
    </w:p>
    <w:p>
      <w:pPr>
        <w:spacing w:after="0" w:line="193" w:lineRule="exact"/>
        <w:rPr>
          <w:sz w:val="20"/>
          <w:szCs w:val="20"/>
          <w:color w:val="auto"/>
        </w:rPr>
      </w:pPr>
    </w:p>
    <w:p>
      <w:pPr>
        <w:ind w:left="360" w:right="60" w:firstLine="535"/>
        <w:spacing w:after="0" w:line="249" w:lineRule="auto"/>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Compensation—Stock Compensation (Topic 718): Improvements to Employee</w:t>
      </w:r>
      <w:r>
        <w:rPr>
          <w:rFonts w:ascii="Arial" w:cs="Arial" w:eastAsia="Arial" w:hAnsi="Arial"/>
          <w:sz w:val="17"/>
          <w:szCs w:val="17"/>
          <w:color w:val="auto"/>
        </w:rPr>
        <w:t xml:space="preserve"> </w:t>
      </w:r>
      <w:r>
        <w:rPr>
          <w:rFonts w:ascii="Arial" w:cs="Arial" w:eastAsia="Arial" w:hAnsi="Arial"/>
          <w:sz w:val="17"/>
          <w:szCs w:val="17"/>
          <w:i w:val="1"/>
          <w:iCs w:val="1"/>
          <w:color w:val="auto"/>
        </w:rPr>
        <w:t>Share-Based Payment Accounting</w:t>
      </w:r>
      <w:r>
        <w:rPr>
          <w:rFonts w:ascii="Arial" w:cs="Arial" w:eastAsia="Arial" w:hAnsi="Arial"/>
          <w:sz w:val="17"/>
          <w:szCs w:val="17"/>
          <w:color w:val="auto"/>
        </w:rPr>
        <w:t>. ASU 2016-09 simplifies several aspects of the accounting for employee share-based payment</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including income taxes consequences, classification of awards as either equity or liabilities, and classification in the statement of cash flows. ASU 2016-09 is effective for annual reporting periods beginning after December 15, 2016, and interim periods within those annual periods. Early adoption is permitted. The Company adopted ASU 2016-09 on January 1, 2017 and the adoption did not have a material impact on the accompanying consolidated financial statements.</w:t>
      </w:r>
    </w:p>
    <w:p>
      <w:pPr>
        <w:spacing w:after="0" w:line="173" w:lineRule="exact"/>
        <w:rPr>
          <w:sz w:val="20"/>
          <w:szCs w:val="20"/>
          <w:color w:val="auto"/>
        </w:rPr>
      </w:pPr>
    </w:p>
    <w:p>
      <w:pPr>
        <w:ind w:left="360" w:right="360" w:firstLine="535"/>
        <w:spacing w:after="0" w:line="261" w:lineRule="auto"/>
        <w:rPr>
          <w:sz w:val="20"/>
          <w:szCs w:val="20"/>
          <w:color w:val="auto"/>
        </w:rPr>
      </w:pPr>
      <w:r>
        <w:rPr>
          <w:rFonts w:ascii="Arial" w:cs="Arial" w:eastAsia="Arial" w:hAnsi="Arial"/>
          <w:sz w:val="17"/>
          <w:szCs w:val="17"/>
          <w:color w:val="auto"/>
        </w:rPr>
        <w:t xml:space="preserve">In October 2016, the FASB issued ASU No. 2016-16, </w:t>
      </w:r>
      <w:r>
        <w:rPr>
          <w:rFonts w:ascii="Arial" w:cs="Arial" w:eastAsia="Arial" w:hAnsi="Arial"/>
          <w:sz w:val="17"/>
          <w:szCs w:val="17"/>
          <w:i w:val="1"/>
          <w:iCs w:val="1"/>
          <w:color w:val="auto"/>
        </w:rPr>
        <w:t>Income Taxes (Topic 740): Intra-Entity Transfers of Assets Other Than</w:t>
      </w:r>
      <w:r>
        <w:rPr>
          <w:rFonts w:ascii="Arial" w:cs="Arial" w:eastAsia="Arial" w:hAnsi="Arial"/>
          <w:sz w:val="17"/>
          <w:szCs w:val="17"/>
          <w:color w:val="auto"/>
        </w:rPr>
        <w:t xml:space="preserve"> </w:t>
      </w:r>
      <w:r>
        <w:rPr>
          <w:rFonts w:ascii="Arial" w:cs="Arial" w:eastAsia="Arial" w:hAnsi="Arial"/>
          <w:sz w:val="17"/>
          <w:szCs w:val="17"/>
          <w:i w:val="1"/>
          <w:iCs w:val="1"/>
          <w:color w:val="auto"/>
        </w:rPr>
        <w:t>Inventory</w:t>
      </w:r>
      <w:r>
        <w:rPr>
          <w:rFonts w:ascii="Arial" w:cs="Arial" w:eastAsia="Arial" w:hAnsi="Arial"/>
          <w:sz w:val="17"/>
          <w:szCs w:val="17"/>
          <w:color w:val="auto"/>
        </w:rPr>
        <w:t>. ASU 2016-16 removes the prohibition in ASC 740 against the immediate recognition of the current and deferred income tax</w:t>
      </w:r>
      <w:r>
        <w:rPr>
          <w:rFonts w:ascii="Arial" w:cs="Arial" w:eastAsia="Arial" w:hAnsi="Arial"/>
          <w:sz w:val="17"/>
          <w:szCs w:val="17"/>
          <w:i w:val="1"/>
          <w:iCs w:val="1"/>
          <w:color w:val="auto"/>
        </w:rPr>
        <w:t xml:space="preserve"> </w:t>
      </w:r>
      <w:r>
        <w:rPr>
          <w:rFonts w:ascii="Arial" w:cs="Arial" w:eastAsia="Arial" w:hAnsi="Arial"/>
          <w:sz w:val="17"/>
          <w:szCs w:val="17"/>
          <w:color w:val="auto"/>
        </w:rPr>
        <w:t>effects of intra-entity transfers of assets other than inventory. ASU 2016-16 is effective for the Company for annual periods beginning</w:t>
      </w:r>
    </w:p>
    <w:p>
      <w:pPr>
        <w:spacing w:after="0" w:line="114"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F-13</w:t>
      </w:r>
    </w:p>
    <w:p>
      <w:pPr>
        <w:sectPr>
          <w:pgSz w:w="11900" w:h="16838" w:orient="portrait"/>
          <w:cols w:equalWidth="0" w:num="1">
            <w:col w:w="11040"/>
          </w:cols>
          <w:pgMar w:left="240" w:top="450" w:right="619" w:bottom="1440" w:gutter="0" w:footer="0" w:header="0"/>
        </w:sectPr>
      </w:pPr>
    </w:p>
    <w:bookmarkStart w:id="214" w:name="page215"/>
    <w:bookmarkEnd w:id="2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320"/>
        <w:spacing w:after="0" w:line="250" w:lineRule="auto"/>
        <w:rPr>
          <w:sz w:val="20"/>
          <w:szCs w:val="20"/>
          <w:color w:val="auto"/>
        </w:rPr>
      </w:pPr>
      <w:r>
        <w:rPr>
          <w:rFonts w:ascii="Arial" w:cs="Arial" w:eastAsia="Arial" w:hAnsi="Arial"/>
          <w:sz w:val="17"/>
          <w:szCs w:val="17"/>
          <w:color w:val="auto"/>
        </w:rPr>
        <w:t>after December 15, 2017. Early adoption is permitted. The Company adopted this guidance as of December 31, 2016, on a retroactive basis. Due to the Company’s valuation allowance position, the adoption of this guidance did not impact the Company’s financial statements.</w:t>
      </w:r>
    </w:p>
    <w:p>
      <w:pPr>
        <w:spacing w:after="0" w:line="276"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Recently Issued Accounting Pronouncements</w:t>
      </w:r>
    </w:p>
    <w:p>
      <w:pPr>
        <w:spacing w:after="0" w:line="106" w:lineRule="exact"/>
        <w:rPr>
          <w:sz w:val="20"/>
          <w:szCs w:val="20"/>
          <w:color w:val="auto"/>
        </w:rPr>
      </w:pPr>
    </w:p>
    <w:p>
      <w:pPr>
        <w:ind w:left="360" w:right="160" w:firstLine="535"/>
        <w:spacing w:after="0" w:line="251"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ASU 2016-02 requires lessees to present right-of-use assets and lease liabilities on the balance sheet for all leases with terms longer than 12 months. The guidance is to be applied using a modified retrospective approach at the beginning of the earliest comparative period in the financial statements and is effective for years beginning after December 15, 2018. Early adoption is permitted. The Company is still in the process of determining the effect that the adoption of ASU 2016-02 will have on the accompanying consolidated financial statements.</w:t>
      </w:r>
    </w:p>
    <w:p>
      <w:pPr>
        <w:spacing w:after="0" w:line="171" w:lineRule="exact"/>
        <w:rPr>
          <w:sz w:val="20"/>
          <w:szCs w:val="20"/>
          <w:color w:val="auto"/>
        </w:rPr>
      </w:pPr>
    </w:p>
    <w:p>
      <w:pPr>
        <w:ind w:left="360" w:right="220" w:firstLine="535"/>
        <w:spacing w:after="0" w:line="254" w:lineRule="auto"/>
        <w:rPr>
          <w:sz w:val="20"/>
          <w:szCs w:val="20"/>
          <w:color w:val="auto"/>
        </w:rPr>
      </w:pPr>
      <w:r>
        <w:rPr>
          <w:rFonts w:ascii="Arial" w:cs="Arial" w:eastAsia="Arial" w:hAnsi="Arial"/>
          <w:sz w:val="17"/>
          <w:szCs w:val="17"/>
          <w:color w:val="auto"/>
        </w:rPr>
        <w:t xml:space="preserve">In May 2017, the FASB issued ASU No. 2017-09, </w:t>
      </w:r>
      <w:r>
        <w:rPr>
          <w:rFonts w:ascii="Arial" w:cs="Arial" w:eastAsia="Arial" w:hAnsi="Arial"/>
          <w:sz w:val="17"/>
          <w:szCs w:val="17"/>
          <w:i w:val="1"/>
          <w:iCs w:val="1"/>
          <w:color w:val="auto"/>
        </w:rPr>
        <w:t>Scope of Modification Accounting</w:t>
      </w:r>
      <w:r>
        <w:rPr>
          <w:rFonts w:ascii="Arial" w:cs="Arial" w:eastAsia="Arial" w:hAnsi="Arial"/>
          <w:sz w:val="17"/>
          <w:szCs w:val="17"/>
          <w:color w:val="auto"/>
        </w:rPr>
        <w:t>. ASU 2017-09 clarifies which changes to the terms or conditions of a share-based payment award require an entity to apply modification accounting. ASU 2017-09 is effective for interim and annual reporting periods beginning after December 15, 2017 and early adoption is permitted. The Company adopted ASU 2017-09 on January 1, 2018 and the adoption did not have a significant impact.</w:t>
      </w:r>
    </w:p>
    <w:p>
      <w:pPr>
        <w:spacing w:after="0" w:line="187" w:lineRule="exact"/>
        <w:rPr>
          <w:sz w:val="20"/>
          <w:szCs w:val="20"/>
          <w:color w:val="auto"/>
        </w:rPr>
      </w:pPr>
    </w:p>
    <w:p>
      <w:pPr>
        <w:ind w:left="360" w:right="60" w:firstLine="535"/>
        <w:spacing w:after="0" w:line="259" w:lineRule="auto"/>
        <w:rPr>
          <w:sz w:val="20"/>
          <w:szCs w:val="20"/>
          <w:color w:val="auto"/>
        </w:rPr>
      </w:pPr>
      <w:r>
        <w:rPr>
          <w:rFonts w:ascii="Arial" w:cs="Arial" w:eastAsia="Arial" w:hAnsi="Arial"/>
          <w:sz w:val="17"/>
          <w:szCs w:val="17"/>
          <w:color w:val="auto"/>
        </w:rPr>
        <w:t>Other accounting standards that have been issued by the FASB or other standards-setting bodies that do not require adoption until a future date are not expected to have a material impact on the Company’s financial statements upon adoption.</w:t>
      </w:r>
    </w:p>
    <w:p>
      <w:pPr>
        <w:spacing w:after="0" w:line="266"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3. License Agreements</w:t>
      </w:r>
    </w:p>
    <w:p>
      <w:pPr>
        <w:spacing w:after="0" w:line="126" w:lineRule="exact"/>
        <w:rPr>
          <w:sz w:val="20"/>
          <w:szCs w:val="20"/>
          <w:color w:val="auto"/>
        </w:rPr>
      </w:pPr>
    </w:p>
    <w:p>
      <w:pPr>
        <w:ind w:left="360" w:firstLine="535"/>
        <w:spacing w:after="0" w:line="245" w:lineRule="auto"/>
        <w:rPr>
          <w:sz w:val="20"/>
          <w:szCs w:val="20"/>
          <w:color w:val="auto"/>
        </w:rPr>
      </w:pPr>
      <w:r>
        <w:rPr>
          <w:rFonts w:ascii="Arial" w:cs="Arial" w:eastAsia="Arial" w:hAnsi="Arial"/>
          <w:sz w:val="17"/>
          <w:szCs w:val="17"/>
          <w:color w:val="auto"/>
        </w:rPr>
        <w:t>In July 2013, Arvinas, Inc. entered into an exclusive license agreement, including the right to grant sublicenses, with Yale University to develop protein degradation technologies. In connection with the execution of this license agreement, Arvinas, Inc. made a non-refundable upfront payment of $149,511. In addition to the upfront payment, the Company paid Yale University a License Maintenance Royalty of varying amounts through the fourth anniversary of the license agreement. After 2017 and until the first sale to a third party of any licensed product, the minimum annual payment will be $75,000. During 2017 and 2016, the Company paid $50,000 each year under the license agreement.</w:t>
      </w:r>
    </w:p>
    <w:p>
      <w:pPr>
        <w:spacing w:after="0" w:line="392" w:lineRule="exact"/>
        <w:rPr>
          <w:sz w:val="20"/>
          <w:szCs w:val="20"/>
          <w:color w:val="auto"/>
        </w:rPr>
      </w:pPr>
    </w:p>
    <w:p>
      <w:pPr>
        <w:ind w:left="360" w:right="40" w:firstLine="535"/>
        <w:spacing w:after="0" w:line="243" w:lineRule="auto"/>
        <w:rPr>
          <w:sz w:val="20"/>
          <w:szCs w:val="20"/>
          <w:color w:val="auto"/>
        </w:rPr>
      </w:pPr>
      <w:r>
        <w:rPr>
          <w:rFonts w:ascii="Arial" w:cs="Arial" w:eastAsia="Arial" w:hAnsi="Arial"/>
          <w:sz w:val="17"/>
          <w:szCs w:val="17"/>
          <w:color w:val="auto"/>
        </w:rPr>
        <w:t>The Company is also required to pay Yale University success-based milestones for the development of the protein degradation technologies as well as low single-digit running royalties on aggregate worldwide net sales of certain licensed products, which may be subject to reductions, and subject to a minimum royalty payment that ranges from $200,000 to $500,000. If the Company sublicenses the protein degradation technologies to a third party, the Company is required to pay Yale University a mid-single digit to mid-double digit percentage of Sublicense Income (as defined in the agreement). During 2015, the Company paid $750,000 to Yale University as a result of the Company entering into the Research Collaboration and License Agreement with Merck representing the maximum amount to be paid for consideration received prior to the filing of an IND for a licensed product. The Company is also required to reimburse Yale University for patent costs incurred. During 2017 and 2016, the Company reimbursed Yale University $109,287 and $18,710, respectively, for patent costs.</w:t>
      </w:r>
    </w:p>
    <w:p>
      <w:pPr>
        <w:spacing w:after="0" w:line="200" w:lineRule="exact"/>
        <w:rPr>
          <w:sz w:val="20"/>
          <w:szCs w:val="20"/>
          <w:color w:val="auto"/>
        </w:rPr>
      </w:pPr>
    </w:p>
    <w:p>
      <w:pPr>
        <w:spacing w:after="0" w:line="281"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4. Research Collaboration and License Agreements</w:t>
      </w:r>
    </w:p>
    <w:p>
      <w:pPr>
        <w:spacing w:after="0" w:line="126" w:lineRule="exact"/>
        <w:rPr>
          <w:sz w:val="20"/>
          <w:szCs w:val="20"/>
          <w:color w:val="auto"/>
        </w:rPr>
      </w:pPr>
    </w:p>
    <w:p>
      <w:pPr>
        <w:ind w:left="360" w:right="160" w:firstLine="535"/>
        <w:spacing w:after="0" w:line="250" w:lineRule="auto"/>
        <w:rPr>
          <w:sz w:val="20"/>
          <w:szCs w:val="20"/>
          <w:color w:val="auto"/>
        </w:rPr>
      </w:pPr>
      <w:r>
        <w:rPr>
          <w:rFonts w:ascii="Arial" w:cs="Arial" w:eastAsia="Arial" w:hAnsi="Arial"/>
          <w:sz w:val="17"/>
          <w:szCs w:val="17"/>
          <w:color w:val="auto"/>
        </w:rPr>
        <w:t>In December 2017, the Company entered into a Research Collaboration and License Agreement with Pfizer, Inc. Under the terms of the agreement, the Company subsequently received a $25.0 million non-refundable upfront fee in January 2018 that is recorded in account receivable and deferred</w:t>
      </w:r>
    </w:p>
    <w:p>
      <w:pPr>
        <w:spacing w:after="0" w:line="123"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F-14</w:t>
      </w:r>
    </w:p>
    <w:p>
      <w:pPr>
        <w:sectPr>
          <w:pgSz w:w="11900" w:h="16838" w:orient="portrait"/>
          <w:cols w:equalWidth="0" w:num="1">
            <w:col w:w="11040"/>
          </w:cols>
          <w:pgMar w:left="240" w:top="450" w:right="619" w:bottom="1440" w:gutter="0" w:footer="0" w:header="0"/>
        </w:sectPr>
      </w:pPr>
    </w:p>
    <w:bookmarkStart w:id="215" w:name="page216"/>
    <w:bookmarkEnd w:id="2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200"/>
        <w:spacing w:after="0" w:line="247" w:lineRule="auto"/>
        <w:rPr>
          <w:sz w:val="20"/>
          <w:szCs w:val="20"/>
          <w:color w:val="auto"/>
        </w:rPr>
      </w:pPr>
      <w:r>
        <w:rPr>
          <w:rFonts w:ascii="Arial" w:cs="Arial" w:eastAsia="Arial" w:hAnsi="Arial"/>
          <w:sz w:val="17"/>
          <w:szCs w:val="17"/>
          <w:color w:val="auto"/>
        </w:rPr>
        <w:t>revenue as of December 31, 2017. The Company is also eligible to receive up to an additional $37.5 million in non-refundable option payments if Pfizer exercises its options for all targets under the agreement. The Company is also entitled to receive up to $225 million in development milestone payments and up to $550 million in sales-based milestone payments for all designated targets under the agreement, as well as tiered royalties based on sales. No services were initiated under this agreement until January 2018.</w:t>
      </w:r>
    </w:p>
    <w:p>
      <w:pPr>
        <w:spacing w:after="0" w:line="192" w:lineRule="exact"/>
        <w:rPr>
          <w:sz w:val="20"/>
          <w:szCs w:val="20"/>
          <w:color w:val="auto"/>
        </w:rPr>
      </w:pPr>
    </w:p>
    <w:p>
      <w:pPr>
        <w:ind w:left="360" w:right="20" w:firstLine="535"/>
        <w:spacing w:after="0" w:line="241" w:lineRule="auto"/>
        <w:rPr>
          <w:sz w:val="20"/>
          <w:szCs w:val="20"/>
          <w:color w:val="auto"/>
        </w:rPr>
      </w:pPr>
      <w:r>
        <w:rPr>
          <w:rFonts w:ascii="Arial" w:cs="Arial" w:eastAsia="Arial" w:hAnsi="Arial"/>
          <w:sz w:val="17"/>
          <w:szCs w:val="17"/>
          <w:color w:val="auto"/>
        </w:rPr>
        <w:t>In September 2015, the Company entered into an Option and License Agreement with Genentech, Inc. and F. Hoffman-La Roche Ltd (the Genentech Agreement). During 2015, the Company received an upfront non-refundable payment of $11.0 million in exchange for use of the Company’s technology license and to fund Genentech-related research as defined within the Genentech Agreement. In November 2017, the Company entered into an Amended and Restated Option, License, and Collaboration Agreement with Genentech, Inc. and F. Hoffman-La Roche Ltd (the Genentech Modification), amending the Genentech Agreement. Under the Genentech Modification, the Company received additional upfront non-refundable payments of $34.5 million to fund Genentech-related research and Genentech has the right to designate up to ten targets. Upfront non-refundable payments are recognized as revenue over the total estimated period of performance. The Company is eligible to receive up to $44.0 million per target in development milestone payments, $ 52.5 million in regulatory milestone payments and $60.0 million in commercial milestone payments based on sales as well as tiered royalties based on sales. In connection with the Genentech Modification, the Company recognized an increase in revenue previously recognized of</w:t>
      </w:r>
    </w:p>
    <w:p>
      <w:pPr>
        <w:spacing w:after="0" w:line="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$0.4 million due to the offsetting impacts effect of an increase in total transaction price and an increase in expected period of performance.</w:t>
      </w:r>
    </w:p>
    <w:p>
      <w:pPr>
        <w:spacing w:after="0" w:line="211" w:lineRule="exact"/>
        <w:rPr>
          <w:sz w:val="20"/>
          <w:szCs w:val="20"/>
          <w:color w:val="auto"/>
        </w:rPr>
      </w:pPr>
    </w:p>
    <w:p>
      <w:pPr>
        <w:ind w:left="360" w:right="160" w:firstLine="535"/>
        <w:spacing w:after="0" w:line="247" w:lineRule="auto"/>
        <w:rPr>
          <w:sz w:val="20"/>
          <w:szCs w:val="20"/>
          <w:color w:val="auto"/>
        </w:rPr>
      </w:pPr>
      <w:r>
        <w:rPr>
          <w:rFonts w:ascii="Arial" w:cs="Arial" w:eastAsia="Arial" w:hAnsi="Arial"/>
          <w:sz w:val="17"/>
          <w:szCs w:val="17"/>
          <w:color w:val="auto"/>
        </w:rPr>
        <w:t>In April 2015, the Company entered into a Research Collaboration and License Agreement with Merck Sharp &amp; Dohme Corp. (the Merck Agreement). During 2015, the Company received an upfront non-refundable payment of $7 million, which is being recognized as revenue over the total estimated period of performance, in exchange for use of the Company’s technology license. The agreement also provided for research program funding to support Merck-related research. The agreement expired in April 2018.</w:t>
      </w:r>
    </w:p>
    <w:p>
      <w:pPr>
        <w:spacing w:after="0" w:line="19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Information about contract liabilities is as follows:</w:t>
      </w:r>
    </w:p>
    <w:p>
      <w:pPr>
        <w:spacing w:after="0" w:line="227" w:lineRule="exact"/>
        <w:rPr>
          <w:sz w:val="20"/>
          <w:szCs w:val="20"/>
          <w:color w:val="auto"/>
        </w:rPr>
      </w:pPr>
    </w:p>
    <w:tbl>
      <w:tblPr>
        <w:tblLayout w:type="fixed"/>
        <w:tblInd w:w="36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920" w:type="dxa"/>
            <w:vAlign w:val="bottom"/>
            <w:gridSpan w:val="2"/>
          </w:tcPr>
          <w:p>
            <w:pPr>
              <w:jc w:val="right"/>
              <w:ind w:right="273"/>
              <w:spacing w:after="0"/>
              <w:rPr>
                <w:sz w:val="20"/>
                <w:szCs w:val="20"/>
                <w:color w:val="auto"/>
              </w:rPr>
            </w:pPr>
            <w:r>
              <w:rPr>
                <w:rFonts w:ascii="Arial" w:cs="Arial" w:eastAsia="Arial" w:hAnsi="Arial"/>
                <w:sz w:val="14"/>
                <w:szCs w:val="14"/>
                <w:b w:val="1"/>
                <w:bCs w:val="1"/>
                <w:color w:val="auto"/>
              </w:rPr>
              <w:t>2017</w:t>
            </w:r>
          </w:p>
        </w:tc>
        <w:tc>
          <w:tcPr>
            <w:tcW w:w="1380" w:type="dxa"/>
            <w:vAlign w:val="bottom"/>
            <w:gridSpan w:val="2"/>
          </w:tcPr>
          <w:p>
            <w:pPr>
              <w:jc w:val="right"/>
              <w:ind w:right="273"/>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r>
      <w:tr>
        <w:trPr>
          <w:trHeight w:val="190"/>
        </w:trPr>
        <w:tc>
          <w:tcPr>
            <w:tcW w:w="20" w:type="dxa"/>
            <w:vAlign w:val="bottom"/>
          </w:tcPr>
          <w:p>
            <w:pPr>
              <w:spacing w:after="0"/>
              <w:rPr>
                <w:sz w:val="16"/>
                <w:szCs w:val="16"/>
                <w:color w:val="auto"/>
              </w:rPr>
            </w:pPr>
          </w:p>
        </w:tc>
        <w:tc>
          <w:tcPr>
            <w:tcW w:w="632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Contract liabilities</w:t>
            </w:r>
          </w:p>
        </w:tc>
        <w:tc>
          <w:tcPr>
            <w:tcW w:w="19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98"/>
              </w:rPr>
              <w:t>$ 62,098,761</w:t>
            </w:r>
          </w:p>
        </w:tc>
        <w:tc>
          <w:tcPr>
            <w:tcW w:w="36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$ 10,177,637</w:t>
            </w:r>
          </w:p>
        </w:tc>
        <w:tc>
          <w:tcPr>
            <w:tcW w:w="60" w:type="dxa"/>
            <w:vAlign w:val="bottom"/>
            <w:tcBorders>
              <w:top w:val="single" w:sz="8" w:color="CCEEFF"/>
            </w:tcBorders>
            <w:shd w:val="clear" w:color="auto" w:fill="CCEEFF"/>
          </w:tcPr>
          <w:p>
            <w:pPr>
              <w:spacing w:after="0"/>
              <w:rPr>
                <w:sz w:val="16"/>
                <w:szCs w:val="16"/>
                <w:color w:val="auto"/>
              </w:rPr>
            </w:pPr>
          </w:p>
        </w:tc>
      </w:tr>
      <w:tr>
        <w:trPr>
          <w:trHeight w:val="302"/>
        </w:trPr>
        <w:tc>
          <w:tcPr>
            <w:tcW w:w="6340" w:type="dxa"/>
            <w:vAlign w:val="bottom"/>
            <w:gridSpan w:val="2"/>
          </w:tcPr>
          <w:p>
            <w:pPr>
              <w:spacing w:after="0"/>
              <w:rPr>
                <w:sz w:val="20"/>
                <w:szCs w:val="20"/>
                <w:color w:val="auto"/>
              </w:rPr>
            </w:pPr>
            <w:r>
              <w:rPr>
                <w:rFonts w:ascii="Arial" w:cs="Arial" w:eastAsia="Arial" w:hAnsi="Arial"/>
                <w:sz w:val="17"/>
                <w:szCs w:val="17"/>
                <w:color w:val="auto"/>
              </w:rPr>
              <w:t>Revenues recognized in the period from:</w:t>
            </w:r>
          </w:p>
        </w:tc>
        <w:tc>
          <w:tcPr>
            <w:tcW w:w="1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7"/>
        </w:trPr>
        <w:tc>
          <w:tcPr>
            <w:tcW w:w="2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Amounts included in deferred revenue in previous periods</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6,600,000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6,600,000</w:t>
            </w:r>
          </w:p>
        </w:tc>
        <w:tc>
          <w:tcPr>
            <w:tcW w:w="60" w:type="dxa"/>
            <w:vAlign w:val="bottom"/>
            <w:shd w:val="clear" w:color="auto" w:fill="CCEEFF"/>
          </w:tcPr>
          <w:p>
            <w:pPr>
              <w:spacing w:after="0"/>
              <w:rPr>
                <w:sz w:val="17"/>
                <w:szCs w:val="17"/>
                <w:color w:val="auto"/>
              </w:rPr>
            </w:pPr>
          </w:p>
        </w:tc>
      </w:tr>
    </w:tbl>
    <w:p>
      <w:pPr>
        <w:spacing w:after="0" w:line="209" w:lineRule="exact"/>
        <w:rPr>
          <w:sz w:val="20"/>
          <w:szCs w:val="20"/>
          <w:color w:val="auto"/>
        </w:rPr>
      </w:pPr>
    </w:p>
    <w:p>
      <w:pPr>
        <w:ind w:left="360" w:right="660" w:firstLine="535"/>
        <w:spacing w:after="0" w:line="259" w:lineRule="auto"/>
        <w:rPr>
          <w:sz w:val="20"/>
          <w:szCs w:val="20"/>
          <w:color w:val="auto"/>
        </w:rPr>
      </w:pPr>
      <w:r>
        <w:rPr>
          <w:rFonts w:ascii="Arial" w:cs="Arial" w:eastAsia="Arial" w:hAnsi="Arial"/>
          <w:sz w:val="17"/>
          <w:szCs w:val="17"/>
          <w:color w:val="auto"/>
        </w:rPr>
        <w:t>Changes in deferred revenue from 2016 to 2017 were due to billings of $59.5 million under new and modified contracts and $7.6 million of revenue recognized on the research collaboration and license agreements.</w:t>
      </w:r>
    </w:p>
    <w:p>
      <w:pPr>
        <w:spacing w:after="0" w:line="181" w:lineRule="exact"/>
        <w:rPr>
          <w:sz w:val="20"/>
          <w:szCs w:val="20"/>
          <w:color w:val="auto"/>
        </w:rPr>
      </w:pPr>
    </w:p>
    <w:p>
      <w:pPr>
        <w:ind w:left="360" w:right="180" w:firstLine="535"/>
        <w:spacing w:after="0" w:line="259" w:lineRule="auto"/>
        <w:rPr>
          <w:sz w:val="20"/>
          <w:szCs w:val="20"/>
          <w:color w:val="auto"/>
        </w:rPr>
      </w:pPr>
      <w:r>
        <w:rPr>
          <w:rFonts w:ascii="Arial" w:cs="Arial" w:eastAsia="Arial" w:hAnsi="Arial"/>
          <w:sz w:val="17"/>
          <w:szCs w:val="17"/>
          <w:color w:val="auto"/>
        </w:rPr>
        <w:t>The aggregate amount of the transaction price allocated to performance obligations that are unsatisfied as of December 31, 2017 was $62.1 million, which is expected to be recognized as follows:</w:t>
      </w:r>
    </w:p>
    <w:p>
      <w:pPr>
        <w:spacing w:after="0" w:line="207" w:lineRule="exact"/>
        <w:rPr>
          <w:sz w:val="20"/>
          <w:szCs w:val="20"/>
          <w:color w:val="auto"/>
        </w:rPr>
      </w:pPr>
    </w:p>
    <w:tbl>
      <w:tblPr>
        <w:tblLayout w:type="fixed"/>
        <w:tblInd w:w="3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2760" w:type="dxa"/>
            <w:vAlign w:val="bottom"/>
            <w:shd w:val="clear" w:color="auto" w:fill="CCEEFF"/>
          </w:tcPr>
          <w:p>
            <w:pPr>
              <w:jc w:val="right"/>
              <w:ind w:right="2293"/>
              <w:spacing w:after="0"/>
              <w:rPr>
                <w:sz w:val="20"/>
                <w:szCs w:val="20"/>
                <w:color w:val="auto"/>
              </w:rPr>
            </w:pPr>
            <w:r>
              <w:rPr>
                <w:rFonts w:ascii="Arial" w:cs="Arial" w:eastAsia="Arial" w:hAnsi="Arial"/>
                <w:sz w:val="17"/>
                <w:szCs w:val="17"/>
                <w:color w:val="auto"/>
                <w:w w:val="95"/>
              </w:rPr>
              <w:t>2018</w:t>
            </w:r>
          </w:p>
        </w:tc>
        <w:tc>
          <w:tcPr>
            <w:tcW w:w="7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4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2760" w:type="dxa"/>
            <w:vAlign w:val="bottom"/>
          </w:tcPr>
          <w:p>
            <w:pPr>
              <w:jc w:val="right"/>
              <w:ind w:right="2293"/>
              <w:spacing w:after="0"/>
              <w:rPr>
                <w:sz w:val="20"/>
                <w:szCs w:val="20"/>
                <w:color w:val="auto"/>
              </w:rPr>
            </w:pPr>
            <w:r>
              <w:rPr>
                <w:rFonts w:ascii="Arial" w:cs="Arial" w:eastAsia="Arial" w:hAnsi="Arial"/>
                <w:sz w:val="17"/>
                <w:szCs w:val="17"/>
                <w:color w:val="auto"/>
                <w:w w:val="95"/>
              </w:rPr>
              <w:t>2019</w:t>
            </w:r>
          </w:p>
        </w:tc>
        <w:tc>
          <w:tcPr>
            <w:tcW w:w="7880" w:type="dxa"/>
            <w:vAlign w:val="bottom"/>
            <w:gridSpan w:val="2"/>
          </w:tcPr>
          <w:p>
            <w:pPr>
              <w:jc w:val="right"/>
              <w:spacing w:after="0"/>
              <w:rPr>
                <w:sz w:val="20"/>
                <w:szCs w:val="20"/>
                <w:color w:val="auto"/>
              </w:rPr>
            </w:pPr>
            <w:r>
              <w:rPr>
                <w:rFonts w:ascii="Arial" w:cs="Arial" w:eastAsia="Arial" w:hAnsi="Arial"/>
                <w:sz w:val="17"/>
                <w:szCs w:val="17"/>
                <w:color w:val="auto"/>
              </w:rPr>
              <w:t>12.8</w:t>
            </w:r>
          </w:p>
        </w:tc>
        <w:tc>
          <w:tcPr>
            <w:tcW w:w="4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2760" w:type="dxa"/>
            <w:vAlign w:val="bottom"/>
            <w:shd w:val="clear" w:color="auto" w:fill="CCEEFF"/>
          </w:tcPr>
          <w:p>
            <w:pPr>
              <w:jc w:val="right"/>
              <w:ind w:right="2293"/>
              <w:spacing w:after="0"/>
              <w:rPr>
                <w:sz w:val="20"/>
                <w:szCs w:val="20"/>
                <w:color w:val="auto"/>
              </w:rPr>
            </w:pPr>
            <w:r>
              <w:rPr>
                <w:rFonts w:ascii="Arial" w:cs="Arial" w:eastAsia="Arial" w:hAnsi="Arial"/>
                <w:sz w:val="17"/>
                <w:szCs w:val="17"/>
                <w:color w:val="auto"/>
                <w:w w:val="95"/>
              </w:rPr>
              <w:t>2020</w:t>
            </w:r>
          </w:p>
        </w:tc>
        <w:tc>
          <w:tcPr>
            <w:tcW w:w="7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4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2760" w:type="dxa"/>
            <w:vAlign w:val="bottom"/>
          </w:tcPr>
          <w:p>
            <w:pPr>
              <w:jc w:val="right"/>
              <w:ind w:right="2293"/>
              <w:spacing w:after="0"/>
              <w:rPr>
                <w:sz w:val="20"/>
                <w:szCs w:val="20"/>
                <w:color w:val="auto"/>
              </w:rPr>
            </w:pPr>
            <w:r>
              <w:rPr>
                <w:rFonts w:ascii="Arial" w:cs="Arial" w:eastAsia="Arial" w:hAnsi="Arial"/>
                <w:sz w:val="17"/>
                <w:szCs w:val="17"/>
                <w:color w:val="auto"/>
                <w:w w:val="95"/>
              </w:rPr>
              <w:t>2021</w:t>
            </w:r>
          </w:p>
        </w:tc>
        <w:tc>
          <w:tcPr>
            <w:tcW w:w="7880" w:type="dxa"/>
            <w:vAlign w:val="bottom"/>
            <w:gridSpan w:val="2"/>
          </w:tcPr>
          <w:p>
            <w:pPr>
              <w:jc w:val="right"/>
              <w:spacing w:after="0"/>
              <w:rPr>
                <w:sz w:val="20"/>
                <w:szCs w:val="20"/>
                <w:color w:val="auto"/>
              </w:rPr>
            </w:pPr>
            <w:r>
              <w:rPr>
                <w:rFonts w:ascii="Arial" w:cs="Arial" w:eastAsia="Arial" w:hAnsi="Arial"/>
                <w:sz w:val="17"/>
                <w:szCs w:val="17"/>
                <w:color w:val="auto"/>
              </w:rPr>
              <w:t>12.8</w:t>
            </w:r>
          </w:p>
        </w:tc>
        <w:tc>
          <w:tcPr>
            <w:tcW w:w="4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2760" w:type="dxa"/>
            <w:vAlign w:val="bottom"/>
            <w:shd w:val="clear" w:color="auto" w:fill="CCEEFF"/>
          </w:tcPr>
          <w:p>
            <w:pPr>
              <w:jc w:val="right"/>
              <w:ind w:right="2293"/>
              <w:spacing w:after="0"/>
              <w:rPr>
                <w:sz w:val="20"/>
                <w:szCs w:val="20"/>
                <w:color w:val="auto"/>
              </w:rPr>
            </w:pPr>
            <w:r>
              <w:rPr>
                <w:rFonts w:ascii="Arial" w:cs="Arial" w:eastAsia="Arial" w:hAnsi="Arial"/>
                <w:sz w:val="17"/>
                <w:szCs w:val="17"/>
                <w:color w:val="auto"/>
                <w:w w:val="95"/>
              </w:rPr>
              <w:t>2022</w:t>
            </w:r>
          </w:p>
        </w:tc>
        <w:tc>
          <w:tcPr>
            <w:tcW w:w="7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760" w:type="dxa"/>
            <w:vAlign w:val="bottom"/>
          </w:tcPr>
          <w:p>
            <w:pPr>
              <w:jc w:val="right"/>
              <w:ind w:right="2293"/>
              <w:spacing w:after="0"/>
              <w:rPr>
                <w:sz w:val="20"/>
                <w:szCs w:val="20"/>
                <w:color w:val="auto"/>
              </w:rPr>
            </w:pPr>
            <w:r>
              <w:rPr>
                <w:rFonts w:ascii="Arial" w:cs="Arial" w:eastAsia="Arial" w:hAnsi="Arial"/>
                <w:sz w:val="17"/>
                <w:szCs w:val="17"/>
                <w:color w:val="auto"/>
                <w:w w:val="95"/>
              </w:rPr>
              <w:t>2023</w:t>
            </w:r>
          </w:p>
        </w:tc>
        <w:tc>
          <w:tcPr>
            <w:tcW w:w="7440" w:type="dxa"/>
            <w:vAlign w:val="bottom"/>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4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78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62.1</w:t>
            </w:r>
          </w:p>
        </w:tc>
        <w:tc>
          <w:tcPr>
            <w:tcW w:w="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7920" w:type="dxa"/>
            <w:vAlign w:val="bottom"/>
            <w:gridSpan w:val="3"/>
          </w:tcPr>
          <w:p>
            <w:pPr>
              <w:ind w:left="2400"/>
              <w:spacing w:after="0"/>
              <w:rPr>
                <w:sz w:val="20"/>
                <w:szCs w:val="20"/>
                <w:color w:val="auto"/>
              </w:rPr>
            </w:pPr>
            <w:r>
              <w:rPr>
                <w:rFonts w:ascii="Arial" w:cs="Arial" w:eastAsia="Arial" w:hAnsi="Arial"/>
                <w:sz w:val="17"/>
                <w:szCs w:val="17"/>
                <w:color w:val="auto"/>
              </w:rPr>
              <w:t>F-15</w:t>
            </w:r>
          </w:p>
        </w:tc>
      </w:tr>
    </w:tbl>
    <w:p>
      <w:pPr>
        <w:sectPr>
          <w:pgSz w:w="11900" w:h="16838" w:orient="portrait"/>
          <w:cols w:equalWidth="0" w:num="1">
            <w:col w:w="11060"/>
          </w:cols>
          <w:pgMar w:left="240" w:top="449" w:right="599" w:bottom="1440" w:gutter="0" w:footer="0" w:header="0"/>
        </w:sectPr>
      </w:pPr>
    </w:p>
    <w:bookmarkStart w:id="216" w:name="page217"/>
    <w:bookmarkEnd w:id="2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5. Marketable Securities</w:t>
      </w:r>
    </w:p>
    <w:p>
      <w:pPr>
        <w:spacing w:after="0" w:line="128"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following is a summary of the Company’s available-for-sale securities as of December 31, 2017 and 2016.</w:t>
      </w:r>
    </w:p>
    <w:p>
      <w:pPr>
        <w:spacing w:after="0" w:line="223"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48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December 31, 2017</w:t>
            </w: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43"/>
              <w:spacing w:after="0"/>
              <w:rPr>
                <w:sz w:val="20"/>
                <w:szCs w:val="20"/>
                <w:color w:val="auto"/>
              </w:rPr>
            </w:pPr>
            <w:r>
              <w:rPr>
                <w:rFonts w:ascii="Arial" w:cs="Arial" w:eastAsia="Arial" w:hAnsi="Arial"/>
                <w:sz w:val="14"/>
                <w:szCs w:val="14"/>
                <w:b w:val="1"/>
                <w:bCs w:val="1"/>
                <w:color w:val="auto"/>
                <w:w w:val="98"/>
              </w:rPr>
              <w:t>Gross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3"/>
          </w:tcPr>
          <w:p>
            <w:pPr>
              <w:jc w:val="center"/>
              <w:ind w:right="182"/>
              <w:spacing w:after="0"/>
              <w:rPr>
                <w:sz w:val="20"/>
                <w:szCs w:val="20"/>
                <w:color w:val="auto"/>
              </w:rPr>
            </w:pPr>
            <w:r>
              <w:rPr>
                <w:rFonts w:ascii="Arial" w:cs="Arial" w:eastAsia="Arial" w:hAnsi="Arial"/>
                <w:sz w:val="14"/>
                <w:szCs w:val="14"/>
                <w:b w:val="1"/>
                <w:bCs w:val="1"/>
                <w:color w:val="auto"/>
                <w:w w:val="98"/>
              </w:rPr>
              <w:t>Gross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980" w:type="dxa"/>
            <w:vAlign w:val="bottom"/>
            <w:gridSpan w:val="2"/>
          </w:tcPr>
          <w:p>
            <w:pPr>
              <w:jc w:val="right"/>
              <w:spacing w:after="0" w:line="157" w:lineRule="exact"/>
              <w:rPr>
                <w:sz w:val="20"/>
                <w:szCs w:val="20"/>
                <w:color w:val="auto"/>
              </w:rPr>
            </w:pPr>
            <w:r>
              <w:rPr>
                <w:rFonts w:ascii="Arial" w:cs="Arial" w:eastAsia="Arial" w:hAnsi="Arial"/>
                <w:sz w:val="14"/>
                <w:szCs w:val="14"/>
                <w:b w:val="1"/>
                <w:bCs w:val="1"/>
                <w:color w:val="auto"/>
              </w:rPr>
              <w:t>Effective</w:t>
            </w:r>
          </w:p>
        </w:tc>
        <w:tc>
          <w:tcPr>
            <w:tcW w:w="360" w:type="dxa"/>
            <w:vAlign w:val="bottom"/>
          </w:tcPr>
          <w:p>
            <w:pPr>
              <w:spacing w:after="0"/>
              <w:rPr>
                <w:sz w:val="13"/>
                <w:szCs w:val="13"/>
                <w:color w:val="auto"/>
              </w:rPr>
            </w:pPr>
          </w:p>
        </w:tc>
        <w:tc>
          <w:tcPr>
            <w:tcW w:w="9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Amortized</w:t>
            </w:r>
          </w:p>
        </w:tc>
        <w:tc>
          <w:tcPr>
            <w:tcW w:w="1060" w:type="dxa"/>
            <w:vAlign w:val="bottom"/>
            <w:gridSpan w:val="3"/>
          </w:tcPr>
          <w:p>
            <w:pPr>
              <w:jc w:val="center"/>
              <w:ind w:left="264"/>
              <w:spacing w:after="0" w:line="157" w:lineRule="exact"/>
              <w:rPr>
                <w:sz w:val="20"/>
                <w:szCs w:val="20"/>
                <w:color w:val="auto"/>
              </w:rPr>
            </w:pPr>
            <w:r>
              <w:rPr>
                <w:rFonts w:ascii="Arial" w:cs="Arial" w:eastAsia="Arial" w:hAnsi="Arial"/>
                <w:sz w:val="14"/>
                <w:szCs w:val="14"/>
                <w:b w:val="1"/>
                <w:bCs w:val="1"/>
                <w:color w:val="auto"/>
              </w:rPr>
              <w:t>Unrealized</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4"/>
          </w:tcPr>
          <w:p>
            <w:pPr>
              <w:jc w:val="center"/>
              <w:spacing w:after="0" w:line="157" w:lineRule="exact"/>
              <w:rPr>
                <w:sz w:val="20"/>
                <w:szCs w:val="20"/>
                <w:color w:val="auto"/>
              </w:rPr>
            </w:pPr>
            <w:r>
              <w:rPr>
                <w:rFonts w:ascii="Arial" w:cs="Arial" w:eastAsia="Arial" w:hAnsi="Arial"/>
                <w:sz w:val="14"/>
                <w:szCs w:val="14"/>
                <w:b w:val="1"/>
                <w:bCs w:val="1"/>
                <w:color w:val="auto"/>
                <w:w w:val="98"/>
              </w:rPr>
              <w:t>Unrealized</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00" w:type="dxa"/>
            <w:vAlign w:val="bottom"/>
            <w:gridSpan w:val="3"/>
            <w:vMerge w:val="continue"/>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9"/>
              </w:rPr>
              <w:t>Maturity</w:t>
            </w:r>
          </w:p>
        </w:tc>
        <w:tc>
          <w:tcPr>
            <w:tcW w:w="360" w:type="dxa"/>
            <w:vAlign w:val="bottom"/>
          </w:tcPr>
          <w:p>
            <w:pPr>
              <w:spacing w:after="0"/>
              <w:rPr>
                <w:sz w:val="13"/>
                <w:szCs w:val="13"/>
                <w:color w:val="auto"/>
              </w:rPr>
            </w:pPr>
          </w:p>
        </w:tc>
        <w:tc>
          <w:tcPr>
            <w:tcW w:w="9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Cost</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center"/>
              <w:ind w:right="43"/>
              <w:spacing w:after="0" w:line="155" w:lineRule="exact"/>
              <w:rPr>
                <w:sz w:val="20"/>
                <w:szCs w:val="20"/>
                <w:color w:val="auto"/>
              </w:rPr>
            </w:pPr>
            <w:r>
              <w:rPr>
                <w:rFonts w:ascii="Arial" w:cs="Arial" w:eastAsia="Arial" w:hAnsi="Arial"/>
                <w:sz w:val="14"/>
                <w:szCs w:val="14"/>
                <w:b w:val="1"/>
                <w:bCs w:val="1"/>
                <w:color w:val="auto"/>
              </w:rPr>
              <w:t>Gains</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gridSpan w:val="3"/>
          </w:tcPr>
          <w:p>
            <w:pPr>
              <w:jc w:val="center"/>
              <w:ind w:right="182"/>
              <w:spacing w:after="0" w:line="155" w:lineRule="exact"/>
              <w:rPr>
                <w:sz w:val="20"/>
                <w:szCs w:val="20"/>
                <w:color w:val="auto"/>
              </w:rPr>
            </w:pPr>
            <w:r>
              <w:rPr>
                <w:rFonts w:ascii="Arial" w:cs="Arial" w:eastAsia="Arial" w:hAnsi="Arial"/>
                <w:sz w:val="14"/>
                <w:szCs w:val="14"/>
                <w:b w:val="1"/>
                <w:bCs w:val="1"/>
                <w:color w:val="auto"/>
                <w:w w:val="99"/>
              </w:rPr>
              <w:t>Losses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bottom w:val="single" w:sz="8" w:color="CCEEFF"/>
            </w:tcBorders>
            <w:shd w:val="clear" w:color="auto" w:fill="000000"/>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78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Corporate bonds</w:t>
            </w:r>
          </w:p>
        </w:tc>
        <w:tc>
          <w:tcPr>
            <w:tcW w:w="4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2018</w:t>
            </w:r>
          </w:p>
        </w:tc>
        <w:tc>
          <w:tcPr>
            <w:tcW w:w="36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$ 8,268,732</w:t>
            </w:r>
          </w:p>
        </w:tc>
        <w:tc>
          <w:tcPr>
            <w:tcW w:w="3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tcBorders>
              <w:bottom w:val="single" w:sz="8" w:color="auto"/>
            </w:tcBorders>
            <w:gridSpan w:val="2"/>
            <w:shd w:val="clear" w:color="auto" w:fill="CCEEFF"/>
          </w:tcPr>
          <w:p>
            <w:pPr>
              <w:jc w:val="right"/>
              <w:ind w:right="20"/>
              <w:spacing w:after="0" w:line="183" w:lineRule="exact"/>
              <w:rPr>
                <w:sz w:val="20"/>
                <w:szCs w:val="20"/>
                <w:color w:val="auto"/>
              </w:rPr>
            </w:pPr>
            <w:r>
              <w:rPr>
                <w:rFonts w:ascii="Arial" w:cs="Arial" w:eastAsia="Arial" w:hAnsi="Arial"/>
                <w:sz w:val="17"/>
                <w:szCs w:val="17"/>
                <w:color w:val="auto"/>
              </w:rPr>
              <w:t>$ (9,751</w:t>
            </w:r>
          </w:p>
        </w:tc>
        <w:tc>
          <w:tcPr>
            <w:tcW w:w="220" w:type="dxa"/>
            <w:vAlign w:val="bottom"/>
            <w:shd w:val="clear" w:color="auto" w:fill="CCEEFF"/>
          </w:tcPr>
          <w:p>
            <w:pPr>
              <w:jc w:val="right"/>
              <w:ind w:right="142"/>
              <w:spacing w:after="0"/>
              <w:rPr>
                <w:sz w:val="20"/>
                <w:szCs w:val="20"/>
                <w:color w:val="auto"/>
              </w:rPr>
            </w:pPr>
            <w:r>
              <w:rPr>
                <w:rFonts w:ascii="Arial" w:cs="Arial" w:eastAsia="Arial" w:hAnsi="Arial"/>
                <w:sz w:val="8"/>
                <w:szCs w:val="8"/>
                <w:color w:val="auto"/>
                <w:w w:val="73"/>
              </w:rPr>
              <w:t>)</w:t>
            </w:r>
          </w:p>
        </w:tc>
        <w:tc>
          <w:tcPr>
            <w:tcW w:w="220" w:type="dxa"/>
            <w:vAlign w:val="bottom"/>
            <w:tcBorders>
              <w:right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8,258,982</w:t>
            </w:r>
          </w:p>
        </w:tc>
        <w:tc>
          <w:tcPr>
            <w:tcW w:w="10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48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December 31, 2016</w:t>
            </w: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center"/>
              <w:ind w:right="43"/>
              <w:spacing w:after="0"/>
              <w:rPr>
                <w:sz w:val="20"/>
                <w:szCs w:val="20"/>
                <w:color w:val="auto"/>
              </w:rPr>
            </w:pPr>
            <w:r>
              <w:rPr>
                <w:rFonts w:ascii="Arial" w:cs="Arial" w:eastAsia="Arial" w:hAnsi="Arial"/>
                <w:sz w:val="14"/>
                <w:szCs w:val="14"/>
                <w:b w:val="1"/>
                <w:bCs w:val="1"/>
                <w:color w:val="auto"/>
                <w:w w:val="98"/>
              </w:rPr>
              <w:t>Gross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gridSpan w:val="3"/>
          </w:tcPr>
          <w:p>
            <w:pPr>
              <w:jc w:val="center"/>
              <w:ind w:right="182"/>
              <w:spacing w:after="0"/>
              <w:rPr>
                <w:sz w:val="20"/>
                <w:szCs w:val="20"/>
                <w:color w:val="auto"/>
              </w:rPr>
            </w:pPr>
            <w:r>
              <w:rPr>
                <w:rFonts w:ascii="Arial" w:cs="Arial" w:eastAsia="Arial" w:hAnsi="Arial"/>
                <w:sz w:val="14"/>
                <w:szCs w:val="14"/>
                <w:b w:val="1"/>
                <w:bCs w:val="1"/>
                <w:color w:val="auto"/>
                <w:w w:val="98"/>
              </w:rPr>
              <w:t>Gross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4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980" w:type="dxa"/>
            <w:vAlign w:val="bottom"/>
            <w:gridSpan w:val="2"/>
          </w:tcPr>
          <w:p>
            <w:pPr>
              <w:jc w:val="right"/>
              <w:spacing w:after="0" w:line="157" w:lineRule="exact"/>
              <w:rPr>
                <w:sz w:val="20"/>
                <w:szCs w:val="20"/>
                <w:color w:val="auto"/>
              </w:rPr>
            </w:pPr>
            <w:r>
              <w:rPr>
                <w:rFonts w:ascii="Arial" w:cs="Arial" w:eastAsia="Arial" w:hAnsi="Arial"/>
                <w:sz w:val="14"/>
                <w:szCs w:val="14"/>
                <w:b w:val="1"/>
                <w:bCs w:val="1"/>
                <w:color w:val="auto"/>
              </w:rPr>
              <w:t>Effective</w:t>
            </w:r>
          </w:p>
        </w:tc>
        <w:tc>
          <w:tcPr>
            <w:tcW w:w="360" w:type="dxa"/>
            <w:vAlign w:val="bottom"/>
          </w:tcPr>
          <w:p>
            <w:pPr>
              <w:spacing w:after="0"/>
              <w:rPr>
                <w:sz w:val="13"/>
                <w:szCs w:val="13"/>
                <w:color w:val="auto"/>
              </w:rPr>
            </w:pPr>
          </w:p>
        </w:tc>
        <w:tc>
          <w:tcPr>
            <w:tcW w:w="9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Amortized</w:t>
            </w:r>
          </w:p>
        </w:tc>
        <w:tc>
          <w:tcPr>
            <w:tcW w:w="1060" w:type="dxa"/>
            <w:vAlign w:val="bottom"/>
            <w:gridSpan w:val="3"/>
          </w:tcPr>
          <w:p>
            <w:pPr>
              <w:jc w:val="center"/>
              <w:ind w:left="264"/>
              <w:spacing w:after="0" w:line="157" w:lineRule="exact"/>
              <w:rPr>
                <w:sz w:val="20"/>
                <w:szCs w:val="20"/>
                <w:color w:val="auto"/>
              </w:rPr>
            </w:pPr>
            <w:r>
              <w:rPr>
                <w:rFonts w:ascii="Arial" w:cs="Arial" w:eastAsia="Arial" w:hAnsi="Arial"/>
                <w:sz w:val="14"/>
                <w:szCs w:val="14"/>
                <w:b w:val="1"/>
                <w:bCs w:val="1"/>
                <w:color w:val="auto"/>
              </w:rPr>
              <w:t>Unrealized</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4"/>
          </w:tcPr>
          <w:p>
            <w:pPr>
              <w:jc w:val="center"/>
              <w:spacing w:after="0" w:line="157" w:lineRule="exact"/>
              <w:rPr>
                <w:sz w:val="20"/>
                <w:szCs w:val="20"/>
                <w:color w:val="auto"/>
              </w:rPr>
            </w:pPr>
            <w:r>
              <w:rPr>
                <w:rFonts w:ascii="Arial" w:cs="Arial" w:eastAsia="Arial" w:hAnsi="Arial"/>
                <w:sz w:val="14"/>
                <w:szCs w:val="14"/>
                <w:b w:val="1"/>
                <w:bCs w:val="1"/>
                <w:color w:val="auto"/>
                <w:w w:val="98"/>
              </w:rPr>
              <w:t>Unrealized</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00" w:type="dxa"/>
            <w:vAlign w:val="bottom"/>
            <w:gridSpan w:val="3"/>
            <w:vMerge w:val="continue"/>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9"/>
              </w:rPr>
              <w:t>Maturity</w:t>
            </w:r>
          </w:p>
        </w:tc>
        <w:tc>
          <w:tcPr>
            <w:tcW w:w="360" w:type="dxa"/>
            <w:vAlign w:val="bottom"/>
          </w:tcPr>
          <w:p>
            <w:pPr>
              <w:spacing w:after="0"/>
              <w:rPr>
                <w:sz w:val="13"/>
                <w:szCs w:val="13"/>
                <w:color w:val="auto"/>
              </w:rPr>
            </w:pPr>
          </w:p>
        </w:tc>
        <w:tc>
          <w:tcPr>
            <w:tcW w:w="9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Cost</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center"/>
              <w:ind w:right="43"/>
              <w:spacing w:after="0" w:line="155" w:lineRule="exact"/>
              <w:rPr>
                <w:sz w:val="20"/>
                <w:szCs w:val="20"/>
                <w:color w:val="auto"/>
              </w:rPr>
            </w:pPr>
            <w:r>
              <w:rPr>
                <w:rFonts w:ascii="Arial" w:cs="Arial" w:eastAsia="Arial" w:hAnsi="Arial"/>
                <w:sz w:val="14"/>
                <w:szCs w:val="14"/>
                <w:b w:val="1"/>
                <w:bCs w:val="1"/>
                <w:color w:val="auto"/>
              </w:rPr>
              <w:t>Gains</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gridSpan w:val="3"/>
          </w:tcPr>
          <w:p>
            <w:pPr>
              <w:jc w:val="center"/>
              <w:ind w:right="182"/>
              <w:spacing w:after="0" w:line="155" w:lineRule="exact"/>
              <w:rPr>
                <w:sz w:val="20"/>
                <w:szCs w:val="20"/>
                <w:color w:val="auto"/>
              </w:rPr>
            </w:pPr>
            <w:r>
              <w:rPr>
                <w:rFonts w:ascii="Arial" w:cs="Arial" w:eastAsia="Arial" w:hAnsi="Arial"/>
                <w:sz w:val="14"/>
                <w:szCs w:val="14"/>
                <w:b w:val="1"/>
                <w:bCs w:val="1"/>
                <w:color w:val="auto"/>
                <w:w w:val="99"/>
              </w:rPr>
              <w:t>Losses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bottom w:val="single" w:sz="8" w:color="CCEEFF"/>
            </w:tcBorders>
            <w:shd w:val="clear" w:color="auto" w:fill="000000"/>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78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Corporate bonds</w:t>
            </w:r>
          </w:p>
        </w:tc>
        <w:tc>
          <w:tcPr>
            <w:tcW w:w="4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2017</w:t>
            </w: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$23,285,597</w:t>
            </w:r>
          </w:p>
        </w:tc>
        <w:tc>
          <w:tcPr>
            <w:tcW w:w="3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$ 12,710</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w w:val="96"/>
              </w:rPr>
              <w:t>$(11,902)</w:t>
            </w:r>
          </w:p>
        </w:tc>
        <w:tc>
          <w:tcPr>
            <w:tcW w:w="22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w w:val="99"/>
              </w:rPr>
              <w:t>$23,286,405</w:t>
            </w:r>
          </w:p>
        </w:tc>
        <w:tc>
          <w:tcPr>
            <w:tcW w:w="10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80" w:type="dxa"/>
            <w:vAlign w:val="bottom"/>
            <w:gridSpan w:val="2"/>
          </w:tcPr>
          <w:p>
            <w:pPr>
              <w:spacing w:after="0"/>
              <w:rPr>
                <w:sz w:val="20"/>
                <w:szCs w:val="20"/>
                <w:color w:val="auto"/>
              </w:rPr>
            </w:pPr>
            <w:r>
              <w:rPr>
                <w:rFonts w:ascii="Arial" w:cs="Arial" w:eastAsia="Arial" w:hAnsi="Arial"/>
                <w:sz w:val="17"/>
                <w:szCs w:val="17"/>
                <w:color w:val="auto"/>
              </w:rPr>
              <w:t>Government bonds</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2017</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1,000,000</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6"/>
          </w:tcPr>
          <w:p>
            <w:pPr>
              <w:jc w:val="right"/>
              <w:ind w:right="142"/>
              <w:spacing w:after="0"/>
              <w:rPr>
                <w:sz w:val="20"/>
                <w:szCs w:val="20"/>
                <w:color w:val="auto"/>
              </w:rPr>
            </w:pPr>
            <w:r>
              <w:rPr>
                <w:rFonts w:ascii="Arial" w:cs="Arial" w:eastAsia="Arial" w:hAnsi="Arial"/>
                <w:sz w:val="17"/>
                <w:szCs w:val="17"/>
                <w:color w:val="auto"/>
              </w:rPr>
              <w:t>(500)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999,500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Corporate bonds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2018</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6,211,785</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3"/>
            <w:shd w:val="clear" w:color="auto" w:fill="CCEEFF"/>
          </w:tcPr>
          <w:p>
            <w:pPr>
              <w:spacing w:after="0"/>
              <w:rPr>
                <w:sz w:val="17"/>
                <w:szCs w:val="17"/>
                <w:color w:val="auto"/>
              </w:rPr>
            </w:pPr>
          </w:p>
        </w:tc>
        <w:tc>
          <w:tcPr>
            <w:tcW w:w="940" w:type="dxa"/>
            <w:vAlign w:val="bottom"/>
            <w:gridSpan w:val="3"/>
            <w:shd w:val="clear" w:color="auto" w:fill="CCEEFF"/>
          </w:tcPr>
          <w:p>
            <w:pPr>
              <w:jc w:val="right"/>
              <w:ind w:right="142"/>
              <w:spacing w:after="0"/>
              <w:rPr>
                <w:sz w:val="20"/>
                <w:szCs w:val="20"/>
                <w:color w:val="auto"/>
              </w:rPr>
            </w:pPr>
            <w:r>
              <w:rPr>
                <w:rFonts w:ascii="Arial" w:cs="Arial" w:eastAsia="Arial" w:hAnsi="Arial"/>
                <w:sz w:val="17"/>
                <w:szCs w:val="17"/>
                <w:color w:val="auto"/>
              </w:rPr>
              <w:t>(28,987)</w:t>
            </w: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6,182,798</w:t>
            </w: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gridSpan w:val="2"/>
          </w:tcPr>
          <w:p>
            <w:pPr>
              <w:ind w:left="340"/>
              <w:spacing w:after="0"/>
              <w:rPr>
                <w:sz w:val="20"/>
                <w:szCs w:val="20"/>
                <w:color w:val="auto"/>
              </w:rPr>
            </w:pPr>
            <w:r>
              <w:rPr>
                <w:rFonts w:ascii="Arial" w:cs="Arial" w:eastAsia="Arial" w:hAnsi="Arial"/>
                <w:sz w:val="17"/>
                <w:szCs w:val="17"/>
                <w:color w:val="auto"/>
              </w:rPr>
              <w:t>Total</w:t>
            </w: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30,497,382</w:t>
            </w:r>
          </w:p>
        </w:tc>
        <w:tc>
          <w:tcPr>
            <w:tcW w:w="1060" w:type="dxa"/>
            <w:vAlign w:val="bottom"/>
            <w:gridSpan w:val="3"/>
          </w:tcPr>
          <w:p>
            <w:pPr>
              <w:jc w:val="right"/>
              <w:spacing w:after="0"/>
              <w:rPr>
                <w:sz w:val="20"/>
                <w:szCs w:val="20"/>
                <w:color w:val="auto"/>
              </w:rPr>
            </w:pPr>
            <w:r>
              <w:rPr>
                <w:rFonts w:ascii="Arial" w:cs="Arial" w:eastAsia="Arial" w:hAnsi="Arial"/>
                <w:sz w:val="17"/>
                <w:szCs w:val="17"/>
                <w:color w:val="auto"/>
              </w:rPr>
              <w:t>$ 12,710</w:t>
            </w:r>
          </w:p>
        </w:tc>
        <w:tc>
          <w:tcPr>
            <w:tcW w:w="1300" w:type="dxa"/>
            <w:vAlign w:val="bottom"/>
            <w:gridSpan w:val="6"/>
          </w:tcPr>
          <w:p>
            <w:pPr>
              <w:jc w:val="right"/>
              <w:ind w:right="142"/>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(41,389)</w:t>
            </w:r>
          </w:p>
        </w:tc>
        <w:tc>
          <w:tcPr>
            <w:tcW w:w="1120" w:type="dxa"/>
            <w:vAlign w:val="bottom"/>
            <w:gridSpan w:val="3"/>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30,468,703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0" w:type="dxa"/>
            <w:vAlign w:val="bottom"/>
            <w:gridSpan w:val="3"/>
            <w:vMerge w:val="restart"/>
          </w:tcPr>
          <w:p>
            <w:pPr>
              <w:spacing w:after="0"/>
              <w:rPr>
                <w:sz w:val="20"/>
                <w:szCs w:val="20"/>
                <w:color w:val="auto"/>
              </w:rPr>
            </w:pPr>
            <w:r>
              <w:rPr>
                <w:rFonts w:ascii="Arial" w:cs="Arial" w:eastAsia="Arial" w:hAnsi="Arial"/>
                <w:sz w:val="17"/>
                <w:szCs w:val="17"/>
                <w:b w:val="1"/>
                <w:bCs w:val="1"/>
                <w:i w:val="1"/>
                <w:iCs w:val="1"/>
                <w:color w:val="auto"/>
              </w:rPr>
              <w:t>6. Property, Equipment and Leasehold Improvements</w:t>
            </w: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6"/>
        </w:trPr>
        <w:tc>
          <w:tcPr>
            <w:tcW w:w="4800" w:type="dxa"/>
            <w:vAlign w:val="bottom"/>
            <w:gridSpan w:val="3"/>
            <w:vMerge w:val="continue"/>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7560" w:type="dxa"/>
            <w:vAlign w:val="bottom"/>
            <w:gridSpan w:val="8"/>
          </w:tcPr>
          <w:p>
            <w:pPr>
              <w:ind w:left="520"/>
              <w:spacing w:after="0"/>
              <w:rPr>
                <w:sz w:val="20"/>
                <w:szCs w:val="20"/>
                <w:color w:val="auto"/>
              </w:rPr>
            </w:pPr>
            <w:r>
              <w:rPr>
                <w:rFonts w:ascii="Arial" w:cs="Arial" w:eastAsia="Arial" w:hAnsi="Arial"/>
                <w:sz w:val="17"/>
                <w:szCs w:val="17"/>
                <w:color w:val="auto"/>
              </w:rPr>
              <w:t>Property, equipment and leasehold improvements consist of the following at December 31:</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gridSpan w:val="4"/>
          </w:tcPr>
          <w:p>
            <w:pPr>
              <w:jc w:val="right"/>
              <w:ind w:right="24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ind w:right="37"/>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7"/>
                <w:szCs w:val="17"/>
                <w:color w:val="auto"/>
              </w:rPr>
              <w:t>Laboratory equipment</w:t>
            </w:r>
          </w:p>
        </w:tc>
        <w:tc>
          <w:tcPr>
            <w:tcW w:w="40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gridSpan w:val="2"/>
            <w:shd w:val="clear" w:color="auto" w:fill="CCEEFF"/>
          </w:tcPr>
          <w:p>
            <w:pPr>
              <w:spacing w:after="0"/>
              <w:rPr>
                <w:sz w:val="16"/>
                <w:szCs w:val="16"/>
                <w:color w:val="auto"/>
              </w:rPr>
            </w:pPr>
          </w:p>
        </w:tc>
        <w:tc>
          <w:tcPr>
            <w:tcW w:w="92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$ 1,952,685</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1,016,872</w:t>
            </w:r>
          </w:p>
        </w:tc>
        <w:tc>
          <w:tcPr>
            <w:tcW w:w="100" w:type="dxa"/>
            <w:vAlign w:val="bottom"/>
            <w:tcBorders>
              <w:top w:val="single" w:sz="8" w:color="CCEEFF"/>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80" w:type="dxa"/>
            <w:vAlign w:val="bottom"/>
            <w:gridSpan w:val="2"/>
          </w:tcPr>
          <w:p>
            <w:pPr>
              <w:spacing w:after="0"/>
              <w:rPr>
                <w:sz w:val="20"/>
                <w:szCs w:val="20"/>
                <w:color w:val="auto"/>
              </w:rPr>
            </w:pPr>
            <w:r>
              <w:rPr>
                <w:rFonts w:ascii="Arial" w:cs="Arial" w:eastAsia="Arial" w:hAnsi="Arial"/>
                <w:sz w:val="17"/>
                <w:szCs w:val="17"/>
                <w:color w:val="auto"/>
              </w:rPr>
              <w:t>Office equipment</w:t>
            </w: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gridSpan w:val="4"/>
          </w:tcPr>
          <w:p>
            <w:pPr>
              <w:jc w:val="right"/>
              <w:spacing w:after="0"/>
              <w:rPr>
                <w:sz w:val="20"/>
                <w:szCs w:val="20"/>
                <w:color w:val="auto"/>
              </w:rPr>
            </w:pPr>
            <w:r>
              <w:rPr>
                <w:rFonts w:ascii="Arial" w:cs="Arial" w:eastAsia="Arial" w:hAnsi="Arial"/>
                <w:sz w:val="17"/>
                <w:szCs w:val="17"/>
                <w:color w:val="auto"/>
              </w:rPr>
              <w:t>305,522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237,702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gridSpan w:val="2"/>
            <w:shd w:val="clear" w:color="auto" w:fill="CCEEFF"/>
          </w:tcPr>
          <w:p>
            <w:pPr>
              <w:spacing w:after="0"/>
              <w:rPr>
                <w:sz w:val="17"/>
                <w:szCs w:val="17"/>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72,294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72,294</w:t>
            </w: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gridSpan w:val="4"/>
          </w:tcPr>
          <w:p>
            <w:pPr>
              <w:jc w:val="right"/>
              <w:spacing w:after="0"/>
              <w:rPr>
                <w:sz w:val="20"/>
                <w:szCs w:val="20"/>
                <w:color w:val="auto"/>
              </w:rPr>
            </w:pPr>
            <w:r>
              <w:rPr>
                <w:rFonts w:ascii="Arial" w:cs="Arial" w:eastAsia="Arial" w:hAnsi="Arial"/>
                <w:sz w:val="17"/>
                <w:szCs w:val="17"/>
                <w:color w:val="auto"/>
              </w:rPr>
              <w:t>2,330,501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1,326,868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Less: accumulated depreciation</w:t>
            </w: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gridSpan w:val="2"/>
            <w:shd w:val="clear" w:color="auto" w:fill="CCEEFF"/>
          </w:tcPr>
          <w:p>
            <w:pPr>
              <w:spacing w:after="0"/>
              <w:rPr>
                <w:sz w:val="17"/>
                <w:szCs w:val="17"/>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(1,031,620)</w:t>
            </w:r>
          </w:p>
        </w:tc>
        <w:tc>
          <w:tcPr>
            <w:tcW w:w="2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(693,020)</w:t>
            </w: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00" w:type="dxa"/>
            <w:vAlign w:val="bottom"/>
            <w:gridSpan w:val="3"/>
          </w:tcPr>
          <w:p>
            <w:pPr>
              <w:spacing w:after="0"/>
              <w:rPr>
                <w:sz w:val="20"/>
                <w:szCs w:val="20"/>
                <w:color w:val="auto"/>
              </w:rPr>
            </w:pPr>
            <w:r>
              <w:rPr>
                <w:rFonts w:ascii="Arial" w:cs="Arial" w:eastAsia="Arial" w:hAnsi="Arial"/>
                <w:sz w:val="17"/>
                <w:szCs w:val="17"/>
                <w:color w:val="auto"/>
              </w:rPr>
              <w:t>Property, equipment and leasehold improvements, net</w:t>
            </w: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gridSpan w:val="4"/>
          </w:tcPr>
          <w:p>
            <w:pPr>
              <w:jc w:val="right"/>
              <w:spacing w:after="0"/>
              <w:rPr>
                <w:sz w:val="20"/>
                <w:szCs w:val="20"/>
                <w:color w:val="auto"/>
              </w:rPr>
            </w:pPr>
            <w:r>
              <w:rPr>
                <w:rFonts w:ascii="Arial" w:cs="Arial" w:eastAsia="Arial" w:hAnsi="Arial"/>
                <w:sz w:val="17"/>
                <w:szCs w:val="17"/>
                <w:color w:val="auto"/>
              </w:rPr>
              <w:t>$ 1,298,881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gridSpan w:val="2"/>
          </w:tcPr>
          <w:p>
            <w:pPr>
              <w:ind w:left="220"/>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633,848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Depreciation expense totaled $347,395 and $261,695, for the years ended December 31, 2017 and 2016, respectively.</w:t>
      </w:r>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7. Accrued Expenses</w:t>
      </w:r>
    </w:p>
    <w:p>
      <w:pPr>
        <w:spacing w:after="0" w:line="126"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Accrued expenses consisted of the following at December 31:</w:t>
      </w:r>
    </w:p>
    <w:p>
      <w:pPr>
        <w:spacing w:after="0" w:line="227" w:lineRule="exact"/>
        <w:rPr>
          <w:sz w:val="20"/>
          <w:szCs w:val="20"/>
          <w:color w:val="auto"/>
        </w:rPr>
      </w:pPr>
    </w:p>
    <w:tbl>
      <w:tblPr>
        <w:tblLayout w:type="fixed"/>
        <w:tblInd w:w="36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920" w:type="dxa"/>
            <w:vAlign w:val="bottom"/>
            <w:gridSpan w:val="2"/>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1280" w:type="dxa"/>
            <w:vAlign w:val="bottom"/>
            <w:gridSpan w:val="2"/>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r>
      <w:tr>
        <w:trPr>
          <w:trHeight w:val="190"/>
        </w:trPr>
        <w:tc>
          <w:tcPr>
            <w:tcW w:w="20" w:type="dxa"/>
            <w:vAlign w:val="bottom"/>
          </w:tcPr>
          <w:p>
            <w:pPr>
              <w:spacing w:after="0"/>
              <w:rPr>
                <w:sz w:val="16"/>
                <w:szCs w:val="16"/>
                <w:color w:val="auto"/>
              </w:rPr>
            </w:pPr>
          </w:p>
        </w:tc>
        <w:tc>
          <w:tcPr>
            <w:tcW w:w="842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Employee expenses</w:t>
            </w:r>
          </w:p>
        </w:tc>
        <w:tc>
          <w:tcPr>
            <w:tcW w:w="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97"/>
              </w:rPr>
              <w:t>$ 1,047,022</w:t>
            </w:r>
          </w:p>
        </w:tc>
        <w:tc>
          <w:tcPr>
            <w:tcW w:w="36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$ 1,183,676</w:t>
            </w:r>
          </w:p>
        </w:tc>
        <w:tc>
          <w:tcPr>
            <w:tcW w:w="60" w:type="dxa"/>
            <w:vAlign w:val="bottom"/>
            <w:tcBorders>
              <w:top w:val="single" w:sz="8" w:color="CCEEFF"/>
            </w:tcBorders>
            <w:shd w:val="clear" w:color="auto" w:fill="CCEEFF"/>
          </w:tcPr>
          <w:p>
            <w:pPr>
              <w:spacing w:after="0"/>
              <w:rPr>
                <w:sz w:val="16"/>
                <w:szCs w:val="16"/>
                <w:color w:val="auto"/>
              </w:rPr>
            </w:pPr>
          </w:p>
        </w:tc>
      </w:tr>
      <w:tr>
        <w:trPr>
          <w:trHeight w:val="197"/>
        </w:trPr>
        <w:tc>
          <w:tcPr>
            <w:tcW w:w="20" w:type="dxa"/>
            <w:vAlign w:val="bottom"/>
          </w:tcPr>
          <w:p>
            <w:pPr>
              <w:spacing w:after="0"/>
              <w:rPr>
                <w:sz w:val="17"/>
                <w:szCs w:val="17"/>
                <w:color w:val="auto"/>
              </w:rPr>
            </w:pPr>
          </w:p>
        </w:tc>
        <w:tc>
          <w:tcPr>
            <w:tcW w:w="8420" w:type="dxa"/>
            <w:vAlign w:val="bottom"/>
          </w:tcPr>
          <w:p>
            <w:pPr>
              <w:spacing w:after="0"/>
              <w:rPr>
                <w:sz w:val="20"/>
                <w:szCs w:val="20"/>
                <w:color w:val="auto"/>
              </w:rPr>
            </w:pPr>
            <w:r>
              <w:rPr>
                <w:rFonts w:ascii="Arial" w:cs="Arial" w:eastAsia="Arial" w:hAnsi="Arial"/>
                <w:sz w:val="17"/>
                <w:szCs w:val="17"/>
                <w:color w:val="auto"/>
              </w:rPr>
              <w:t>Research and development expenses</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1,982,525</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133,026</w:t>
            </w:r>
          </w:p>
        </w:tc>
        <w:tc>
          <w:tcPr>
            <w:tcW w:w="6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7"/>
                <w:szCs w:val="17"/>
                <w:color w:val="auto"/>
              </w:rPr>
              <w:t>Professional fees and other</w:t>
            </w:r>
          </w:p>
        </w:tc>
        <w:tc>
          <w:tcPr>
            <w:tcW w:w="2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516,389</w:t>
            </w:r>
          </w:p>
        </w:tc>
        <w:tc>
          <w:tcPr>
            <w:tcW w:w="36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334,891</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42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$ 3,545,936</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$ 1,651,593</w:t>
            </w:r>
          </w:p>
        </w:tc>
        <w:tc>
          <w:tcPr>
            <w:tcW w:w="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7"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8. Long-Term Debt</w:t>
      </w:r>
    </w:p>
    <w:p>
      <w:pPr>
        <w:spacing w:after="0" w:line="126" w:lineRule="exact"/>
        <w:rPr>
          <w:sz w:val="20"/>
          <w:szCs w:val="20"/>
          <w:color w:val="auto"/>
        </w:rPr>
      </w:pPr>
    </w:p>
    <w:p>
      <w:pPr>
        <w:ind w:left="360" w:right="80" w:firstLine="535"/>
        <w:spacing w:after="0" w:line="245" w:lineRule="auto"/>
        <w:rPr>
          <w:sz w:val="20"/>
          <w:szCs w:val="20"/>
          <w:color w:val="auto"/>
        </w:rPr>
      </w:pPr>
      <w:r>
        <w:rPr>
          <w:rFonts w:ascii="Arial" w:cs="Arial" w:eastAsia="Arial" w:hAnsi="Arial"/>
          <w:sz w:val="17"/>
          <w:szCs w:val="17"/>
          <w:color w:val="auto"/>
        </w:rPr>
        <w:t>In August 2013, Arvinas, Inc. entered into a Loan Agreement (Loan) and a Stock Subscription Warrant, with Connecticut Innovations, Inc. (CII). Under the Loan, the Company can draw up to $750,000 for the purpose of purchasing laboratory equipment, information technology equipment and leasehold improvements. Leasehold improvements are limited to $100,000. Interest on the Loan is compounded on a monthly basis at a rate of 7.50% per annum and is required to be paid on a monthly basis beginning on the date of the first draw of funds for 10 months, then with principal payments beginning on June 1, 2015 and payable monthly until the maturity date of July 31, 2019. The Company</w:t>
      </w:r>
    </w:p>
    <w:p>
      <w:pPr>
        <w:spacing w:after="0" w:line="12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F-16</w:t>
      </w:r>
    </w:p>
    <w:p>
      <w:pPr>
        <w:sectPr>
          <w:pgSz w:w="11900" w:h="16838" w:orient="portrait"/>
          <w:cols w:equalWidth="0" w:num="1">
            <w:col w:w="11060"/>
          </w:cols>
          <w:pgMar w:left="240" w:top="450" w:right="599" w:bottom="1440" w:gutter="0" w:footer="0" w:header="0"/>
        </w:sectPr>
      </w:pPr>
    </w:p>
    <w:bookmarkStart w:id="217" w:name="page218"/>
    <w:bookmarkEnd w:id="2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20"/>
        <w:spacing w:after="0" w:line="247" w:lineRule="auto"/>
        <w:rPr>
          <w:sz w:val="20"/>
          <w:szCs w:val="20"/>
          <w:color w:val="auto"/>
        </w:rPr>
      </w:pPr>
      <w:r>
        <w:rPr>
          <w:rFonts w:ascii="Arial" w:cs="Arial" w:eastAsia="Arial" w:hAnsi="Arial"/>
          <w:sz w:val="17"/>
          <w:szCs w:val="17"/>
          <w:color w:val="auto"/>
        </w:rPr>
        <w:t>has the ability to prepay the amount due at any time prior to the maturity date without premium or penalty. The Loan is secured by substantially all of the Company’s assets. As of December 31, 2017, and 2016, the amount outstanding under the Loan was $343,500 and $504,863, respectively. During the years ended December 31, 2017 and 2016, interest expense on the Loan was $32,393 and $44,017, respectively.</w:t>
      </w:r>
    </w:p>
    <w:p>
      <w:pPr>
        <w:spacing w:after="0" w:line="192" w:lineRule="exact"/>
        <w:rPr>
          <w:sz w:val="20"/>
          <w:szCs w:val="20"/>
          <w:color w:val="auto"/>
        </w:rPr>
      </w:pPr>
    </w:p>
    <w:p>
      <w:pPr>
        <w:ind w:left="360" w:right="60" w:firstLine="535"/>
        <w:spacing w:after="0" w:line="243" w:lineRule="auto"/>
        <w:rPr>
          <w:sz w:val="20"/>
          <w:szCs w:val="20"/>
          <w:color w:val="auto"/>
        </w:rPr>
      </w:pPr>
      <w:r>
        <w:rPr>
          <w:rFonts w:ascii="Arial" w:cs="Arial" w:eastAsia="Arial" w:hAnsi="Arial"/>
          <w:sz w:val="17"/>
          <w:szCs w:val="17"/>
          <w:color w:val="auto"/>
        </w:rPr>
        <w:t>In connection with the issuance of the Loan, and as additional consideration, Arvinas, Inc. granted CII a warrant to purchase 110,116 shares of Arvinas, Inc. Series A Preferred Stock at a purchase price of $0.6811 per share, with a term of 7 years from the date of issuance (CII Series A Preferred Unit warrant). The fair value of the CII Series A Preferred Unit warrant of $61,796 was determined using the Black Scholes option pricing model and was recorded as a debt discount and is being amortized as non-cash interest expense over the term of the Loan. At December 31, 2017 and 2016, the total unamortized debt discount on the Loan totaled $19,569 and $31,928, respectively. Interest expense recorded related to the amortization of the debt discount in 2017 and 2016 was $12,359 and $14,860, respectively. The Company evaluated the CII Series A Preferred Unit warrant issued under authoritative guidance and determined that the CII Series A Preferred Unit warrant does not meet the conditions to be classified as equity and has classified the CII Series A Preferred Unit as a liability at fair value on the accompanying balance sheets.</w:t>
      </w:r>
    </w:p>
    <w:p>
      <w:pPr>
        <w:spacing w:after="0" w:line="198" w:lineRule="exact"/>
        <w:rPr>
          <w:sz w:val="20"/>
          <w:szCs w:val="20"/>
          <w:color w:val="auto"/>
        </w:rPr>
      </w:pPr>
    </w:p>
    <w:p>
      <w:pPr>
        <w:ind w:left="360" w:right="400" w:firstLine="535"/>
        <w:spacing w:after="0" w:line="259" w:lineRule="auto"/>
        <w:rPr>
          <w:sz w:val="20"/>
          <w:szCs w:val="20"/>
          <w:color w:val="auto"/>
        </w:rPr>
      </w:pPr>
      <w:r>
        <w:rPr>
          <w:rFonts w:ascii="Arial" w:cs="Arial" w:eastAsia="Arial" w:hAnsi="Arial"/>
          <w:sz w:val="17"/>
          <w:szCs w:val="17"/>
          <w:color w:val="auto"/>
        </w:rPr>
        <w:t>The fair value of the CII Series A Preferred Unit warrant was determined using the Black-Scholes option pricing model with the following assumptions:</w:t>
      </w:r>
    </w:p>
    <w:p>
      <w:pPr>
        <w:spacing w:after="0" w:line="197" w:lineRule="exact"/>
        <w:rPr>
          <w:sz w:val="20"/>
          <w:szCs w:val="20"/>
          <w:color w:val="auto"/>
        </w:rPr>
      </w:pPr>
    </w:p>
    <w:tbl>
      <w:tblPr>
        <w:tblLayout w:type="fixed"/>
        <w:tblInd w:w="36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6360" w:type="dxa"/>
            <w:vAlign w:val="bottom"/>
            <w:tcBorders>
              <w:bottom w:val="single" w:sz="8" w:color="CCEEFF"/>
            </w:tcBorders>
          </w:tcPr>
          <w:p>
            <w:pPr>
              <w:spacing w:after="0"/>
              <w:rPr>
                <w:sz w:val="14"/>
                <w:szCs w:val="14"/>
                <w:color w:val="auto"/>
              </w:rPr>
            </w:pPr>
          </w:p>
        </w:tc>
        <w:tc>
          <w:tcPr>
            <w:tcW w:w="26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4"/>
                <w:szCs w:val="14"/>
                <w:color w:val="auto"/>
              </w:rPr>
            </w:pPr>
          </w:p>
        </w:tc>
      </w:tr>
      <w:tr>
        <w:trPr>
          <w:trHeight w:val="190"/>
        </w:trPr>
        <w:tc>
          <w:tcPr>
            <w:tcW w:w="20" w:type="dxa"/>
            <w:vAlign w:val="bottom"/>
          </w:tcPr>
          <w:p>
            <w:pPr>
              <w:spacing w:after="0"/>
              <w:rPr>
                <w:sz w:val="16"/>
                <w:szCs w:val="16"/>
                <w:color w:val="auto"/>
              </w:rPr>
            </w:pPr>
          </w:p>
        </w:tc>
        <w:tc>
          <w:tcPr>
            <w:tcW w:w="63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Expected volatility</w:t>
            </w:r>
          </w:p>
        </w:tc>
        <w:tc>
          <w:tcPr>
            <w:tcW w:w="26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100%</w:t>
            </w:r>
          </w:p>
        </w:tc>
        <w:tc>
          <w:tcPr>
            <w:tcW w:w="2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100%</w:t>
            </w:r>
          </w:p>
        </w:tc>
      </w:tr>
      <w:tr>
        <w:trPr>
          <w:trHeight w:val="197"/>
        </w:trPr>
        <w:tc>
          <w:tcPr>
            <w:tcW w:w="20" w:type="dxa"/>
            <w:vAlign w:val="bottom"/>
          </w:tcPr>
          <w:p>
            <w:pPr>
              <w:spacing w:after="0"/>
              <w:rPr>
                <w:sz w:val="17"/>
                <w:szCs w:val="17"/>
                <w:color w:val="auto"/>
              </w:rPr>
            </w:pPr>
          </w:p>
        </w:tc>
        <w:tc>
          <w:tcPr>
            <w:tcW w:w="6360" w:type="dxa"/>
            <w:vAlign w:val="bottom"/>
          </w:tcPr>
          <w:p>
            <w:pPr>
              <w:spacing w:after="0"/>
              <w:rPr>
                <w:sz w:val="20"/>
                <w:szCs w:val="20"/>
                <w:color w:val="auto"/>
              </w:rPr>
            </w:pPr>
            <w:r>
              <w:rPr>
                <w:rFonts w:ascii="Arial" w:cs="Arial" w:eastAsia="Arial" w:hAnsi="Arial"/>
                <w:sz w:val="17"/>
                <w:szCs w:val="17"/>
                <w:color w:val="auto"/>
              </w:rPr>
              <w:t>Expected term (years)</w:t>
            </w:r>
          </w:p>
        </w:tc>
        <w:tc>
          <w:tcPr>
            <w:tcW w:w="3080" w:type="dxa"/>
            <w:vAlign w:val="bottom"/>
            <w:gridSpan w:val="2"/>
          </w:tcPr>
          <w:p>
            <w:pPr>
              <w:jc w:val="right"/>
              <w:spacing w:after="0"/>
              <w:rPr>
                <w:sz w:val="20"/>
                <w:szCs w:val="20"/>
                <w:color w:val="auto"/>
              </w:rPr>
            </w:pPr>
            <w:r>
              <w:rPr>
                <w:rFonts w:ascii="Arial" w:cs="Arial" w:eastAsia="Arial" w:hAnsi="Arial"/>
                <w:sz w:val="17"/>
                <w:szCs w:val="17"/>
                <w:color w:val="auto"/>
              </w:rPr>
              <w:t>2.67</w:t>
            </w:r>
          </w:p>
        </w:tc>
        <w:tc>
          <w:tcPr>
            <w:tcW w:w="3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3.67</w:t>
            </w:r>
          </w:p>
        </w:tc>
        <w:tc>
          <w:tcPr>
            <w:tcW w:w="20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7"/>
                <w:szCs w:val="17"/>
                <w:color w:val="auto"/>
              </w:rPr>
              <w:t>Risk free interest rate</w:t>
            </w:r>
          </w:p>
        </w:tc>
        <w:tc>
          <w:tcPr>
            <w:tcW w:w="344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1.91%</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1.57%</w:t>
            </w:r>
          </w:p>
        </w:tc>
      </w:tr>
      <w:tr>
        <w:trPr>
          <w:trHeight w:val="197"/>
        </w:trPr>
        <w:tc>
          <w:tcPr>
            <w:tcW w:w="20" w:type="dxa"/>
            <w:vAlign w:val="bottom"/>
          </w:tcPr>
          <w:p>
            <w:pPr>
              <w:spacing w:after="0"/>
              <w:rPr>
                <w:sz w:val="17"/>
                <w:szCs w:val="17"/>
                <w:color w:val="auto"/>
              </w:rPr>
            </w:pPr>
          </w:p>
        </w:tc>
        <w:tc>
          <w:tcPr>
            <w:tcW w:w="636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3440" w:type="dxa"/>
            <w:vAlign w:val="bottom"/>
            <w:gridSpan w:val="3"/>
          </w:tcPr>
          <w:p>
            <w:pPr>
              <w:jc w:val="right"/>
              <w:ind w:right="220"/>
              <w:spacing w:after="0"/>
              <w:rPr>
                <w:sz w:val="20"/>
                <w:szCs w:val="20"/>
                <w:color w:val="auto"/>
              </w:rPr>
            </w:pPr>
            <w:r>
              <w:rPr>
                <w:rFonts w:ascii="Arial" w:cs="Arial" w:eastAsia="Arial" w:hAnsi="Arial"/>
                <w:sz w:val="17"/>
                <w:szCs w:val="17"/>
                <w:color w:val="auto"/>
              </w:rPr>
              <w:t>0%</w:t>
            </w:r>
          </w:p>
        </w:tc>
        <w:tc>
          <w:tcPr>
            <w:tcW w:w="880" w:type="dxa"/>
            <w:vAlign w:val="bottom"/>
            <w:gridSpan w:val="3"/>
          </w:tcPr>
          <w:p>
            <w:pPr>
              <w:jc w:val="right"/>
              <w:ind w:right="60"/>
              <w:spacing w:after="0"/>
              <w:rPr>
                <w:sz w:val="20"/>
                <w:szCs w:val="20"/>
                <w:color w:val="auto"/>
              </w:rPr>
            </w:pPr>
            <w:r>
              <w:rPr>
                <w:rFonts w:ascii="Arial" w:cs="Arial" w:eastAsia="Arial" w:hAnsi="Arial"/>
                <w:sz w:val="17"/>
                <w:szCs w:val="17"/>
                <w:color w:val="auto"/>
              </w:rPr>
              <w:t>0%</w:t>
            </w:r>
          </w:p>
        </w:tc>
      </w:tr>
      <w:tr>
        <w:trPr>
          <w:trHeight w:val="197"/>
        </w:trPr>
        <w:tc>
          <w:tcPr>
            <w:tcW w:w="20" w:type="dxa"/>
            <w:vAlign w:val="bottom"/>
          </w:tcPr>
          <w:p>
            <w:pPr>
              <w:spacing w:after="0"/>
              <w:rPr>
                <w:sz w:val="17"/>
                <w:szCs w:val="17"/>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7"/>
                <w:szCs w:val="17"/>
                <w:color w:val="auto"/>
              </w:rPr>
              <w:t>Fair value of underlying Series A Preferred Units</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$0.98</w:t>
            </w:r>
          </w:p>
        </w:tc>
        <w:tc>
          <w:tcPr>
            <w:tcW w:w="3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$0.75</w:t>
            </w:r>
          </w:p>
        </w:tc>
        <w:tc>
          <w:tcPr>
            <w:tcW w:w="200" w:type="dxa"/>
            <w:vAlign w:val="bottom"/>
            <w:shd w:val="clear" w:color="auto" w:fill="CCEEFF"/>
          </w:tcPr>
          <w:p>
            <w:pPr>
              <w:spacing w:after="0"/>
              <w:rPr>
                <w:sz w:val="17"/>
                <w:szCs w:val="17"/>
                <w:color w:val="auto"/>
              </w:rPr>
            </w:pPr>
          </w:p>
        </w:tc>
      </w:tr>
    </w:tbl>
    <w:p>
      <w:pPr>
        <w:spacing w:after="0" w:line="209" w:lineRule="exact"/>
        <w:rPr>
          <w:sz w:val="20"/>
          <w:szCs w:val="20"/>
          <w:color w:val="auto"/>
        </w:rPr>
      </w:pPr>
    </w:p>
    <w:p>
      <w:pPr>
        <w:jc w:val="both"/>
        <w:ind w:left="360" w:right="60" w:firstLine="535"/>
        <w:spacing w:after="0" w:line="259" w:lineRule="auto"/>
        <w:rPr>
          <w:sz w:val="20"/>
          <w:szCs w:val="20"/>
          <w:color w:val="auto"/>
        </w:rPr>
      </w:pPr>
      <w:r>
        <w:rPr>
          <w:rFonts w:ascii="Arial" w:cs="Arial" w:eastAsia="Arial" w:hAnsi="Arial"/>
          <w:sz w:val="17"/>
          <w:szCs w:val="17"/>
          <w:color w:val="auto"/>
        </w:rPr>
        <w:t>Effective January 1, 2015, the CII Series A warrant to purchase shares of Arvinas, Inc. Series A preferred stock was exchanged for a warrant to purchase 110,116 units of the Company’s Series A Preferred Units.</w:t>
      </w:r>
    </w:p>
    <w:p>
      <w:pPr>
        <w:spacing w:after="0" w:line="18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Anticipated future minimum payments on long-term debt, excluding the discount on debt of $19,569, for the years ending</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December 31 are:</w:t>
      </w:r>
    </w:p>
    <w:p>
      <w:pPr>
        <w:spacing w:after="0" w:line="237" w:lineRule="exact"/>
        <w:rPr>
          <w:sz w:val="20"/>
          <w:szCs w:val="20"/>
          <w:color w:val="auto"/>
        </w:rPr>
      </w:pPr>
    </w:p>
    <w:tbl>
      <w:tblPr>
        <w:tblLayout w:type="fixed"/>
        <w:tblInd w:w="3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2018</w:t>
            </w:r>
          </w:p>
        </w:tc>
        <w:tc>
          <w:tcPr>
            <w:tcW w:w="5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$173,890</w:t>
            </w:r>
          </w:p>
        </w:tc>
        <w:tc>
          <w:tcPr>
            <w:tcW w:w="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Arial" w:cs="Arial" w:eastAsia="Arial" w:hAnsi="Arial"/>
                <w:sz w:val="17"/>
                <w:szCs w:val="17"/>
                <w:color w:val="auto"/>
              </w:rPr>
              <w:t>2019</w:t>
            </w:r>
          </w:p>
        </w:tc>
        <w:tc>
          <w:tcPr>
            <w:tcW w:w="476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169,610</w:t>
            </w:r>
          </w:p>
        </w:tc>
        <w:tc>
          <w:tcPr>
            <w:tcW w:w="4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55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343,500</w:t>
            </w:r>
          </w:p>
        </w:tc>
        <w:tc>
          <w:tcPr>
            <w:tcW w:w="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2" w:lineRule="exact"/>
        <w:rPr>
          <w:sz w:val="20"/>
          <w:szCs w:val="20"/>
          <w:color w:val="auto"/>
        </w:rPr>
      </w:pPr>
    </w:p>
    <w:p>
      <w:pPr>
        <w:ind w:left="360" w:right="60" w:firstLine="535"/>
        <w:spacing w:after="0" w:line="243" w:lineRule="auto"/>
        <w:rPr>
          <w:sz w:val="20"/>
          <w:szCs w:val="20"/>
          <w:color w:val="auto"/>
        </w:rPr>
      </w:pPr>
      <w:r>
        <w:rPr>
          <w:rFonts w:ascii="Arial" w:cs="Arial" w:eastAsia="Arial" w:hAnsi="Arial"/>
          <w:sz w:val="17"/>
          <w:szCs w:val="17"/>
          <w:color w:val="auto"/>
        </w:rPr>
        <w:t>In January 2014, Arvinas, Inc. entered into an Assistance Agreement with the State of Connecticut (Assistance Agreement) to initially borrow $ 2.5 million. Under the terms of the Assistance Agreement, the Company can borrow from the State of Connecticut if it meets minimum financing criteria and creates a minimum number of full time jobs in the State of Connecticut in three separate tranches. Each of the three tranches was forgivable if the Company maintained a minimum number of full time jobs in the State of Connecticut for a minimum period at the minimum annual salary as defined in the Assistance Agreement. The note bears an interest rate of 1.00% per annum and interest payments are required on a monthly basis for 60 months. On the 61</w:t>
      </w:r>
      <w:r>
        <w:rPr>
          <w:rFonts w:ascii="Arial" w:cs="Arial" w:eastAsia="Arial" w:hAnsi="Arial"/>
          <w:sz w:val="14"/>
          <w:szCs w:val="14"/>
          <w:color w:val="auto"/>
        </w:rPr>
        <w:t>st</w:t>
      </w:r>
      <w:r>
        <w:rPr>
          <w:rFonts w:ascii="Arial" w:cs="Arial" w:eastAsia="Arial" w:hAnsi="Arial"/>
          <w:sz w:val="17"/>
          <w:szCs w:val="17"/>
          <w:color w:val="auto"/>
        </w:rPr>
        <w:t xml:space="preserve"> month, the note begins to fully amortize through month 120, with a maturity date in February 2024. At December 31, 2015, the amount outstanding under the Assistance Agreement was $1 million. In March 2016, the $1 million outstanding amount under the Assistance Agreement was forgiven as the Company met its minimum job requirements. The amount forgiven was recorded as a component of other income in the consolidated statements of operations, as it is reasonably assured that the Company will comply with</w:t>
      </w:r>
    </w:p>
    <w:p>
      <w:pPr>
        <w:spacing w:after="0" w:line="131"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F-17</w:t>
      </w:r>
    </w:p>
    <w:p>
      <w:pPr>
        <w:sectPr>
          <w:pgSz w:w="11900" w:h="16838" w:orient="portrait"/>
          <w:cols w:equalWidth="0" w:num="1">
            <w:col w:w="11060"/>
          </w:cols>
          <w:pgMar w:left="240" w:top="450" w:right="599" w:bottom="1440" w:gutter="0" w:footer="0" w:header="0"/>
        </w:sectPr>
      </w:pPr>
    </w:p>
    <w:bookmarkStart w:id="218" w:name="page219"/>
    <w:bookmarkEnd w:id="2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260"/>
        <w:spacing w:after="0" w:line="250" w:lineRule="auto"/>
        <w:rPr>
          <w:sz w:val="20"/>
          <w:szCs w:val="20"/>
          <w:color w:val="auto"/>
        </w:rPr>
      </w:pPr>
      <w:r>
        <w:rPr>
          <w:rFonts w:ascii="Arial" w:cs="Arial" w:eastAsia="Arial" w:hAnsi="Arial"/>
          <w:sz w:val="17"/>
          <w:szCs w:val="17"/>
          <w:color w:val="auto"/>
        </w:rPr>
        <w:t>the location requirement. During the year ended December 31, 2016, interest expense on the Assistance Agreement was $2,535. The Assistance Agreement requires that the Company be located in the State of Connecticut through January 2024 with a default penalty of repayment of the full original funding amount of $2.5 million plus liquidated damages of 7.5%.</w:t>
      </w:r>
    </w:p>
    <w:p>
      <w:pPr>
        <w:spacing w:after="0" w:line="274" w:lineRule="exact"/>
        <w:rPr>
          <w:sz w:val="20"/>
          <w:szCs w:val="20"/>
          <w:color w:val="auto"/>
        </w:rPr>
      </w:pPr>
    </w:p>
    <w:p>
      <w:pPr>
        <w:ind w:left="900" w:right="8920" w:hanging="535"/>
        <w:spacing w:after="0" w:line="382" w:lineRule="auto"/>
        <w:tabs>
          <w:tab w:leader="none" w:pos="559" w:val="left"/>
        </w:tabs>
        <w:numPr>
          <w:ilvl w:val="0"/>
          <w:numId w:val="12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Members’ Equity Common Units</w:t>
      </w:r>
    </w:p>
    <w:p>
      <w:pPr>
        <w:spacing w:after="0" w:line="1" w:lineRule="exact"/>
        <w:rPr>
          <w:sz w:val="20"/>
          <w:szCs w:val="20"/>
          <w:color w:val="auto"/>
        </w:rPr>
      </w:pPr>
    </w:p>
    <w:p>
      <w:pPr>
        <w:ind w:left="360" w:right="160" w:firstLine="535"/>
        <w:spacing w:after="0" w:line="259" w:lineRule="auto"/>
        <w:rPr>
          <w:sz w:val="20"/>
          <w:szCs w:val="20"/>
          <w:color w:val="auto"/>
        </w:rPr>
      </w:pPr>
      <w:r>
        <w:rPr>
          <w:rFonts w:ascii="Arial" w:cs="Arial" w:eastAsia="Arial" w:hAnsi="Arial"/>
          <w:sz w:val="17"/>
          <w:szCs w:val="17"/>
          <w:color w:val="auto"/>
        </w:rPr>
        <w:t>In January 2015, all issued and outstanding common stock in Arvinas, Inc. was exchanged on a 1-for-1 basis for common units of Arvinas LLC. Each common unit entitles the holder to one vote on all matters submitted to a vote of the Company’s members.</w:t>
      </w:r>
    </w:p>
    <w:p>
      <w:pPr>
        <w:spacing w:after="0" w:line="266"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Preferred Units</w:t>
      </w:r>
    </w:p>
    <w:p>
      <w:pPr>
        <w:spacing w:after="0" w:line="126" w:lineRule="exact"/>
        <w:rPr>
          <w:sz w:val="20"/>
          <w:szCs w:val="20"/>
          <w:color w:val="auto"/>
        </w:rPr>
      </w:pPr>
    </w:p>
    <w:p>
      <w:pPr>
        <w:ind w:left="360" w:right="40" w:firstLine="535"/>
        <w:spacing w:after="0" w:line="247" w:lineRule="auto"/>
        <w:rPr>
          <w:sz w:val="20"/>
          <w:szCs w:val="20"/>
          <w:color w:val="auto"/>
        </w:rPr>
      </w:pPr>
      <w:r>
        <w:rPr>
          <w:rFonts w:ascii="Arial" w:cs="Arial" w:eastAsia="Arial" w:hAnsi="Arial"/>
          <w:sz w:val="17"/>
          <w:szCs w:val="17"/>
          <w:color w:val="auto"/>
        </w:rPr>
        <w:t>During 2013 and 2014, Arvinas, Inc. sold 22,463,665 shares of Series A Redeemable Convertible Preferred Stock (Series A Preferred Stock) for $15.3 million at a price of $0.6811 per share. The Series A Preferred Stock was subsequently exchanged for Series A Preferred Units in Arvinas LLC upon the reorganization. During 2015, the Company sold 24,977,489 Series B Redeemable Convertible Preferred Units (Series B Preferred Units) in exchange for $41.6 million at a price of $1.6659 per share.</w:t>
      </w:r>
    </w:p>
    <w:p>
      <w:pPr>
        <w:spacing w:after="0" w:line="192" w:lineRule="exact"/>
        <w:rPr>
          <w:sz w:val="20"/>
          <w:szCs w:val="20"/>
          <w:color w:val="auto"/>
        </w:rPr>
      </w:pPr>
    </w:p>
    <w:p>
      <w:pPr>
        <w:ind w:left="360" w:right="20" w:firstLine="535"/>
        <w:spacing w:after="0" w:line="245" w:lineRule="auto"/>
        <w:rPr>
          <w:sz w:val="20"/>
          <w:szCs w:val="20"/>
          <w:color w:val="auto"/>
        </w:rPr>
      </w:pPr>
      <w:r>
        <w:rPr>
          <w:rFonts w:ascii="Arial" w:cs="Arial" w:eastAsia="Arial" w:hAnsi="Arial"/>
          <w:sz w:val="17"/>
          <w:szCs w:val="17"/>
          <w:color w:val="auto"/>
        </w:rPr>
        <w:t>In connection with the issuance of Series A and Series B Preferred Units to CII, the Company was required to enter into a Put Agreement. The Put Agreement with CII provides for the proceeds from CII’s investment in Preferred Units to be paid back to CII at the put price, as defined in the agreement. The Put Agreement is only exercisable upon the Company’s breach of the covenant which requires it to maintain a Connecticut presence, as defined within the Put Agreement. The put option represents another potential redemption feature for CII. As CII’s ability to exercise this redemption feature is within control of the Company, redemption under this feature has been deemed to be not probable at this time.</w:t>
      </w:r>
    </w:p>
    <w:p>
      <w:pPr>
        <w:spacing w:after="0" w:line="19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Series A and Series B Preferred Units (collectively, the Preferred Units) have the following rights, preferences and privileges:</w:t>
      </w:r>
    </w:p>
    <w:p>
      <w:pPr>
        <w:spacing w:after="0" w:line="298"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Conversion Rights</w:t>
      </w:r>
    </w:p>
    <w:p>
      <w:pPr>
        <w:spacing w:after="0" w:line="124" w:lineRule="exact"/>
        <w:rPr>
          <w:sz w:val="20"/>
          <w:szCs w:val="20"/>
          <w:color w:val="auto"/>
        </w:rPr>
      </w:pPr>
    </w:p>
    <w:p>
      <w:pPr>
        <w:ind w:left="360" w:firstLine="535"/>
        <w:spacing w:after="0" w:line="243" w:lineRule="auto"/>
        <w:rPr>
          <w:sz w:val="20"/>
          <w:szCs w:val="20"/>
          <w:color w:val="auto"/>
        </w:rPr>
      </w:pPr>
      <w:r>
        <w:rPr>
          <w:rFonts w:ascii="Arial" w:cs="Arial" w:eastAsia="Arial" w:hAnsi="Arial"/>
          <w:sz w:val="17"/>
          <w:szCs w:val="17"/>
          <w:color w:val="auto"/>
        </w:rPr>
        <w:t>At the option of the holder, each Preferred Unit is convertible into common units at any time after the date of issuance. The initial conversion price is equal to the original Series A Preferred Unit issue price of $0.6811 per unit and Series B Preferred Unit issue price of $1.6659 and is subject to adjustment as disclosed in the amended and restated operating agreement. Each Preferred Unit will automatically convert into common units at an applicable conversion rate upon the earlier of (i) the sale of the Company’s common units in a public offering which is not less than $3.34 per unit and which results in gross cash proceeds of at least $30 million, or (ii) the date specified by written consent or agreement of 66.67% of the outstanding Preferred Units. The Company has concluded that the embedded feature would not be accounted for separately as the economic characteristics and risks of the embedded conversion feature are clearly and closely related to the economic characteristics and risks of the host contract, the Preferred Units, given that both represent equity interests in the Company. Effective with the series C financing discussed in Note 15, the threshold for the automatic conversion on the sale of the Company’s common units in a public offering increased to at least $70.0 million.</w:t>
      </w:r>
    </w:p>
    <w:p>
      <w:pPr>
        <w:spacing w:after="0" w:line="284"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Voting Rights</w:t>
      </w:r>
    </w:p>
    <w:p>
      <w:pPr>
        <w:spacing w:after="0" w:line="124" w:lineRule="exact"/>
        <w:rPr>
          <w:sz w:val="20"/>
          <w:szCs w:val="20"/>
          <w:color w:val="auto"/>
        </w:rPr>
      </w:pPr>
    </w:p>
    <w:p>
      <w:pPr>
        <w:ind w:left="360" w:right="140" w:firstLine="535"/>
        <w:spacing w:after="0" w:line="259" w:lineRule="auto"/>
        <w:rPr>
          <w:sz w:val="20"/>
          <w:szCs w:val="20"/>
          <w:color w:val="auto"/>
        </w:rPr>
      </w:pPr>
      <w:r>
        <w:rPr>
          <w:rFonts w:ascii="Arial" w:cs="Arial" w:eastAsia="Arial" w:hAnsi="Arial"/>
          <w:sz w:val="17"/>
          <w:szCs w:val="17"/>
          <w:color w:val="auto"/>
        </w:rPr>
        <w:t>The holders of Preferred Units are entitled to the same voting rights as the holders of common units, with a number of votes equal to the number of common units into which such Preferred Units</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F-18</w:t>
      </w:r>
    </w:p>
    <w:p>
      <w:pPr>
        <w:sectPr>
          <w:pgSz w:w="11900" w:h="16838" w:orient="portrait"/>
          <w:cols w:equalWidth="0" w:num="1">
            <w:col w:w="11060"/>
          </w:cols>
          <w:pgMar w:left="240" w:top="450" w:right="599" w:bottom="1440" w:gutter="0" w:footer="0" w:header="0"/>
        </w:sectPr>
      </w:pPr>
    </w:p>
    <w:bookmarkStart w:id="219" w:name="page220"/>
    <w:bookmarkEnd w:id="2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300"/>
        <w:spacing w:after="0" w:line="250" w:lineRule="auto"/>
        <w:rPr>
          <w:sz w:val="20"/>
          <w:szCs w:val="20"/>
          <w:color w:val="auto"/>
        </w:rPr>
      </w:pPr>
      <w:r>
        <w:rPr>
          <w:rFonts w:ascii="Arial" w:cs="Arial" w:eastAsia="Arial" w:hAnsi="Arial"/>
          <w:sz w:val="17"/>
          <w:szCs w:val="17"/>
          <w:color w:val="auto"/>
        </w:rPr>
        <w:t>could be converted. The holders of a majority of the then outstanding Preferred Units shall have the right to vote upon any matter submitted to the shareholders for a vote. Certain matters, prior to being able to be undertaken by the Company, require the approval of 66.67% of the holders of the Preferred Units, voting as a separate class.</w:t>
      </w:r>
    </w:p>
    <w:p>
      <w:pPr>
        <w:spacing w:after="0" w:line="276"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Dividends</w:t>
      </w:r>
    </w:p>
    <w:p>
      <w:pPr>
        <w:spacing w:after="0" w:line="124" w:lineRule="exact"/>
        <w:rPr>
          <w:sz w:val="20"/>
          <w:szCs w:val="20"/>
          <w:color w:val="auto"/>
        </w:rPr>
      </w:pPr>
    </w:p>
    <w:p>
      <w:pPr>
        <w:ind w:left="360" w:right="220" w:firstLine="535"/>
        <w:spacing w:after="0" w:line="250" w:lineRule="auto"/>
        <w:rPr>
          <w:sz w:val="20"/>
          <w:szCs w:val="20"/>
          <w:color w:val="auto"/>
        </w:rPr>
      </w:pPr>
      <w:r>
        <w:rPr>
          <w:rFonts w:ascii="Arial" w:cs="Arial" w:eastAsia="Arial" w:hAnsi="Arial"/>
          <w:sz w:val="17"/>
          <w:szCs w:val="17"/>
          <w:color w:val="auto"/>
        </w:rPr>
        <w:t>The holders of Preferred Units are entitled to receive non-cumulating dividends if declared by the board of managers, at a rate of 8% of the original per unit price per annum, payable upon a liquidation event or upon redemption, in preference and priority to any payment of dividends on common units. No dividends have been declared as of December 31, 2017 and 2016.</w:t>
      </w:r>
    </w:p>
    <w:p>
      <w:pPr>
        <w:spacing w:after="0" w:line="276"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Redemption Rights</w:t>
      </w:r>
    </w:p>
    <w:p>
      <w:pPr>
        <w:spacing w:after="0" w:line="124" w:lineRule="exact"/>
        <w:rPr>
          <w:sz w:val="20"/>
          <w:szCs w:val="20"/>
          <w:color w:val="auto"/>
        </w:rPr>
      </w:pPr>
    </w:p>
    <w:p>
      <w:pPr>
        <w:ind w:left="360" w:firstLine="535"/>
        <w:spacing w:after="0" w:line="244" w:lineRule="auto"/>
        <w:rPr>
          <w:sz w:val="20"/>
          <w:szCs w:val="20"/>
          <w:color w:val="auto"/>
        </w:rPr>
      </w:pPr>
      <w:r>
        <w:rPr>
          <w:rFonts w:ascii="Arial" w:cs="Arial" w:eastAsia="Arial" w:hAnsi="Arial"/>
          <w:sz w:val="17"/>
          <w:szCs w:val="17"/>
          <w:color w:val="auto"/>
        </w:rPr>
        <w:t>The Preferred Units are redeemable at the option of the holders of at least 66.67% of the Preferred Units, voting together as a single class after October 1, 2019. The redemption price equals an amount per Preferred Unit of any series equal to the greater of (A) the Preference Amount, as defined in the agreement, of such series of Preferred Unit and (B) the fair market value of such series of Preferred Unit as determined in good faith by the board. As the units are redeemable, the Company records at redemption value each reporting period. The Company must, therefore, measure the fair value of the preferred units each reporting period to determine the greater of the two potential redemption values as defined above. Fair value is determined each period based on unobservable inputs and management’s judgment due to the absence of quoted market prices, inherent lack of liquidity and the long-term nature of such financial instruments. The valuation is based on market approach utilizing the subject company transaction method.</w:t>
      </w:r>
    </w:p>
    <w:p>
      <w:pPr>
        <w:spacing w:after="0" w:line="280"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Liquidation</w:t>
      </w:r>
    </w:p>
    <w:p>
      <w:pPr>
        <w:spacing w:after="0" w:line="124" w:lineRule="exact"/>
        <w:rPr>
          <w:sz w:val="20"/>
          <w:szCs w:val="20"/>
          <w:color w:val="auto"/>
        </w:rPr>
      </w:pPr>
    </w:p>
    <w:p>
      <w:pPr>
        <w:ind w:left="360" w:firstLine="535"/>
        <w:spacing w:after="0" w:line="244" w:lineRule="auto"/>
        <w:rPr>
          <w:sz w:val="20"/>
          <w:szCs w:val="20"/>
          <w:color w:val="auto"/>
        </w:rPr>
      </w:pPr>
      <w:r>
        <w:rPr>
          <w:rFonts w:ascii="Arial" w:cs="Arial" w:eastAsia="Arial" w:hAnsi="Arial"/>
          <w:sz w:val="17"/>
          <w:szCs w:val="17"/>
          <w:color w:val="auto"/>
        </w:rPr>
        <w:t>In the event of a liquidation, dissolution or winding-up of the Company, the holders of the Preferred Units are entitled to receive, in preference to the holders of the common units and the incentive units, an amount equal to the original issue price, plus accrued but unpaid dividends. If funds are insufficient to pay the amount due, all proceeds shall be distributed ratably to the respective amounts which would otherwise be payable in respect of the units held by them upon such distribution if all amounts payable with respect to such preferred units were paid in full. After payment of all preferential amounts to the holders of Preferred Units, all remaining funds shall be distributed pro rata to the holders of common units and Preferred Units as if the units of Preferred Units had been converted to common units prior to the distribution.</w:t>
      </w:r>
    </w:p>
    <w:p>
      <w:pPr>
        <w:spacing w:after="0" w:line="282"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Anti-Dilution Provisions</w:t>
      </w:r>
    </w:p>
    <w:p>
      <w:pPr>
        <w:spacing w:after="0" w:line="124" w:lineRule="exact"/>
        <w:rPr>
          <w:sz w:val="20"/>
          <w:szCs w:val="20"/>
          <w:color w:val="auto"/>
        </w:rPr>
      </w:pPr>
    </w:p>
    <w:p>
      <w:pPr>
        <w:ind w:left="360" w:right="60" w:firstLine="535"/>
        <w:spacing w:after="0" w:line="250" w:lineRule="auto"/>
        <w:rPr>
          <w:sz w:val="20"/>
          <w:szCs w:val="20"/>
          <w:color w:val="auto"/>
        </w:rPr>
      </w:pPr>
      <w:r>
        <w:rPr>
          <w:rFonts w:ascii="Arial" w:cs="Arial" w:eastAsia="Arial" w:hAnsi="Arial"/>
          <w:sz w:val="17"/>
          <w:szCs w:val="17"/>
          <w:color w:val="auto"/>
        </w:rPr>
        <w:t>In the event that the Company makes adjustments for stock dividends, splits, combinations or other similar events or issues additional securities at a purchase price less than current Preferred Units conversion prices, the Preferred Units’ conversion price shall be adjusted in accordance with weighted average formulas, as defined in the agreements.</w:t>
      </w:r>
    </w:p>
    <w:p>
      <w:pPr>
        <w:spacing w:after="0" w:line="274"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10. Incentive Unit Plan</w:t>
      </w:r>
    </w:p>
    <w:p>
      <w:pPr>
        <w:spacing w:after="0" w:line="126" w:lineRule="exact"/>
        <w:rPr>
          <w:sz w:val="20"/>
          <w:szCs w:val="20"/>
          <w:color w:val="auto"/>
        </w:rPr>
      </w:pPr>
    </w:p>
    <w:p>
      <w:pPr>
        <w:ind w:left="360" w:firstLine="535"/>
        <w:spacing w:after="0" w:line="250" w:lineRule="auto"/>
        <w:rPr>
          <w:sz w:val="20"/>
          <w:szCs w:val="20"/>
          <w:color w:val="auto"/>
        </w:rPr>
      </w:pPr>
      <w:r>
        <w:rPr>
          <w:rFonts w:ascii="Arial" w:cs="Arial" w:eastAsia="Arial" w:hAnsi="Arial"/>
          <w:sz w:val="17"/>
          <w:szCs w:val="17"/>
          <w:color w:val="auto"/>
        </w:rPr>
        <w:t>In the third amendment to the Company’s Plan adopted in September 2017, the Company is authorized to issue up to an aggregate of 3,852,092 incentive units pursuant to the Plan. Generally, incentive units are granted at no less than fair value as determined by the board of managers, and have vesting periods ranging from one to four years.</w:t>
      </w:r>
    </w:p>
    <w:p>
      <w:pPr>
        <w:spacing w:after="0" w:line="189" w:lineRule="exact"/>
        <w:rPr>
          <w:sz w:val="20"/>
          <w:szCs w:val="20"/>
          <w:color w:val="auto"/>
        </w:rPr>
      </w:pPr>
    </w:p>
    <w:p>
      <w:pPr>
        <w:ind w:left="360" w:right="380" w:firstLine="535"/>
        <w:spacing w:after="0" w:line="259" w:lineRule="auto"/>
        <w:rPr>
          <w:sz w:val="20"/>
          <w:szCs w:val="20"/>
          <w:color w:val="auto"/>
        </w:rPr>
      </w:pPr>
      <w:r>
        <w:rPr>
          <w:rFonts w:ascii="Arial" w:cs="Arial" w:eastAsia="Arial" w:hAnsi="Arial"/>
          <w:sz w:val="17"/>
          <w:szCs w:val="17"/>
          <w:color w:val="auto"/>
        </w:rPr>
        <w:t>During 2017, the Company granted 1,150,845 incentive units to employees under the Plan. The weighted average fair value of incentive units granted to employees during 2017 was $0.46 per unit.</w:t>
      </w:r>
    </w:p>
    <w:p>
      <w:pPr>
        <w:spacing w:after="0" w:line="11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F-19</w:t>
      </w:r>
    </w:p>
    <w:p>
      <w:pPr>
        <w:sectPr>
          <w:pgSz w:w="11900" w:h="16838" w:orient="portrait"/>
          <w:cols w:equalWidth="0" w:num="1">
            <w:col w:w="11040"/>
          </w:cols>
          <w:pgMar w:left="240" w:top="450" w:right="619" w:bottom="1440" w:gutter="0" w:footer="0" w:header="0"/>
        </w:sectPr>
      </w:pPr>
    </w:p>
    <w:bookmarkStart w:id="220" w:name="page221"/>
    <w:bookmarkEnd w:id="2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jc w:val="both"/>
        <w:ind w:left="360" w:right="300" w:firstLine="535"/>
        <w:spacing w:after="0" w:line="250" w:lineRule="auto"/>
        <w:rPr>
          <w:sz w:val="20"/>
          <w:szCs w:val="20"/>
          <w:color w:val="auto"/>
        </w:rPr>
      </w:pPr>
      <w:r>
        <w:rPr>
          <w:rFonts w:ascii="Arial" w:cs="Arial" w:eastAsia="Arial" w:hAnsi="Arial"/>
          <w:sz w:val="17"/>
          <w:szCs w:val="17"/>
          <w:color w:val="auto"/>
        </w:rPr>
        <w:t>During 2017, the Company recognized compensation expense of $185,075 relating to the issuance of employee incentive units, and at December 31, 2017, there was $317,235 of compensation expense that is expected to be recognized over a weighted average period of approximately two years.</w:t>
      </w:r>
    </w:p>
    <w:p>
      <w:pPr>
        <w:spacing w:after="0" w:line="189" w:lineRule="exact"/>
        <w:rPr>
          <w:sz w:val="20"/>
          <w:szCs w:val="20"/>
          <w:color w:val="auto"/>
        </w:rPr>
      </w:pPr>
    </w:p>
    <w:p>
      <w:pPr>
        <w:jc w:val="both"/>
        <w:ind w:left="360" w:right="120" w:firstLine="535"/>
        <w:spacing w:after="0" w:line="250" w:lineRule="auto"/>
        <w:rPr>
          <w:sz w:val="20"/>
          <w:szCs w:val="20"/>
          <w:color w:val="auto"/>
        </w:rPr>
      </w:pPr>
      <w:r>
        <w:rPr>
          <w:rFonts w:ascii="Arial" w:cs="Arial" w:eastAsia="Arial" w:hAnsi="Arial"/>
          <w:sz w:val="17"/>
          <w:szCs w:val="17"/>
          <w:color w:val="auto"/>
        </w:rPr>
        <w:t>During 2017, the Company did not grant any incentive units to consultants under the Plan. During 2017, the Company recognized compensation expense of $59,973 relating to previously issued consultant incentive units and, at December 31, 2017, there was $14,605 of compensation expense remaining to be amortized over a weighted average period of less than one year.</w:t>
      </w:r>
    </w:p>
    <w:p>
      <w:pPr>
        <w:spacing w:after="0" w:line="189" w:lineRule="exact"/>
        <w:rPr>
          <w:sz w:val="20"/>
          <w:szCs w:val="20"/>
          <w:color w:val="auto"/>
        </w:rPr>
      </w:pPr>
    </w:p>
    <w:p>
      <w:pPr>
        <w:ind w:left="360" w:right="640" w:firstLine="535"/>
        <w:spacing w:after="0" w:line="259" w:lineRule="auto"/>
        <w:rPr>
          <w:sz w:val="20"/>
          <w:szCs w:val="20"/>
          <w:color w:val="auto"/>
        </w:rPr>
      </w:pPr>
      <w:r>
        <w:rPr>
          <w:rFonts w:ascii="Arial" w:cs="Arial" w:eastAsia="Arial" w:hAnsi="Arial"/>
          <w:sz w:val="17"/>
          <w:szCs w:val="17"/>
          <w:color w:val="auto"/>
        </w:rPr>
        <w:t>The fair value of the incentive units granted was determined using the Black-Scholes option pricing model with the following assumptions:</w:t>
      </w:r>
    </w:p>
    <w:p>
      <w:pPr>
        <w:spacing w:after="0" w:line="197" w:lineRule="exact"/>
        <w:rPr>
          <w:sz w:val="20"/>
          <w:szCs w:val="20"/>
          <w:color w:val="auto"/>
        </w:rPr>
      </w:pPr>
    </w:p>
    <w:tbl>
      <w:tblPr>
        <w:tblLayout w:type="fixed"/>
        <w:tblInd w:w="36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3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b w:val="1"/>
                <w:bCs w:val="1"/>
                <w:color w:val="auto"/>
                <w:w w:val="96"/>
              </w:rPr>
              <w:t>2017</w:t>
            </w:r>
          </w:p>
        </w:tc>
        <w:tc>
          <w:tcPr>
            <w:tcW w:w="2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37"/>
              <w:spacing w:after="0"/>
              <w:rPr>
                <w:sz w:val="20"/>
                <w:szCs w:val="20"/>
                <w:color w:val="auto"/>
              </w:rPr>
            </w:pPr>
            <w:r>
              <w:rPr>
                <w:rFonts w:ascii="Arial" w:cs="Arial" w:eastAsia="Arial" w:hAnsi="Arial"/>
                <w:sz w:val="14"/>
                <w:szCs w:val="14"/>
                <w:b w:val="1"/>
                <w:bCs w:val="1"/>
                <w:color w:val="auto"/>
              </w:rPr>
              <w:t>2016</w:t>
            </w:r>
          </w:p>
        </w:tc>
      </w:tr>
      <w:tr>
        <w:trPr>
          <w:trHeight w:val="190"/>
        </w:trPr>
        <w:tc>
          <w:tcPr>
            <w:tcW w:w="20" w:type="dxa"/>
            <w:vAlign w:val="bottom"/>
          </w:tcPr>
          <w:p>
            <w:pPr>
              <w:spacing w:after="0"/>
              <w:rPr>
                <w:sz w:val="16"/>
                <w:szCs w:val="16"/>
                <w:color w:val="auto"/>
              </w:rPr>
            </w:pPr>
          </w:p>
        </w:tc>
        <w:tc>
          <w:tcPr>
            <w:tcW w:w="8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Expected volatility</w:t>
            </w:r>
          </w:p>
        </w:tc>
        <w:tc>
          <w:tcPr>
            <w:tcW w:w="3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75</w:t>
            </w:r>
          </w:p>
        </w:tc>
        <w:tc>
          <w:tcPr>
            <w:tcW w:w="680" w:type="dxa"/>
            <w:vAlign w:val="bottom"/>
            <w:shd w:val="clear" w:color="auto" w:fill="CCEEFF"/>
          </w:tcPr>
          <w:p>
            <w:pPr>
              <w:ind w:left="40"/>
              <w:spacing w:after="0" w:line="189" w:lineRule="exact"/>
              <w:rPr>
                <w:sz w:val="20"/>
                <w:szCs w:val="20"/>
                <w:color w:val="auto"/>
              </w:rPr>
            </w:pPr>
            <w:r>
              <w:rPr>
                <w:rFonts w:ascii="Arial" w:cs="Arial" w:eastAsia="Arial" w:hAnsi="Arial"/>
                <w:sz w:val="17"/>
                <w:szCs w:val="17"/>
                <w:color w:val="auto"/>
              </w:rPr>
              <w:t>– 80%</w:t>
            </w: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75</w:t>
            </w:r>
          </w:p>
        </w:tc>
        <w:tc>
          <w:tcPr>
            <w:tcW w:w="740" w:type="dxa"/>
            <w:vAlign w:val="bottom"/>
            <w:shd w:val="clear" w:color="auto" w:fill="CCEEFF"/>
          </w:tcPr>
          <w:p>
            <w:pPr>
              <w:ind w:left="40"/>
              <w:spacing w:after="0" w:line="189" w:lineRule="exact"/>
              <w:rPr>
                <w:sz w:val="20"/>
                <w:szCs w:val="20"/>
                <w:color w:val="auto"/>
              </w:rPr>
            </w:pPr>
            <w:r>
              <w:rPr>
                <w:rFonts w:ascii="Arial" w:cs="Arial" w:eastAsia="Arial" w:hAnsi="Arial"/>
                <w:sz w:val="17"/>
                <w:szCs w:val="17"/>
                <w:color w:val="auto"/>
              </w:rPr>
              <w:t>– 80%</w:t>
            </w:r>
          </w:p>
        </w:tc>
      </w:tr>
      <w:tr>
        <w:trPr>
          <w:trHeight w:val="197"/>
        </w:trPr>
        <w:tc>
          <w:tcPr>
            <w:tcW w:w="20" w:type="dxa"/>
            <w:vAlign w:val="bottom"/>
          </w:tcPr>
          <w:p>
            <w:pPr>
              <w:spacing w:after="0"/>
              <w:rPr>
                <w:sz w:val="17"/>
                <w:szCs w:val="17"/>
                <w:color w:val="auto"/>
              </w:rPr>
            </w:pPr>
          </w:p>
        </w:tc>
        <w:tc>
          <w:tcPr>
            <w:tcW w:w="8320" w:type="dxa"/>
            <w:vAlign w:val="bottom"/>
          </w:tcPr>
          <w:p>
            <w:pPr>
              <w:spacing w:after="0"/>
              <w:rPr>
                <w:sz w:val="20"/>
                <w:szCs w:val="20"/>
                <w:color w:val="auto"/>
              </w:rPr>
            </w:pPr>
            <w:r>
              <w:rPr>
                <w:rFonts w:ascii="Arial" w:cs="Arial" w:eastAsia="Arial" w:hAnsi="Arial"/>
                <w:sz w:val="17"/>
                <w:szCs w:val="17"/>
                <w:color w:val="auto"/>
              </w:rPr>
              <w:t>Expected term (years)</w:t>
            </w:r>
          </w:p>
        </w:tc>
        <w:tc>
          <w:tcPr>
            <w:tcW w:w="1200" w:type="dxa"/>
            <w:vAlign w:val="bottom"/>
            <w:gridSpan w:val="3"/>
          </w:tcPr>
          <w:p>
            <w:pPr>
              <w:jc w:val="center"/>
              <w:ind w:right="200"/>
              <w:spacing w:after="0"/>
              <w:rPr>
                <w:sz w:val="20"/>
                <w:szCs w:val="20"/>
                <w:color w:val="auto"/>
              </w:rPr>
            </w:pPr>
            <w:r>
              <w:rPr>
                <w:rFonts w:ascii="Arial" w:cs="Arial" w:eastAsia="Arial" w:hAnsi="Arial"/>
                <w:sz w:val="17"/>
                <w:szCs w:val="17"/>
                <w:color w:val="auto"/>
              </w:rPr>
              <w:t>1.5 – 6.1</w:t>
            </w:r>
          </w:p>
        </w:tc>
        <w:tc>
          <w:tcPr>
            <w:tcW w:w="1160" w:type="dxa"/>
            <w:vAlign w:val="bottom"/>
            <w:gridSpan w:val="2"/>
          </w:tcPr>
          <w:p>
            <w:pPr>
              <w:jc w:val="center"/>
              <w:spacing w:after="0"/>
              <w:rPr>
                <w:sz w:val="20"/>
                <w:szCs w:val="20"/>
                <w:color w:val="auto"/>
              </w:rPr>
            </w:pPr>
            <w:r>
              <w:rPr>
                <w:rFonts w:ascii="Arial" w:cs="Arial" w:eastAsia="Arial" w:hAnsi="Arial"/>
                <w:sz w:val="17"/>
                <w:szCs w:val="17"/>
                <w:color w:val="auto"/>
              </w:rPr>
              <w:t>5.3 – 9.7</w:t>
            </w:r>
          </w:p>
        </w:tc>
      </w:tr>
      <w:tr>
        <w:trPr>
          <w:trHeight w:val="197"/>
        </w:trPr>
        <w:tc>
          <w:tcPr>
            <w:tcW w:w="20" w:type="dxa"/>
            <w:vAlign w:val="bottom"/>
          </w:tcPr>
          <w:p>
            <w:pPr>
              <w:spacing w:after="0"/>
              <w:rPr>
                <w:sz w:val="17"/>
                <w:szCs w:val="17"/>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7"/>
                <w:szCs w:val="17"/>
                <w:color w:val="auto"/>
              </w:rPr>
              <w:t>Risk free interest rate</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8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 2.1%</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740" w:type="dxa"/>
            <w:vAlign w:val="bottom"/>
            <w:shd w:val="clear" w:color="auto" w:fill="CCEEFF"/>
          </w:tcPr>
          <w:p>
            <w:pPr>
              <w:ind w:left="40"/>
              <w:spacing w:after="0"/>
              <w:rPr>
                <w:sz w:val="20"/>
                <w:szCs w:val="20"/>
                <w:color w:val="auto"/>
              </w:rPr>
            </w:pPr>
            <w:r>
              <w:rPr>
                <w:rFonts w:ascii="Arial" w:cs="Arial" w:eastAsia="Arial" w:hAnsi="Arial"/>
                <w:sz w:val="17"/>
                <w:szCs w:val="17"/>
                <w:color w:val="auto"/>
              </w:rPr>
              <w:t>– 2.4%</w:t>
            </w:r>
          </w:p>
        </w:tc>
      </w:tr>
      <w:tr>
        <w:trPr>
          <w:trHeight w:val="197"/>
        </w:trPr>
        <w:tc>
          <w:tcPr>
            <w:tcW w:w="20" w:type="dxa"/>
            <w:vAlign w:val="bottom"/>
          </w:tcPr>
          <w:p>
            <w:pPr>
              <w:spacing w:after="0"/>
              <w:rPr>
                <w:sz w:val="17"/>
                <w:szCs w:val="17"/>
                <w:color w:val="auto"/>
              </w:rPr>
            </w:pPr>
          </w:p>
        </w:tc>
        <w:tc>
          <w:tcPr>
            <w:tcW w:w="832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320" w:type="dxa"/>
            <w:vAlign w:val="bottom"/>
          </w:tcPr>
          <w:p>
            <w:pPr>
              <w:spacing w:after="0"/>
              <w:rPr>
                <w:sz w:val="17"/>
                <w:szCs w:val="17"/>
                <w:color w:val="auto"/>
              </w:rPr>
            </w:pPr>
          </w:p>
        </w:tc>
        <w:tc>
          <w:tcPr>
            <w:tcW w:w="680" w:type="dxa"/>
            <w:vAlign w:val="bottom"/>
          </w:tcPr>
          <w:p>
            <w:pPr>
              <w:jc w:val="center"/>
              <w:ind w:right="257"/>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center"/>
              <w:ind w:right="337"/>
              <w:spacing w:after="0"/>
              <w:rPr>
                <w:sz w:val="20"/>
                <w:szCs w:val="20"/>
                <w:color w:val="auto"/>
              </w:rPr>
            </w:pPr>
            <w:r>
              <w:rPr>
                <w:rFonts w:ascii="Arial" w:cs="Arial" w:eastAsia="Arial" w:hAnsi="Arial"/>
                <w:sz w:val="17"/>
                <w:szCs w:val="17"/>
                <w:color w:val="auto"/>
                <w:w w:val="97"/>
              </w:rPr>
              <w:t>0%</w:t>
            </w:r>
          </w:p>
        </w:tc>
      </w:tr>
      <w:tr>
        <w:trPr>
          <w:trHeight w:val="197"/>
        </w:trPr>
        <w:tc>
          <w:tcPr>
            <w:tcW w:w="20" w:type="dxa"/>
            <w:vAlign w:val="bottom"/>
          </w:tcPr>
          <w:p>
            <w:pPr>
              <w:spacing w:after="0"/>
              <w:rPr>
                <w:sz w:val="17"/>
                <w:szCs w:val="17"/>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7"/>
                <w:szCs w:val="17"/>
                <w:color w:val="auto"/>
              </w:rPr>
              <w:t>Fair value of underlying common units</w:t>
            </w:r>
          </w:p>
        </w:tc>
        <w:tc>
          <w:tcPr>
            <w:tcW w:w="100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rPr>
              <w:t>$0.72</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rPr>
              <w:t>$0.72 – 0.88</w:t>
            </w:r>
          </w:p>
        </w:tc>
      </w:tr>
    </w:tbl>
    <w:p>
      <w:pPr>
        <w:spacing w:after="0" w:line="209" w:lineRule="exact"/>
        <w:rPr>
          <w:sz w:val="20"/>
          <w:szCs w:val="20"/>
          <w:color w:val="auto"/>
        </w:rPr>
      </w:pPr>
    </w:p>
    <w:p>
      <w:pPr>
        <w:ind w:left="360" w:right="280" w:firstLine="535"/>
        <w:spacing w:after="0" w:line="259" w:lineRule="auto"/>
        <w:rPr>
          <w:sz w:val="20"/>
          <w:szCs w:val="20"/>
          <w:color w:val="auto"/>
        </w:rPr>
      </w:pPr>
      <w:r>
        <w:rPr>
          <w:rFonts w:ascii="Arial" w:cs="Arial" w:eastAsia="Arial" w:hAnsi="Arial"/>
          <w:sz w:val="17"/>
          <w:szCs w:val="17"/>
          <w:color w:val="auto"/>
        </w:rPr>
        <w:t>The fair value of the underlying common units indicated above was utilized as the exercise price within the Black-Scholes option pricing model.</w:t>
      </w:r>
    </w:p>
    <w:p>
      <w:pPr>
        <w:spacing w:after="0" w:line="181" w:lineRule="exact"/>
        <w:rPr>
          <w:sz w:val="20"/>
          <w:szCs w:val="20"/>
          <w:color w:val="auto"/>
        </w:rPr>
      </w:pPr>
    </w:p>
    <w:p>
      <w:pPr>
        <w:ind w:left="360" w:right="60" w:firstLine="535"/>
        <w:spacing w:after="0" w:line="259" w:lineRule="auto"/>
        <w:rPr>
          <w:sz w:val="20"/>
          <w:szCs w:val="20"/>
          <w:color w:val="auto"/>
        </w:rPr>
      </w:pPr>
      <w:r>
        <w:rPr>
          <w:rFonts w:ascii="Arial" w:cs="Arial" w:eastAsia="Arial" w:hAnsi="Arial"/>
          <w:sz w:val="17"/>
          <w:szCs w:val="17"/>
          <w:color w:val="auto"/>
        </w:rPr>
        <w:t>The following table provides a summary of the incentive unit activity under the Plan. These amounts include incentive units granted to both employees and non-employees.</w:t>
      </w:r>
    </w:p>
    <w:p>
      <w:pPr>
        <w:spacing w:after="0" w:line="193"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4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Weighted Average</w:t>
            </w:r>
          </w:p>
        </w:tc>
      </w:tr>
      <w:tr>
        <w:trPr>
          <w:trHeight w:val="169"/>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Units</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r>
      <w:tr>
        <w:trPr>
          <w:trHeight w:val="190"/>
        </w:trPr>
        <w:tc>
          <w:tcPr>
            <w:tcW w:w="20" w:type="dxa"/>
            <w:vAlign w:val="bottom"/>
          </w:tcPr>
          <w:p>
            <w:pPr>
              <w:spacing w:after="0"/>
              <w:rPr>
                <w:sz w:val="16"/>
                <w:szCs w:val="16"/>
                <w:color w:val="auto"/>
              </w:rPr>
            </w:pPr>
          </w:p>
        </w:tc>
        <w:tc>
          <w:tcPr>
            <w:tcW w:w="778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Outstanding at December 31, 2015</w:t>
            </w:r>
          </w:p>
        </w:tc>
        <w:tc>
          <w:tcPr>
            <w:tcW w:w="8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2,059,309</w:t>
            </w:r>
          </w:p>
        </w:tc>
        <w:tc>
          <w:tcPr>
            <w:tcW w:w="4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0.42</w:t>
            </w:r>
          </w:p>
        </w:tc>
        <w:tc>
          <w:tcPr>
            <w:tcW w:w="40" w:type="dxa"/>
            <w:vAlign w:val="bottom"/>
            <w:tcBorders>
              <w:top w:val="single" w:sz="8" w:color="CCEEFF"/>
            </w:tcBorders>
            <w:shd w:val="clear" w:color="auto" w:fill="CCEEFF"/>
          </w:tcPr>
          <w:p>
            <w:pPr>
              <w:spacing w:after="0"/>
              <w:rPr>
                <w:sz w:val="16"/>
                <w:szCs w:val="16"/>
                <w:color w:val="auto"/>
              </w:rPr>
            </w:pPr>
          </w:p>
        </w:tc>
      </w:tr>
      <w:tr>
        <w:trPr>
          <w:trHeight w:val="197"/>
        </w:trPr>
        <w:tc>
          <w:tcPr>
            <w:tcW w:w="20" w:type="dxa"/>
            <w:vAlign w:val="bottom"/>
          </w:tcPr>
          <w:p>
            <w:pPr>
              <w:spacing w:after="0"/>
              <w:rPr>
                <w:sz w:val="17"/>
                <w:szCs w:val="17"/>
                <w:color w:val="auto"/>
              </w:rPr>
            </w:pPr>
          </w:p>
        </w:tc>
        <w:tc>
          <w:tcPr>
            <w:tcW w:w="7780" w:type="dxa"/>
            <w:vAlign w:val="bottom"/>
          </w:tcPr>
          <w:p>
            <w:pPr>
              <w:spacing w:after="0"/>
              <w:rPr>
                <w:sz w:val="20"/>
                <w:szCs w:val="20"/>
                <w:color w:val="auto"/>
              </w:rPr>
            </w:pPr>
            <w:r>
              <w:rPr>
                <w:rFonts w:ascii="Arial" w:cs="Arial" w:eastAsia="Arial" w:hAnsi="Arial"/>
                <w:sz w:val="17"/>
                <w:szCs w:val="17"/>
                <w:color w:val="auto"/>
              </w:rPr>
              <w:t>Granted</w:t>
            </w:r>
          </w:p>
        </w:tc>
        <w:tc>
          <w:tcPr>
            <w:tcW w:w="840" w:type="dxa"/>
            <w:vAlign w:val="bottom"/>
          </w:tcPr>
          <w:p>
            <w:pPr>
              <w:jc w:val="right"/>
              <w:spacing w:after="0"/>
              <w:rPr>
                <w:sz w:val="20"/>
                <w:szCs w:val="20"/>
                <w:color w:val="auto"/>
              </w:rPr>
            </w:pPr>
            <w:r>
              <w:rPr>
                <w:rFonts w:ascii="Arial" w:cs="Arial" w:eastAsia="Arial" w:hAnsi="Arial"/>
                <w:sz w:val="17"/>
                <w:szCs w:val="17"/>
                <w:color w:val="auto"/>
              </w:rPr>
              <w:t>1,121,543</w:t>
            </w:r>
          </w:p>
        </w:tc>
        <w:tc>
          <w:tcPr>
            <w:tcW w:w="420" w:type="dxa"/>
            <w:vAlign w:val="bottom"/>
          </w:tcPr>
          <w:p>
            <w:pPr>
              <w:spacing w:after="0"/>
              <w:rPr>
                <w:sz w:val="17"/>
                <w:szCs w:val="17"/>
                <w:color w:val="auto"/>
              </w:rPr>
            </w:pPr>
          </w:p>
        </w:tc>
        <w:tc>
          <w:tcPr>
            <w:tcW w:w="560" w:type="dxa"/>
            <w:vAlign w:val="bottom"/>
            <w:gridSpan w:val="2"/>
          </w:tcPr>
          <w:p>
            <w:pPr>
              <w:jc w:val="right"/>
              <w:ind w:right="4"/>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0.59</w:t>
            </w:r>
          </w:p>
        </w:tc>
        <w:tc>
          <w:tcPr>
            <w:tcW w:w="4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7"/>
                <w:szCs w:val="17"/>
                <w:color w:val="auto"/>
              </w:rPr>
              <w:t>Forfeited</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(114,118)</w:t>
            </w:r>
          </w:p>
        </w:tc>
        <w:tc>
          <w:tcPr>
            <w:tcW w:w="560" w:type="dxa"/>
            <w:vAlign w:val="bottom"/>
            <w:gridSpan w:val="2"/>
            <w:shd w:val="clear" w:color="auto" w:fill="CCEEFF"/>
          </w:tcPr>
          <w:p>
            <w:pPr>
              <w:jc w:val="right"/>
              <w:ind w:right="4"/>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0.59</w:t>
            </w:r>
          </w:p>
        </w:tc>
        <w:tc>
          <w:tcPr>
            <w:tcW w:w="40" w:type="dxa"/>
            <w:vAlign w:val="bottom"/>
            <w:shd w:val="clear" w:color="auto" w:fill="CCEEFF"/>
          </w:tcPr>
          <w:p>
            <w:pPr>
              <w:spacing w:after="0"/>
              <w:rPr>
                <w:sz w:val="17"/>
                <w:szCs w:val="17"/>
                <w:color w:val="auto"/>
              </w:rPr>
            </w:pPr>
          </w:p>
        </w:tc>
      </w:tr>
      <w:tr>
        <w:trPr>
          <w:trHeight w:val="203"/>
        </w:trPr>
        <w:tc>
          <w:tcPr>
            <w:tcW w:w="7800" w:type="dxa"/>
            <w:vAlign w:val="bottom"/>
            <w:gridSpan w:val="2"/>
          </w:tcPr>
          <w:p>
            <w:pPr>
              <w:spacing w:after="0"/>
              <w:rPr>
                <w:sz w:val="20"/>
                <w:szCs w:val="20"/>
                <w:color w:val="auto"/>
              </w:rPr>
            </w:pPr>
            <w:r>
              <w:rPr>
                <w:rFonts w:ascii="Arial" w:cs="Arial" w:eastAsia="Arial" w:hAnsi="Arial"/>
                <w:sz w:val="17"/>
                <w:szCs w:val="17"/>
                <w:color w:val="auto"/>
              </w:rPr>
              <w:t>Outstanding at December 31, 2016</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3,066,734</w:t>
            </w:r>
          </w:p>
        </w:tc>
        <w:tc>
          <w:tcPr>
            <w:tcW w:w="420" w:type="dxa"/>
            <w:vAlign w:val="bottom"/>
          </w:tcPr>
          <w:p>
            <w:pPr>
              <w:spacing w:after="0"/>
              <w:rPr>
                <w:sz w:val="17"/>
                <w:szCs w:val="17"/>
                <w:color w:val="auto"/>
              </w:rPr>
            </w:pPr>
          </w:p>
        </w:tc>
        <w:tc>
          <w:tcPr>
            <w:tcW w:w="560" w:type="dxa"/>
            <w:vAlign w:val="bottom"/>
            <w:gridSpan w:val="2"/>
          </w:tcPr>
          <w:p>
            <w:pPr>
              <w:jc w:val="right"/>
              <w:ind w:right="4"/>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0.46</w:t>
            </w:r>
          </w:p>
        </w:tc>
        <w:tc>
          <w:tcPr>
            <w:tcW w:w="4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7"/>
                <w:szCs w:val="17"/>
                <w:color w:val="auto"/>
              </w:rPr>
              <w:t>Granted</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1,150,845</w:t>
            </w:r>
          </w:p>
        </w:tc>
        <w:tc>
          <w:tcPr>
            <w:tcW w:w="4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4"/>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0.46</w:t>
            </w:r>
          </w:p>
        </w:tc>
        <w:tc>
          <w:tcPr>
            <w:tcW w:w="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80" w:type="dxa"/>
            <w:vAlign w:val="bottom"/>
          </w:tcPr>
          <w:p>
            <w:pPr>
              <w:spacing w:after="0"/>
              <w:rPr>
                <w:sz w:val="20"/>
                <w:szCs w:val="20"/>
                <w:color w:val="auto"/>
              </w:rPr>
            </w:pPr>
            <w:r>
              <w:rPr>
                <w:rFonts w:ascii="Arial" w:cs="Arial" w:eastAsia="Arial" w:hAnsi="Arial"/>
                <w:sz w:val="17"/>
                <w:szCs w:val="17"/>
                <w:color w:val="auto"/>
              </w:rPr>
              <w:t>Forfeited</w:t>
            </w:r>
          </w:p>
        </w:tc>
        <w:tc>
          <w:tcPr>
            <w:tcW w:w="1260" w:type="dxa"/>
            <w:vAlign w:val="bottom"/>
            <w:gridSpan w:val="2"/>
          </w:tcPr>
          <w:p>
            <w:pPr>
              <w:jc w:val="right"/>
              <w:ind w:right="380"/>
              <w:spacing w:after="0"/>
              <w:rPr>
                <w:sz w:val="20"/>
                <w:szCs w:val="20"/>
                <w:color w:val="auto"/>
              </w:rPr>
            </w:pPr>
            <w:r>
              <w:rPr>
                <w:rFonts w:ascii="Arial" w:cs="Arial" w:eastAsia="Arial" w:hAnsi="Arial"/>
                <w:sz w:val="17"/>
                <w:szCs w:val="17"/>
                <w:color w:val="auto"/>
              </w:rPr>
              <w:t>(547,617)</w:t>
            </w:r>
          </w:p>
        </w:tc>
        <w:tc>
          <w:tcPr>
            <w:tcW w:w="560" w:type="dxa"/>
            <w:vAlign w:val="bottom"/>
            <w:gridSpan w:val="2"/>
          </w:tcPr>
          <w:p>
            <w:pPr>
              <w:jc w:val="right"/>
              <w:ind w:right="4"/>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0.49</w:t>
            </w:r>
          </w:p>
        </w:tc>
        <w:tc>
          <w:tcPr>
            <w:tcW w:w="4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December 31, 2017</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3,669,963</w:t>
            </w:r>
          </w:p>
        </w:tc>
        <w:tc>
          <w:tcPr>
            <w:tcW w:w="4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4"/>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0.46</w:t>
            </w:r>
          </w:p>
        </w:tc>
        <w:tc>
          <w:tcPr>
            <w:tcW w:w="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At December 31, 2017, there are 2,020,780 units vested and 1,649,184 units unvested under the Plan.</w:t>
      </w:r>
    </w:p>
    <w:p>
      <w:pPr>
        <w:spacing w:after="0" w:line="145"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F-20</w:t>
      </w:r>
    </w:p>
    <w:p>
      <w:pPr>
        <w:sectPr>
          <w:pgSz w:w="11900" w:h="16838" w:orient="portrait"/>
          <w:cols w:equalWidth="0" w:num="1">
            <w:col w:w="11060"/>
          </w:cols>
          <w:pgMar w:left="240" w:top="450" w:right="599" w:bottom="1440" w:gutter="0" w:footer="0" w:header="0"/>
        </w:sectPr>
      </w:pPr>
    </w:p>
    <w:bookmarkStart w:id="221" w:name="page222"/>
    <w:bookmarkEnd w:id="2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11. Income Taxes</w:t>
      </w:r>
    </w:p>
    <w:p>
      <w:pPr>
        <w:spacing w:after="0" w:line="126" w:lineRule="exact"/>
        <w:rPr>
          <w:sz w:val="20"/>
          <w:szCs w:val="20"/>
          <w:color w:val="auto"/>
        </w:rPr>
      </w:pPr>
    </w:p>
    <w:p>
      <w:pPr>
        <w:ind w:left="360" w:right="160" w:firstLine="535"/>
        <w:spacing w:after="0" w:line="250" w:lineRule="auto"/>
        <w:rPr>
          <w:sz w:val="20"/>
          <w:szCs w:val="20"/>
          <w:color w:val="auto"/>
        </w:rPr>
      </w:pPr>
      <w:r>
        <w:rPr>
          <w:rFonts w:ascii="Arial" w:cs="Arial" w:eastAsia="Arial" w:hAnsi="Arial"/>
          <w:sz w:val="17"/>
          <w:szCs w:val="17"/>
          <w:color w:val="auto"/>
        </w:rPr>
        <w:t>The provision (benefit) for income taxes is comprised of the following for the years ended December 31, 2017 and 2016. The Company’s effective income tax rate is different from the federal statutory tax rate predominantly due to state taxes, research tax credits, incentive units, and the change in the valuation allowance.</w:t>
      </w:r>
    </w:p>
    <w:p>
      <w:pPr>
        <w:spacing w:after="0" w:line="204" w:lineRule="exact"/>
        <w:rPr>
          <w:sz w:val="20"/>
          <w:szCs w:val="20"/>
          <w:color w:val="auto"/>
        </w:rPr>
      </w:pPr>
    </w:p>
    <w:tbl>
      <w:tblPr>
        <w:tblLayout w:type="fixed"/>
        <w:tblInd w:w="36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5260" w:type="dxa"/>
            <w:vAlign w:val="bottom"/>
            <w:tcBorders>
              <w:bottom w:val="single" w:sz="8" w:color="CCEEFF"/>
            </w:tcBorders>
          </w:tcPr>
          <w:p>
            <w:pPr>
              <w:spacing w:after="0"/>
              <w:rPr>
                <w:sz w:val="14"/>
                <w:szCs w:val="14"/>
                <w:color w:val="auto"/>
              </w:rPr>
            </w:pPr>
          </w:p>
        </w:tc>
        <w:tc>
          <w:tcPr>
            <w:tcW w:w="34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r>
      <w:tr>
        <w:trPr>
          <w:trHeight w:val="177"/>
        </w:trPr>
        <w:tc>
          <w:tcPr>
            <w:tcW w:w="20" w:type="dxa"/>
            <w:vAlign w:val="bottom"/>
          </w:tcPr>
          <w:p>
            <w:pPr>
              <w:spacing w:after="0"/>
              <w:rPr>
                <w:sz w:val="15"/>
                <w:szCs w:val="15"/>
                <w:color w:val="auto"/>
              </w:rPr>
            </w:pPr>
          </w:p>
        </w:tc>
        <w:tc>
          <w:tcPr>
            <w:tcW w:w="526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Current</w:t>
            </w:r>
          </w:p>
        </w:tc>
        <w:tc>
          <w:tcPr>
            <w:tcW w:w="3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7"/>
        </w:trPr>
        <w:tc>
          <w:tcPr>
            <w:tcW w:w="20" w:type="dxa"/>
            <w:vAlign w:val="bottom"/>
          </w:tcPr>
          <w:p>
            <w:pPr>
              <w:spacing w:after="0"/>
              <w:rPr>
                <w:sz w:val="17"/>
                <w:szCs w:val="17"/>
                <w:color w:val="auto"/>
              </w:rPr>
            </w:pPr>
          </w:p>
        </w:tc>
        <w:tc>
          <w:tcPr>
            <w:tcW w:w="5260" w:type="dxa"/>
            <w:vAlign w:val="bottom"/>
          </w:tcPr>
          <w:p>
            <w:pPr>
              <w:ind w:left="340"/>
              <w:spacing w:after="0"/>
              <w:rPr>
                <w:sz w:val="20"/>
                <w:szCs w:val="20"/>
                <w:color w:val="auto"/>
              </w:rPr>
            </w:pPr>
            <w:r>
              <w:rPr>
                <w:rFonts w:ascii="Arial" w:cs="Arial" w:eastAsia="Arial" w:hAnsi="Arial"/>
                <w:sz w:val="17"/>
                <w:szCs w:val="17"/>
                <w:color w:val="auto"/>
              </w:rPr>
              <w:t>Federal</w:t>
            </w:r>
          </w:p>
        </w:tc>
        <w:tc>
          <w:tcPr>
            <w:tcW w:w="36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tcPr>
          <w:p>
            <w:pPr>
              <w:ind w:left="440"/>
              <w:spacing w:after="0"/>
              <w:rPr>
                <w:sz w:val="20"/>
                <w:szCs w:val="20"/>
                <w:color w:val="auto"/>
              </w:rPr>
            </w:pPr>
            <w:r>
              <w:rPr>
                <w:rFonts w:ascii="Arial" w:cs="Arial" w:eastAsia="Arial" w:hAnsi="Arial"/>
                <w:sz w:val="17"/>
                <w:szCs w:val="17"/>
                <w:color w:val="auto"/>
                <w:w w:val="93"/>
              </w:rPr>
              <w:t>—</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197"/>
        </w:trPr>
        <w:tc>
          <w:tcPr>
            <w:tcW w:w="20" w:type="dxa"/>
            <w:vAlign w:val="bottom"/>
          </w:tcPr>
          <w:p>
            <w:pPr>
              <w:spacing w:after="0"/>
              <w:rPr>
                <w:sz w:val="17"/>
                <w:szCs w:val="17"/>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State</w:t>
            </w:r>
          </w:p>
        </w:tc>
        <w:tc>
          <w:tcPr>
            <w:tcW w:w="3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ind w:left="440"/>
              <w:spacing w:after="0"/>
              <w:rPr>
                <w:sz w:val="20"/>
                <w:szCs w:val="20"/>
                <w:color w:val="auto"/>
              </w:rPr>
            </w:pPr>
            <w:r>
              <w:rPr>
                <w:rFonts w:ascii="Arial" w:cs="Arial" w:eastAsia="Arial" w:hAnsi="Arial"/>
                <w:sz w:val="17"/>
                <w:szCs w:val="17"/>
                <w:color w:val="auto"/>
                <w:w w:val="93"/>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(87,409)</w:t>
            </w: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ind w:left="440"/>
              <w:spacing w:after="0"/>
              <w:rPr>
                <w:sz w:val="20"/>
                <w:szCs w:val="20"/>
                <w:color w:val="auto"/>
              </w:rPr>
            </w:pPr>
            <w:r>
              <w:rPr>
                <w:rFonts w:ascii="Arial" w:cs="Arial" w:eastAsia="Arial" w:hAnsi="Arial"/>
                <w:sz w:val="17"/>
                <w:szCs w:val="17"/>
                <w:color w:val="auto"/>
                <w:w w:val="93"/>
              </w:rPr>
              <w: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(87,409)</w:t>
            </w:r>
          </w:p>
        </w:tc>
      </w:tr>
      <w:tr>
        <w:trPr>
          <w:trHeight w:val="197"/>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7"/>
                <w:szCs w:val="17"/>
                <w:color w:val="auto"/>
              </w:rPr>
              <w:t>Deferred</w:t>
            </w:r>
          </w:p>
        </w:tc>
        <w:tc>
          <w:tcPr>
            <w:tcW w:w="3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5260" w:type="dxa"/>
            <w:vAlign w:val="bottom"/>
          </w:tcPr>
          <w:p>
            <w:pPr>
              <w:ind w:left="340"/>
              <w:spacing w:after="0"/>
              <w:rPr>
                <w:sz w:val="20"/>
                <w:szCs w:val="20"/>
                <w:color w:val="auto"/>
              </w:rPr>
            </w:pPr>
            <w:r>
              <w:rPr>
                <w:rFonts w:ascii="Arial" w:cs="Arial" w:eastAsia="Arial" w:hAnsi="Arial"/>
                <w:sz w:val="17"/>
                <w:szCs w:val="17"/>
                <w:color w:val="auto"/>
              </w:rPr>
              <w:t>Federal</w:t>
            </w:r>
          </w:p>
        </w:tc>
        <w:tc>
          <w:tcPr>
            <w:tcW w:w="3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ind w:left="440"/>
              <w:spacing w:after="0"/>
              <w:rPr>
                <w:sz w:val="20"/>
                <w:szCs w:val="20"/>
                <w:color w:val="auto"/>
              </w:rPr>
            </w:pPr>
            <w:r>
              <w:rPr>
                <w:rFonts w:ascii="Arial" w:cs="Arial" w:eastAsia="Arial" w:hAnsi="Arial"/>
                <w:sz w:val="17"/>
                <w:szCs w:val="17"/>
                <w:color w:val="auto"/>
                <w:w w:val="93"/>
              </w:rPr>
              <w: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197"/>
        </w:trPr>
        <w:tc>
          <w:tcPr>
            <w:tcW w:w="20" w:type="dxa"/>
            <w:vAlign w:val="bottom"/>
          </w:tcPr>
          <w:p>
            <w:pPr>
              <w:spacing w:after="0"/>
              <w:rPr>
                <w:sz w:val="17"/>
                <w:szCs w:val="17"/>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State</w:t>
            </w:r>
          </w:p>
        </w:tc>
        <w:tc>
          <w:tcPr>
            <w:tcW w:w="34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7"/>
                <w:szCs w:val="17"/>
                <w:color w:val="auto"/>
                <w:w w:val="93"/>
              </w:rPr>
              <w:t>—</w:t>
            </w:r>
          </w:p>
        </w:tc>
        <w:tc>
          <w:tcPr>
            <w:tcW w:w="3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440"/>
              <w:spacing w:after="0"/>
              <w:rPr>
                <w:sz w:val="20"/>
                <w:szCs w:val="20"/>
                <w:color w:val="auto"/>
              </w:rPr>
            </w:pPr>
            <w:r>
              <w:rPr>
                <w:rFonts w:ascii="Arial" w:cs="Arial" w:eastAsia="Arial" w:hAnsi="Arial"/>
                <w:sz w:val="17"/>
                <w:szCs w:val="17"/>
                <w:color w:val="auto"/>
                <w:w w:val="93"/>
              </w:rPr>
              <w:t>—</w:t>
            </w: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7"/>
                <w:szCs w:val="17"/>
                <w:color w:val="auto"/>
              </w:rPr>
              <w:t>Total income tax benefit</w:t>
            </w:r>
          </w:p>
        </w:tc>
        <w:tc>
          <w:tcPr>
            <w:tcW w:w="3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ind w:left="440"/>
              <w:spacing w:after="0"/>
              <w:rPr>
                <w:sz w:val="20"/>
                <w:szCs w:val="20"/>
                <w:color w:val="auto"/>
              </w:rPr>
            </w:pPr>
            <w:r>
              <w:rPr>
                <w:rFonts w:ascii="Arial" w:cs="Arial" w:eastAsia="Arial" w:hAnsi="Arial"/>
                <w:sz w:val="17"/>
                <w:szCs w:val="17"/>
                <w:color w:val="auto"/>
                <w:w w:val="93"/>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(87,409)</w:t>
            </w: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 reconciliation of the U.S. federal statutory income tax rate to the Company’s effective income tax rate for the years ended</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December 31, 2017 and 2016 is as follows:</w:t>
      </w:r>
    </w:p>
    <w:p>
      <w:pPr>
        <w:spacing w:after="0" w:line="227" w:lineRule="exact"/>
        <w:rPr>
          <w:sz w:val="20"/>
          <w:szCs w:val="20"/>
          <w:color w:val="auto"/>
        </w:rPr>
      </w:pPr>
    </w:p>
    <w:tbl>
      <w:tblPr>
        <w:tblLayout w:type="fixed"/>
        <w:tblInd w:w="36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8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CEEFF"/>
            </w:tcBorders>
          </w:tcPr>
          <w:p>
            <w:pPr>
              <w:spacing w:after="0"/>
              <w:rPr>
                <w:sz w:val="14"/>
                <w:szCs w:val="14"/>
                <w:color w:val="auto"/>
              </w:rPr>
            </w:pPr>
          </w:p>
        </w:tc>
      </w:tr>
      <w:tr>
        <w:trPr>
          <w:trHeight w:val="190"/>
        </w:trPr>
        <w:tc>
          <w:tcPr>
            <w:tcW w:w="20" w:type="dxa"/>
            <w:vAlign w:val="bottom"/>
          </w:tcPr>
          <w:p>
            <w:pPr>
              <w:spacing w:after="0"/>
              <w:rPr>
                <w:sz w:val="16"/>
                <w:szCs w:val="16"/>
                <w:color w:val="auto"/>
              </w:rPr>
            </w:pPr>
          </w:p>
        </w:tc>
        <w:tc>
          <w:tcPr>
            <w:tcW w:w="88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Federal statutory rate</w:t>
            </w:r>
          </w:p>
        </w:tc>
        <w:tc>
          <w:tcPr>
            <w:tcW w:w="1120" w:type="dxa"/>
            <w:vAlign w:val="bottom"/>
            <w:gridSpan w:val="2"/>
            <w:shd w:val="clear" w:color="auto" w:fill="CCEEFF"/>
          </w:tcPr>
          <w:p>
            <w:pPr>
              <w:jc w:val="right"/>
              <w:ind w:right="520"/>
              <w:spacing w:after="0" w:line="189" w:lineRule="exact"/>
              <w:rPr>
                <w:sz w:val="20"/>
                <w:szCs w:val="20"/>
                <w:color w:val="auto"/>
              </w:rPr>
            </w:pPr>
            <w:r>
              <w:rPr>
                <w:rFonts w:ascii="Arial" w:cs="Arial" w:eastAsia="Arial" w:hAnsi="Arial"/>
                <w:sz w:val="17"/>
                <w:szCs w:val="17"/>
                <w:color w:val="auto"/>
              </w:rPr>
              <w:t>34.0%</w:t>
            </w:r>
          </w:p>
        </w:tc>
        <w:tc>
          <w:tcPr>
            <w:tcW w:w="7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34.0%</w:t>
            </w:r>
          </w:p>
        </w:tc>
      </w:tr>
      <w:tr>
        <w:trPr>
          <w:trHeight w:val="197"/>
        </w:trPr>
        <w:tc>
          <w:tcPr>
            <w:tcW w:w="20" w:type="dxa"/>
            <w:vAlign w:val="bottom"/>
          </w:tcPr>
          <w:p>
            <w:pPr>
              <w:spacing w:after="0"/>
              <w:rPr>
                <w:sz w:val="17"/>
                <w:szCs w:val="17"/>
                <w:color w:val="auto"/>
              </w:rPr>
            </w:pPr>
          </w:p>
        </w:tc>
        <w:tc>
          <w:tcPr>
            <w:tcW w:w="8840" w:type="dxa"/>
            <w:vAlign w:val="bottom"/>
          </w:tcPr>
          <w:p>
            <w:pPr>
              <w:spacing w:after="0"/>
              <w:rPr>
                <w:sz w:val="20"/>
                <w:szCs w:val="20"/>
                <w:color w:val="auto"/>
              </w:rPr>
            </w:pPr>
            <w:r>
              <w:rPr>
                <w:rFonts w:ascii="Arial" w:cs="Arial" w:eastAsia="Arial" w:hAnsi="Arial"/>
                <w:sz w:val="17"/>
                <w:szCs w:val="17"/>
                <w:color w:val="auto"/>
              </w:rPr>
              <w:t>State taxes</w:t>
            </w:r>
          </w:p>
        </w:tc>
        <w:tc>
          <w:tcPr>
            <w:tcW w:w="1120" w:type="dxa"/>
            <w:vAlign w:val="bottom"/>
            <w:gridSpan w:val="2"/>
          </w:tcPr>
          <w:p>
            <w:pPr>
              <w:jc w:val="right"/>
              <w:ind w:right="66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(8.7)%</w:t>
            </w:r>
          </w:p>
        </w:tc>
      </w:tr>
      <w:tr>
        <w:trPr>
          <w:trHeight w:val="197"/>
        </w:trPr>
        <w:tc>
          <w:tcPr>
            <w:tcW w:w="20" w:type="dxa"/>
            <w:vAlign w:val="bottom"/>
          </w:tcPr>
          <w:p>
            <w:pPr>
              <w:spacing w:after="0"/>
              <w:rPr>
                <w:sz w:val="17"/>
                <w:szCs w:val="17"/>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7"/>
                <w:szCs w:val="17"/>
                <w:color w:val="auto"/>
              </w:rPr>
              <w:t>Federal tax rate change</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(30.0)%</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r>
      <w:tr>
        <w:trPr>
          <w:trHeight w:val="197"/>
        </w:trPr>
        <w:tc>
          <w:tcPr>
            <w:tcW w:w="20" w:type="dxa"/>
            <w:vAlign w:val="bottom"/>
          </w:tcPr>
          <w:p>
            <w:pPr>
              <w:spacing w:after="0"/>
              <w:rPr>
                <w:sz w:val="17"/>
                <w:szCs w:val="17"/>
                <w:color w:val="auto"/>
              </w:rPr>
            </w:pPr>
          </w:p>
        </w:tc>
        <w:tc>
          <w:tcPr>
            <w:tcW w:w="8840" w:type="dxa"/>
            <w:vAlign w:val="bottom"/>
          </w:tcPr>
          <w:p>
            <w:pPr>
              <w:spacing w:after="0"/>
              <w:rPr>
                <w:sz w:val="20"/>
                <w:szCs w:val="20"/>
                <w:color w:val="auto"/>
              </w:rPr>
            </w:pPr>
            <w:r>
              <w:rPr>
                <w:rFonts w:ascii="Arial" w:cs="Arial" w:eastAsia="Arial" w:hAnsi="Arial"/>
                <w:sz w:val="17"/>
                <w:szCs w:val="17"/>
                <w:color w:val="auto"/>
              </w:rPr>
              <w:t>Federal research tax credit</w:t>
            </w:r>
          </w:p>
        </w:tc>
        <w:tc>
          <w:tcPr>
            <w:tcW w:w="1120" w:type="dxa"/>
            <w:vAlign w:val="bottom"/>
            <w:gridSpan w:val="2"/>
          </w:tcPr>
          <w:p>
            <w:pPr>
              <w:jc w:val="right"/>
              <w:ind w:right="520"/>
              <w:spacing w:after="0"/>
              <w:rPr>
                <w:sz w:val="20"/>
                <w:szCs w:val="20"/>
                <w:color w:val="auto"/>
              </w:rPr>
            </w:pPr>
            <w:r>
              <w:rPr>
                <w:rFonts w:ascii="Arial" w:cs="Arial" w:eastAsia="Arial" w:hAnsi="Arial"/>
                <w:sz w:val="17"/>
                <w:szCs w:val="17"/>
                <w:color w:val="auto"/>
              </w:rPr>
              <w:t>2.7%</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2.9%</w:t>
            </w:r>
          </w:p>
        </w:tc>
      </w:tr>
      <w:tr>
        <w:trPr>
          <w:trHeight w:val="197"/>
        </w:trPr>
        <w:tc>
          <w:tcPr>
            <w:tcW w:w="20" w:type="dxa"/>
            <w:vAlign w:val="bottom"/>
          </w:tcPr>
          <w:p>
            <w:pPr>
              <w:spacing w:after="0"/>
              <w:rPr>
                <w:sz w:val="17"/>
                <w:szCs w:val="17"/>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7"/>
                <w:szCs w:val="17"/>
                <w:color w:val="auto"/>
              </w:rPr>
              <w:t>Change in valuation allowance</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(6.3)%</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(25.7)%</w:t>
            </w:r>
          </w:p>
        </w:tc>
      </w:tr>
      <w:tr>
        <w:trPr>
          <w:trHeight w:val="197"/>
        </w:trPr>
        <w:tc>
          <w:tcPr>
            <w:tcW w:w="20" w:type="dxa"/>
            <w:vAlign w:val="bottom"/>
          </w:tcPr>
          <w:p>
            <w:pPr>
              <w:spacing w:after="0"/>
              <w:rPr>
                <w:sz w:val="17"/>
                <w:szCs w:val="17"/>
                <w:color w:val="auto"/>
              </w:rPr>
            </w:pPr>
          </w:p>
        </w:tc>
        <w:tc>
          <w:tcPr>
            <w:tcW w:w="8840" w:type="dxa"/>
            <w:vAlign w:val="bottom"/>
          </w:tcPr>
          <w:p>
            <w:pPr>
              <w:spacing w:after="0"/>
              <w:rPr>
                <w:sz w:val="20"/>
                <w:szCs w:val="20"/>
                <w:color w:val="auto"/>
              </w:rPr>
            </w:pPr>
            <w:r>
              <w:rPr>
                <w:rFonts w:ascii="Arial" w:cs="Arial" w:eastAsia="Arial" w:hAnsi="Arial"/>
                <w:sz w:val="17"/>
                <w:szCs w:val="17"/>
                <w:color w:val="auto"/>
              </w:rPr>
              <w:t>Other</w:t>
            </w:r>
          </w:p>
        </w:tc>
        <w:tc>
          <w:tcPr>
            <w:tcW w:w="1120" w:type="dxa"/>
            <w:vAlign w:val="bottom"/>
            <w:gridSpan w:val="2"/>
          </w:tcPr>
          <w:p>
            <w:pPr>
              <w:jc w:val="right"/>
              <w:ind w:right="460"/>
              <w:spacing w:after="0"/>
              <w:rPr>
                <w:sz w:val="20"/>
                <w:szCs w:val="20"/>
                <w:color w:val="auto"/>
              </w:rPr>
            </w:pPr>
            <w:r>
              <w:rPr>
                <w:rFonts w:ascii="Arial" w:cs="Arial" w:eastAsia="Arial" w:hAnsi="Arial"/>
                <w:sz w:val="17"/>
                <w:szCs w:val="17"/>
                <w:color w:val="auto"/>
              </w:rPr>
              <w:t>(0.4)%</w:t>
            </w: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(2.5)%</w:t>
            </w:r>
          </w:p>
        </w:tc>
      </w:tr>
      <w:tr>
        <w:trPr>
          <w:trHeight w:val="26"/>
        </w:trPr>
        <w:tc>
          <w:tcPr>
            <w:tcW w:w="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197"/>
        </w:trPr>
        <w:tc>
          <w:tcPr>
            <w:tcW w:w="20" w:type="dxa"/>
            <w:vAlign w:val="bottom"/>
          </w:tcPr>
          <w:p>
            <w:pPr>
              <w:spacing w:after="0"/>
              <w:rPr>
                <w:sz w:val="17"/>
                <w:szCs w:val="17"/>
                <w:color w:val="auto"/>
              </w:rPr>
            </w:pPr>
          </w:p>
        </w:tc>
        <w:tc>
          <w:tcPr>
            <w:tcW w:w="88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0.0%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0.0%</w:t>
            </w: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22" w:lineRule="exact"/>
        <w:rPr>
          <w:sz w:val="20"/>
          <w:szCs w:val="20"/>
          <w:color w:val="auto"/>
        </w:rPr>
      </w:pPr>
    </w:p>
    <w:p>
      <w:pPr>
        <w:ind w:left="360" w:right="140" w:firstLine="535"/>
        <w:spacing w:after="0" w:line="250" w:lineRule="auto"/>
        <w:rPr>
          <w:sz w:val="20"/>
          <w:szCs w:val="20"/>
          <w:color w:val="auto"/>
        </w:rPr>
      </w:pPr>
      <w:r>
        <w:rPr>
          <w:rFonts w:ascii="Arial" w:cs="Arial" w:eastAsia="Arial" w:hAnsi="Arial"/>
          <w:sz w:val="17"/>
          <w:szCs w:val="17"/>
          <w:color w:val="auto"/>
        </w:rPr>
        <w:t>Deferred income taxes represent the tax effect of transactions that are reported in different periods for financial and tax reporting purposes. Temporary differences and carryforwards that give rise to a significant portion of the deferred income tax benefits and liabilities are as follows at December 31, 2017 and 2016:</w:t>
      </w:r>
    </w:p>
    <w:p>
      <w:pPr>
        <w:spacing w:after="0" w:line="204" w:lineRule="exact"/>
        <w:rPr>
          <w:sz w:val="20"/>
          <w:szCs w:val="20"/>
          <w:color w:val="auto"/>
        </w:rPr>
      </w:pPr>
    </w:p>
    <w:tbl>
      <w:tblPr>
        <w:tblLayout w:type="fixed"/>
        <w:tblInd w:w="36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4500" w:type="dxa"/>
            <w:vAlign w:val="bottom"/>
            <w:tcBorders>
              <w:bottom w:val="single" w:sz="8" w:color="CCEEFF"/>
            </w:tcBorders>
          </w:tcPr>
          <w:p>
            <w:pPr>
              <w:spacing w:after="0"/>
              <w:rPr>
                <w:sz w:val="14"/>
                <w:szCs w:val="14"/>
                <w:color w:val="auto"/>
              </w:rPr>
            </w:pPr>
          </w:p>
        </w:tc>
        <w:tc>
          <w:tcPr>
            <w:tcW w:w="3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r>
      <w:tr>
        <w:trPr>
          <w:trHeight w:val="177"/>
        </w:trPr>
        <w:tc>
          <w:tcPr>
            <w:tcW w:w="20" w:type="dxa"/>
            <w:vAlign w:val="bottom"/>
          </w:tcPr>
          <w:p>
            <w:pPr>
              <w:spacing w:after="0"/>
              <w:rPr>
                <w:sz w:val="15"/>
                <w:szCs w:val="15"/>
                <w:color w:val="auto"/>
              </w:rPr>
            </w:pPr>
          </w:p>
        </w:tc>
        <w:tc>
          <w:tcPr>
            <w:tcW w:w="450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Deferred income tax assets:</w:t>
            </w:r>
          </w:p>
        </w:tc>
        <w:tc>
          <w:tcPr>
            <w:tcW w:w="3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7"/>
        </w:trPr>
        <w:tc>
          <w:tcPr>
            <w:tcW w:w="2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7"/>
                <w:szCs w:val="17"/>
                <w:color w:val="auto"/>
              </w:rPr>
              <w:t>Loss carryforwards</w:t>
            </w:r>
          </w:p>
        </w:tc>
        <w:tc>
          <w:tcPr>
            <w:tcW w:w="35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10,978,713</w:t>
            </w:r>
          </w:p>
        </w:tc>
        <w:tc>
          <w:tcPr>
            <w:tcW w:w="30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7,360,413</w:t>
            </w:r>
          </w:p>
        </w:tc>
        <w:tc>
          <w:tcPr>
            <w:tcW w:w="10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w:t>
            </w:r>
          </w:p>
        </w:tc>
        <w:tc>
          <w:tcPr>
            <w:tcW w:w="3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736,672</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3,460,397</w:t>
            </w:r>
          </w:p>
        </w:tc>
        <w:tc>
          <w:tcPr>
            <w:tcW w:w="10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7"/>
                <w:szCs w:val="17"/>
                <w:color w:val="auto"/>
              </w:rPr>
              <w:t>Tax credits</w:t>
            </w:r>
          </w:p>
        </w:tc>
        <w:tc>
          <w:tcPr>
            <w:tcW w:w="3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1,658,899</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1,022,386</w:t>
            </w:r>
          </w:p>
        </w:tc>
        <w:tc>
          <w:tcPr>
            <w:tcW w:w="10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3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65,714</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89,955</w:t>
            </w:r>
          </w:p>
        </w:tc>
        <w:tc>
          <w:tcPr>
            <w:tcW w:w="100" w:type="dxa"/>
            <w:vAlign w:val="bottom"/>
            <w:shd w:val="clear" w:color="auto" w:fill="CCEEFF"/>
          </w:tcPr>
          <w:p>
            <w:pPr>
              <w:spacing w:after="0"/>
              <w:rPr>
                <w:sz w:val="17"/>
                <w:szCs w:val="17"/>
                <w:color w:val="auto"/>
              </w:rPr>
            </w:pPr>
          </w:p>
        </w:tc>
      </w:tr>
      <w:tr>
        <w:trPr>
          <w:trHeight w:val="203"/>
        </w:trPr>
        <w:tc>
          <w:tcPr>
            <w:tcW w:w="4520" w:type="dxa"/>
            <w:vAlign w:val="bottom"/>
            <w:gridSpan w:val="2"/>
          </w:tcPr>
          <w:p>
            <w:pPr>
              <w:spacing w:after="0"/>
              <w:rPr>
                <w:sz w:val="20"/>
                <w:szCs w:val="20"/>
                <w:color w:val="auto"/>
              </w:rPr>
            </w:pPr>
            <w:r>
              <w:rPr>
                <w:rFonts w:ascii="Arial" w:cs="Arial" w:eastAsia="Arial" w:hAnsi="Arial"/>
                <w:sz w:val="17"/>
                <w:szCs w:val="17"/>
                <w:color w:val="auto"/>
              </w:rPr>
              <w:t>Total deferred income tax assets</w:t>
            </w:r>
          </w:p>
        </w:tc>
        <w:tc>
          <w:tcPr>
            <w:tcW w:w="3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13,439,998</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11,933,151</w:t>
            </w:r>
          </w:p>
        </w:tc>
        <w:tc>
          <w:tcPr>
            <w:tcW w:w="10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 tax liabilities</w:t>
            </w:r>
          </w:p>
        </w:tc>
        <w:tc>
          <w:tcPr>
            <w:tcW w:w="3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7"/>
                <w:szCs w:val="17"/>
                <w:color w:val="auto"/>
              </w:rPr>
              <w:t>Other</w:t>
            </w:r>
          </w:p>
        </w:tc>
        <w:tc>
          <w:tcPr>
            <w:tcW w:w="3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(24,079)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197"/>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Property, equipment and leasehold improvements</w:t>
            </w:r>
          </w:p>
        </w:tc>
        <w:tc>
          <w:tcPr>
            <w:tcW w:w="3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(100,072)</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(111,460)</w:t>
            </w: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tcPr>
          <w:p>
            <w:pPr>
              <w:ind w:left="340"/>
              <w:spacing w:after="0"/>
              <w:rPr>
                <w:sz w:val="20"/>
                <w:szCs w:val="20"/>
                <w:color w:val="auto"/>
              </w:rPr>
            </w:pPr>
            <w:r>
              <w:rPr>
                <w:rFonts w:ascii="Arial" w:cs="Arial" w:eastAsia="Arial" w:hAnsi="Arial"/>
                <w:sz w:val="17"/>
                <w:szCs w:val="17"/>
                <w:color w:val="auto"/>
              </w:rPr>
              <w:t>Total deferred income tax liabilities</w:t>
            </w:r>
          </w:p>
        </w:tc>
        <w:tc>
          <w:tcPr>
            <w:tcW w:w="3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(124,151)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(111,460)</w:t>
            </w:r>
          </w:p>
        </w:tc>
      </w:tr>
      <w:tr>
        <w:trPr>
          <w:trHeight w:val="197"/>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Less valuation allowance</w:t>
            </w:r>
          </w:p>
        </w:tc>
        <w:tc>
          <w:tcPr>
            <w:tcW w:w="3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(13,315,847)</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(11,821,691)</w:t>
            </w:r>
          </w:p>
        </w:tc>
      </w:tr>
      <w:tr>
        <w:trPr>
          <w:trHeight w:val="20"/>
        </w:trPr>
        <w:tc>
          <w:tcPr>
            <w:tcW w:w="452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4520" w:type="dxa"/>
            <w:vAlign w:val="bottom"/>
            <w:gridSpan w:val="2"/>
          </w:tcPr>
          <w:p>
            <w:pPr>
              <w:spacing w:after="0"/>
              <w:rPr>
                <w:sz w:val="20"/>
                <w:szCs w:val="20"/>
                <w:color w:val="auto"/>
              </w:rPr>
            </w:pPr>
            <w:r>
              <w:rPr>
                <w:rFonts w:ascii="Arial" w:cs="Arial" w:eastAsia="Arial" w:hAnsi="Arial"/>
                <w:sz w:val="17"/>
                <w:szCs w:val="17"/>
                <w:color w:val="auto"/>
              </w:rPr>
              <w:t>Net deferred income tax assets</w:t>
            </w:r>
          </w:p>
        </w:tc>
        <w:tc>
          <w:tcPr>
            <w:tcW w:w="35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540" w:type="dxa"/>
            <w:vAlign w:val="bottom"/>
            <w:gridSpan w:val="2"/>
          </w:tcPr>
          <w:p>
            <w:pPr>
              <w:jc w:val="right"/>
              <w:ind w:right="2520"/>
              <w:spacing w:after="0"/>
              <w:rPr>
                <w:sz w:val="20"/>
                <w:szCs w:val="20"/>
                <w:color w:val="auto"/>
              </w:rPr>
            </w:pPr>
            <w:r>
              <w:rPr>
                <w:rFonts w:ascii="Arial" w:cs="Arial" w:eastAsia="Arial" w:hAnsi="Arial"/>
                <w:sz w:val="17"/>
                <w:szCs w:val="17"/>
                <w:color w:val="auto"/>
              </w:rPr>
              <w:t>F-21</w:t>
            </w: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60"/>
          </w:cols>
          <w:pgMar w:left="240" w:top="450" w:right="599" w:bottom="1440" w:gutter="0" w:footer="0" w:header="0"/>
        </w:sectPr>
      </w:pPr>
    </w:p>
    <w:bookmarkStart w:id="222" w:name="page223"/>
    <w:bookmarkEnd w:id="2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20" w:firstLine="535"/>
        <w:spacing w:after="0" w:line="245" w:lineRule="auto"/>
        <w:rPr>
          <w:sz w:val="20"/>
          <w:szCs w:val="20"/>
          <w:color w:val="auto"/>
        </w:rPr>
      </w:pPr>
      <w:r>
        <w:rPr>
          <w:rFonts w:ascii="Arial" w:cs="Arial" w:eastAsia="Arial" w:hAnsi="Arial"/>
          <w:sz w:val="17"/>
          <w:szCs w:val="17"/>
          <w:color w:val="auto"/>
        </w:rPr>
        <w:t>The Company has provided a valuation allowance against the full amount of the deferred tax assets since, in the opinion of management, based upon the earnings history of the Company, it is more likely than not that the benefits will not be realized. All or a portion of the remaining valuation allowance may be reduced in future years based on an assessment of earnings sufficient to utilize these potential tax benefits. The valuation allowance increased by $1.5 million in 2017 and $3.7 million in 2016 due to the increase in the net operating loss carryforwards and research and development tax credits, partially decreased by a reduction in deferred revenue.</w:t>
      </w:r>
    </w:p>
    <w:p>
      <w:pPr>
        <w:spacing w:after="0" w:line="195" w:lineRule="exact"/>
        <w:rPr>
          <w:sz w:val="20"/>
          <w:szCs w:val="20"/>
          <w:color w:val="auto"/>
        </w:rPr>
      </w:pPr>
    </w:p>
    <w:p>
      <w:pPr>
        <w:ind w:left="360" w:right="100" w:firstLine="535"/>
        <w:spacing w:after="0" w:line="250" w:lineRule="auto"/>
        <w:rPr>
          <w:sz w:val="20"/>
          <w:szCs w:val="20"/>
          <w:color w:val="auto"/>
        </w:rPr>
      </w:pPr>
      <w:r>
        <w:rPr>
          <w:rFonts w:ascii="Arial" w:cs="Arial" w:eastAsia="Arial" w:hAnsi="Arial"/>
          <w:sz w:val="17"/>
          <w:szCs w:val="17"/>
          <w:color w:val="auto"/>
        </w:rPr>
        <w:t>The Company had approximately $52.3 million and $21.7 million of federal loss carryforwards as of December 31, 2017 and 2016, respectively, which expire at various dates through fiscal year 2036. The Company had approximately $1.7 million and $1.0 million of federal tax credit carryforwards as of December 31, 2017 and 2016, respectively, which expire at various dates through fiscal year 2036.</w:t>
      </w:r>
    </w:p>
    <w:p>
      <w:pPr>
        <w:spacing w:after="0" w:line="189" w:lineRule="exact"/>
        <w:rPr>
          <w:sz w:val="20"/>
          <w:szCs w:val="20"/>
          <w:color w:val="auto"/>
        </w:rPr>
      </w:pPr>
    </w:p>
    <w:p>
      <w:pPr>
        <w:ind w:left="360" w:right="80" w:firstLine="535"/>
        <w:spacing w:after="0" w:line="245" w:lineRule="auto"/>
        <w:rPr>
          <w:sz w:val="20"/>
          <w:szCs w:val="20"/>
          <w:color w:val="auto"/>
        </w:rPr>
      </w:pPr>
      <w:r>
        <w:rPr>
          <w:rFonts w:ascii="Arial" w:cs="Arial" w:eastAsia="Arial" w:hAnsi="Arial"/>
          <w:sz w:val="17"/>
          <w:szCs w:val="17"/>
          <w:color w:val="auto"/>
        </w:rPr>
        <w:t>In December 2017, the United States enacted the Tax Cuts and Jobs Act (the “Act”). The Act, which is also commonly referred to as “U.S. tax reform,” significantly changes U.S. corporate income tax laws by, among other provisions, reducing the maximum U.S. corporate income tax rate from 35% to 21% starting in 2018. During the year ended December 31, 2017, the Company reduced its deferred income tax asset by approximately $7.2 million as a result of the re-measurement of deferred tax assets and liabilities to the new lower statutory rate of 21%. The rate change did not result in an income tax expense as the effect of the rate change was offset by a corresponding change in the valuation allowance.</w:t>
      </w:r>
    </w:p>
    <w:p>
      <w:pPr>
        <w:spacing w:after="0" w:line="192" w:lineRule="exact"/>
        <w:rPr>
          <w:sz w:val="20"/>
          <w:szCs w:val="20"/>
          <w:color w:val="auto"/>
        </w:rPr>
      </w:pPr>
    </w:p>
    <w:p>
      <w:pPr>
        <w:ind w:left="360" w:right="300" w:firstLine="535"/>
        <w:spacing w:after="0" w:line="247" w:lineRule="auto"/>
        <w:rPr>
          <w:sz w:val="20"/>
          <w:szCs w:val="20"/>
          <w:color w:val="auto"/>
        </w:rPr>
      </w:pPr>
      <w:r>
        <w:rPr>
          <w:rFonts w:ascii="Arial" w:cs="Arial" w:eastAsia="Arial" w:hAnsi="Arial"/>
          <w:sz w:val="17"/>
          <w:szCs w:val="17"/>
          <w:color w:val="auto"/>
        </w:rPr>
        <w:t>The Company complies with the provisions of ASC 740 in accounting for its uncertain tax positions. ASC 740 addresses the determination of whether tax benefits claimed or expected to be claimed on a tax return should be recorded in the financial statements. Under ASC 740, the Company may recognize the tax benefit from an uncertain tax position only if it is more likely that not that the tax position will be sustained on examination by the taxing authorities, based on the technical merits of the position.</w:t>
      </w:r>
    </w:p>
    <w:p>
      <w:pPr>
        <w:spacing w:after="0" w:line="192" w:lineRule="exact"/>
        <w:rPr>
          <w:sz w:val="20"/>
          <w:szCs w:val="20"/>
          <w:color w:val="auto"/>
        </w:rPr>
      </w:pPr>
    </w:p>
    <w:p>
      <w:pPr>
        <w:ind w:left="360" w:right="20" w:firstLine="535"/>
        <w:spacing w:after="0" w:line="259" w:lineRule="auto"/>
        <w:rPr>
          <w:sz w:val="20"/>
          <w:szCs w:val="20"/>
          <w:color w:val="auto"/>
        </w:rPr>
      </w:pPr>
      <w:r>
        <w:rPr>
          <w:rFonts w:ascii="Arial" w:cs="Arial" w:eastAsia="Arial" w:hAnsi="Arial"/>
          <w:sz w:val="17"/>
          <w:szCs w:val="17"/>
          <w:color w:val="auto"/>
        </w:rPr>
        <w:t>The Company recognizes interest accrued related to unrecognized tax benefits and penalties in tax expense. The Company had no accruals for interest and penalties at December 31, 2017 and 2016.</w:t>
      </w:r>
    </w:p>
    <w:p>
      <w:pPr>
        <w:spacing w:after="0" w:line="181" w:lineRule="exact"/>
        <w:rPr>
          <w:sz w:val="20"/>
          <w:szCs w:val="20"/>
          <w:color w:val="auto"/>
        </w:rPr>
      </w:pPr>
    </w:p>
    <w:p>
      <w:pPr>
        <w:ind w:left="360" w:right="40" w:firstLine="535"/>
        <w:spacing w:after="0" w:line="245" w:lineRule="auto"/>
        <w:rPr>
          <w:sz w:val="20"/>
          <w:szCs w:val="20"/>
          <w:color w:val="auto"/>
        </w:rPr>
      </w:pPr>
      <w:r>
        <w:rPr>
          <w:rFonts w:ascii="Arial" w:cs="Arial" w:eastAsia="Arial" w:hAnsi="Arial"/>
          <w:sz w:val="17"/>
          <w:szCs w:val="17"/>
          <w:color w:val="auto"/>
        </w:rPr>
        <w:t>The Company is required to file income tax returns in the U.S. Federal jurisdiction, and in the States of Connecticut and Massachusetts. The Company is a state franchise taxpayer in Connecticut and Massachusetts due to the Company’s loss position. As a result, there is no state income tax provision included in the financial statements. The 2014 tax year forward remain subject to future examinations by the applicable taxing authorities. Arvinas, Inc. is currently under Federal tax audit for the year ended December 31, 2015. No adjustments were proposed as of December 31, 2017.</w:t>
      </w:r>
    </w:p>
    <w:p>
      <w:pPr>
        <w:spacing w:after="0" w:line="195" w:lineRule="exact"/>
        <w:rPr>
          <w:sz w:val="20"/>
          <w:szCs w:val="20"/>
          <w:color w:val="auto"/>
        </w:rPr>
      </w:pPr>
    </w:p>
    <w:p>
      <w:pPr>
        <w:ind w:left="360" w:firstLine="535"/>
        <w:spacing w:after="0" w:line="245" w:lineRule="auto"/>
        <w:rPr>
          <w:sz w:val="20"/>
          <w:szCs w:val="20"/>
          <w:color w:val="auto"/>
        </w:rPr>
      </w:pPr>
      <w:r>
        <w:rPr>
          <w:rFonts w:ascii="Arial" w:cs="Arial" w:eastAsia="Arial" w:hAnsi="Arial"/>
          <w:sz w:val="17"/>
          <w:szCs w:val="17"/>
          <w:color w:val="auto"/>
        </w:rPr>
        <w:t>For the years ended December 31, 2017 and 2016, the Company recorded a benefit from expected cash refunds to be provided by the State of Connecticut, equal to 65% of research and development credits, of $562,385 and $435,898, respectively, which is included in Other Income in the accompanying consolidated statement of operations and comprehensive loss, due to the Company being a state franchise taxpayer. The benefit results from the exchange of the state research and development tax credit carryforwards for cash refunds. At December 31, 2017 and 2016, the Company has recorded receivables of $989,219 and $1.2 million, respectively, relating to research and development credits due to the Company.</w:t>
      </w:r>
    </w:p>
    <w:p>
      <w:pPr>
        <w:spacing w:after="0" w:line="12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F-22</w:t>
      </w:r>
    </w:p>
    <w:p>
      <w:pPr>
        <w:sectPr>
          <w:pgSz w:w="11900" w:h="16838" w:orient="portrait"/>
          <w:cols w:equalWidth="0" w:num="1">
            <w:col w:w="11060"/>
          </w:cols>
          <w:pgMar w:left="240" w:top="450" w:right="599" w:bottom="1440" w:gutter="0" w:footer="0" w:header="0"/>
        </w:sectPr>
      </w:pPr>
    </w:p>
    <w:bookmarkStart w:id="223" w:name="page224"/>
    <w:bookmarkEnd w:id="2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900" w:right="7620" w:hanging="535"/>
        <w:spacing w:after="0" w:line="382" w:lineRule="auto"/>
        <w:tabs>
          <w:tab w:leader="none" w:pos="657" w:val="left"/>
        </w:tabs>
        <w:numPr>
          <w:ilvl w:val="0"/>
          <w:numId w:val="12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Commitments and Contingencies Lease Commitments</w:t>
      </w:r>
    </w:p>
    <w:p>
      <w:pPr>
        <w:spacing w:after="0" w:line="1" w:lineRule="exact"/>
        <w:rPr>
          <w:sz w:val="20"/>
          <w:szCs w:val="20"/>
          <w:color w:val="auto"/>
        </w:rPr>
      </w:pPr>
    </w:p>
    <w:p>
      <w:pPr>
        <w:ind w:left="360" w:right="40" w:firstLine="535"/>
        <w:spacing w:after="0" w:line="247" w:lineRule="auto"/>
        <w:rPr>
          <w:sz w:val="20"/>
          <w:szCs w:val="20"/>
          <w:color w:val="auto"/>
        </w:rPr>
      </w:pPr>
      <w:r>
        <w:rPr>
          <w:rFonts w:ascii="Arial" w:cs="Arial" w:eastAsia="Arial" w:hAnsi="Arial"/>
          <w:sz w:val="17"/>
          <w:szCs w:val="17"/>
          <w:color w:val="auto"/>
        </w:rPr>
        <w:t>On December 31, 2017, the Company signed a new lease for its offices located in New Haven, Connecticut which added additional space through 2022. In addition, the Company has entered into various other equipment leases. Rental payments for the lease arrangements are payable in advance on a monthly basis. Rent expense totaled $402,897 and $347,738 for the years ended December 31, 2017 and 2016, respectively.</w:t>
      </w:r>
    </w:p>
    <w:p>
      <w:pPr>
        <w:spacing w:after="0" w:line="192" w:lineRule="exact"/>
        <w:rPr>
          <w:sz w:val="20"/>
          <w:szCs w:val="20"/>
          <w:color w:val="auto"/>
        </w:rPr>
      </w:pPr>
    </w:p>
    <w:tbl>
      <w:tblPr>
        <w:tblLayout w:type="fixed"/>
        <w:tblInd w:w="36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680" w:type="dxa"/>
            <w:vAlign w:val="bottom"/>
          </w:tcPr>
          <w:p>
            <w:pPr>
              <w:ind w:left="520"/>
              <w:spacing w:after="0"/>
              <w:rPr>
                <w:sz w:val="20"/>
                <w:szCs w:val="20"/>
                <w:color w:val="auto"/>
              </w:rPr>
            </w:pPr>
            <w:r>
              <w:rPr>
                <w:rFonts w:ascii="Arial" w:cs="Arial" w:eastAsia="Arial" w:hAnsi="Arial"/>
                <w:sz w:val="17"/>
                <w:szCs w:val="17"/>
                <w:color w:val="auto"/>
              </w:rPr>
              <w:t>Future minimum annual lease payments are as follows:</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7"/>
                <w:szCs w:val="17"/>
                <w:color w:val="auto"/>
              </w:rPr>
              <w:t>2018</w:t>
            </w: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554,091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680" w:type="dxa"/>
            <w:vAlign w:val="bottom"/>
          </w:tcPr>
          <w:p>
            <w:pPr>
              <w:spacing w:after="0"/>
              <w:rPr>
                <w:sz w:val="20"/>
                <w:szCs w:val="20"/>
                <w:color w:val="auto"/>
              </w:rPr>
            </w:pPr>
            <w:r>
              <w:rPr>
                <w:rFonts w:ascii="Arial" w:cs="Arial" w:eastAsia="Arial" w:hAnsi="Arial"/>
                <w:sz w:val="17"/>
                <w:szCs w:val="17"/>
                <w:color w:val="auto"/>
              </w:rPr>
              <w:t>2019</w:t>
            </w: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596,376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7"/>
                <w:szCs w:val="17"/>
                <w:color w:val="auto"/>
              </w:rPr>
              <w:t>2020</w:t>
            </w: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596,376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680" w:type="dxa"/>
            <w:vAlign w:val="bottom"/>
          </w:tcPr>
          <w:p>
            <w:pPr>
              <w:spacing w:after="0"/>
              <w:rPr>
                <w:sz w:val="20"/>
                <w:szCs w:val="20"/>
                <w:color w:val="auto"/>
              </w:rPr>
            </w:pPr>
            <w:r>
              <w:rPr>
                <w:rFonts w:ascii="Arial" w:cs="Arial" w:eastAsia="Arial" w:hAnsi="Arial"/>
                <w:sz w:val="17"/>
                <w:szCs w:val="17"/>
                <w:color w:val="auto"/>
              </w:rPr>
              <w:t>2021</w:t>
            </w: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596,376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7"/>
                <w:szCs w:val="17"/>
                <w:color w:val="auto"/>
              </w:rPr>
              <w:t>2022</w:t>
            </w: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582,011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gridSpan w:val="2"/>
          </w:tcPr>
          <w:p>
            <w:pPr>
              <w:spacing w:after="0"/>
              <w:rPr>
                <w:sz w:val="20"/>
                <w:szCs w:val="20"/>
                <w:color w:val="auto"/>
              </w:rPr>
            </w:pPr>
            <w:r>
              <w:rPr>
                <w:rFonts w:ascii="Arial" w:cs="Arial" w:eastAsia="Arial" w:hAnsi="Arial"/>
                <w:sz w:val="17"/>
                <w:szCs w:val="17"/>
                <w:color w:val="auto"/>
              </w:rPr>
              <w:t>Total</w:t>
            </w: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4"/>
          </w:tcPr>
          <w:p>
            <w:pPr>
              <w:jc w:val="right"/>
              <w:spacing w:after="0"/>
              <w:rPr>
                <w:sz w:val="20"/>
                <w:szCs w:val="20"/>
                <w:color w:val="auto"/>
              </w:rPr>
            </w:pPr>
            <w:r>
              <w:rPr>
                <w:rFonts w:ascii="Arial" w:cs="Arial" w:eastAsia="Arial" w:hAnsi="Arial"/>
                <w:sz w:val="17"/>
                <w:szCs w:val="17"/>
                <w:color w:val="auto"/>
              </w:rPr>
              <w:t>$ 2,925,230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7"/>
                <w:szCs w:val="17"/>
                <w:b w:val="1"/>
                <w:bCs w:val="1"/>
                <w:i w:val="1"/>
                <w:iCs w:val="1"/>
                <w:color w:val="auto"/>
              </w:rPr>
              <w:t>13. Net Loss Per Common Unit and Unaudited Pro Forma Net Loss Per Share</w:t>
            </w: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6"/>
        </w:trPr>
        <w:tc>
          <w:tcPr>
            <w:tcW w:w="770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7680" w:type="dxa"/>
            <w:vAlign w:val="bottom"/>
          </w:tcPr>
          <w:p>
            <w:pPr>
              <w:ind w:left="520"/>
              <w:spacing w:after="0"/>
              <w:rPr>
                <w:sz w:val="20"/>
                <w:szCs w:val="20"/>
                <w:color w:val="auto"/>
              </w:rPr>
            </w:pPr>
            <w:r>
              <w:rPr>
                <w:rFonts w:ascii="Arial" w:cs="Arial" w:eastAsia="Arial" w:hAnsi="Arial"/>
                <w:sz w:val="17"/>
                <w:szCs w:val="17"/>
                <w:b w:val="1"/>
                <w:bCs w:val="1"/>
                <w:i w:val="1"/>
                <w:iCs w:val="1"/>
                <w:color w:val="auto"/>
              </w:rPr>
              <w:t>Net Loss per Common Unit</w:t>
            </w: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7680" w:type="dxa"/>
            <w:vAlign w:val="bottom"/>
          </w:tcPr>
          <w:p>
            <w:pPr>
              <w:ind w:left="520"/>
              <w:spacing w:after="0"/>
              <w:rPr>
                <w:sz w:val="20"/>
                <w:szCs w:val="20"/>
                <w:color w:val="auto"/>
              </w:rPr>
            </w:pPr>
            <w:r>
              <w:rPr>
                <w:rFonts w:ascii="Arial" w:cs="Arial" w:eastAsia="Arial" w:hAnsi="Arial"/>
                <w:sz w:val="17"/>
                <w:szCs w:val="17"/>
                <w:color w:val="auto"/>
              </w:rPr>
              <w:t>Basic and diluted loss per common unit were calculated as follows:</w:t>
            </w: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768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gridSpan w:val="3"/>
          </w:tcPr>
          <w:p>
            <w:pPr>
              <w:jc w:val="right"/>
              <w:ind w:right="413"/>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loss</w:t>
            </w:r>
          </w:p>
        </w:tc>
        <w:tc>
          <w:tcPr>
            <w:tcW w:w="4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95"/>
              </w:rPr>
              <w:t>(24,049,206)</w:t>
            </w:r>
          </w:p>
        </w:tc>
        <w:tc>
          <w:tcPr>
            <w:tcW w:w="22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$(14,350,643)</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680" w:type="dxa"/>
            <w:vAlign w:val="bottom"/>
          </w:tcPr>
          <w:p>
            <w:pPr>
              <w:spacing w:after="0"/>
              <w:rPr>
                <w:sz w:val="20"/>
                <w:szCs w:val="20"/>
                <w:color w:val="auto"/>
              </w:rPr>
            </w:pPr>
            <w:r>
              <w:rPr>
                <w:rFonts w:ascii="Arial" w:cs="Arial" w:eastAsia="Arial" w:hAnsi="Arial"/>
                <w:sz w:val="17"/>
                <w:szCs w:val="17"/>
                <w:color w:val="auto"/>
              </w:rPr>
              <w:t>Change in redemption value of preferred units</w:t>
            </w:r>
          </w:p>
        </w:tc>
        <w:tc>
          <w:tcPr>
            <w:tcW w:w="40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(4,570,431)</w:t>
            </w:r>
          </w:p>
        </w:tc>
        <w:tc>
          <w:tcPr>
            <w:tcW w:w="1300" w:type="dxa"/>
            <w:vAlign w:val="bottom"/>
            <w:gridSpan w:val="3"/>
          </w:tcPr>
          <w:p>
            <w:pPr>
              <w:jc w:val="right"/>
              <w:spacing w:after="0"/>
              <w:rPr>
                <w:sz w:val="20"/>
                <w:szCs w:val="20"/>
                <w:color w:val="auto"/>
              </w:rPr>
            </w:pPr>
            <w:r>
              <w:rPr>
                <w:rFonts w:ascii="Arial" w:cs="Arial" w:eastAsia="Arial" w:hAnsi="Arial"/>
                <w:sz w:val="17"/>
                <w:szCs w:val="17"/>
                <w:color w:val="auto"/>
              </w:rPr>
              <w:t>1,997,020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6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7"/>
                <w:szCs w:val="17"/>
                <w:color w:val="auto"/>
              </w:rPr>
              <w:t>Net loss attributable to common units – basic and diluted</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(28,619,637)</w:t>
            </w:r>
          </w:p>
        </w:tc>
        <w:tc>
          <w:tcPr>
            <w:tcW w:w="138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$(12,353,623)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0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700" w:type="dxa"/>
            <w:vAlign w:val="bottom"/>
            <w:gridSpan w:val="2"/>
          </w:tcPr>
          <w:p>
            <w:pPr>
              <w:spacing w:after="0" w:line="189" w:lineRule="exact"/>
              <w:rPr>
                <w:sz w:val="20"/>
                <w:szCs w:val="20"/>
                <w:color w:val="auto"/>
              </w:rPr>
            </w:pPr>
            <w:r>
              <w:rPr>
                <w:rFonts w:ascii="Arial" w:cs="Arial" w:eastAsia="Arial" w:hAnsi="Arial"/>
                <w:sz w:val="17"/>
                <w:szCs w:val="17"/>
                <w:color w:val="auto"/>
              </w:rPr>
              <w:t>Weighted average number of common units outstanding, basic and diluted</w:t>
            </w: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1,897,544</w:t>
            </w:r>
          </w:p>
        </w:tc>
        <w:tc>
          <w:tcPr>
            <w:tcW w:w="220" w:type="dxa"/>
            <w:vAlign w:val="bottom"/>
          </w:tcPr>
          <w:p>
            <w:pPr>
              <w:spacing w:after="0"/>
              <w:rPr>
                <w:sz w:val="16"/>
                <w:szCs w:val="16"/>
                <w:color w:val="auto"/>
              </w:rPr>
            </w:pPr>
          </w:p>
        </w:tc>
        <w:tc>
          <w:tcPr>
            <w:tcW w:w="1300" w:type="dxa"/>
            <w:vAlign w:val="bottom"/>
            <w:tcBorders>
              <w:bottom w:val="single" w:sz="8" w:color="auto"/>
            </w:tcBorders>
            <w:gridSpan w:val="3"/>
          </w:tcPr>
          <w:p>
            <w:pPr>
              <w:jc w:val="right"/>
              <w:spacing w:after="0" w:line="189" w:lineRule="exact"/>
              <w:rPr>
                <w:sz w:val="20"/>
                <w:szCs w:val="20"/>
                <w:color w:val="auto"/>
              </w:rPr>
            </w:pPr>
            <w:r>
              <w:rPr>
                <w:rFonts w:ascii="Arial" w:cs="Arial" w:eastAsia="Arial" w:hAnsi="Arial"/>
                <w:sz w:val="17"/>
                <w:szCs w:val="17"/>
                <w:color w:val="auto"/>
              </w:rPr>
              <w:t>1,897,544</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loss per common unit</w:t>
            </w:r>
          </w:p>
        </w:tc>
        <w:tc>
          <w:tcPr>
            <w:tcW w:w="4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15.08)</w:t>
            </w:r>
          </w:p>
        </w:tc>
        <w:tc>
          <w:tcPr>
            <w:tcW w:w="4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6.51)</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360" w:right="140" w:firstLine="535"/>
        <w:spacing w:after="0" w:line="247" w:lineRule="auto"/>
        <w:rPr>
          <w:sz w:val="20"/>
          <w:szCs w:val="20"/>
          <w:color w:val="auto"/>
        </w:rPr>
      </w:pPr>
      <w:r>
        <w:rPr>
          <w:rFonts w:ascii="Arial" w:cs="Arial" w:eastAsia="Arial" w:hAnsi="Arial"/>
          <w:sz w:val="17"/>
          <w:szCs w:val="17"/>
          <w:color w:val="auto"/>
        </w:rPr>
        <w:t>The Company’s potential dilutive securities, which include redeemable preferred units, incentive plan units and preferred unit warrant, have been excluded from the computation of diluted net loss per common unit as the effect would be to reduce the net loss per common unit. The following common unit equivalents have been excluded from the calculations of diluted loss per common unit because their inclusion would have been antidilutive.</w:t>
      </w:r>
    </w:p>
    <w:p>
      <w:pPr>
        <w:spacing w:after="0" w:line="207" w:lineRule="exact"/>
        <w:rPr>
          <w:sz w:val="20"/>
          <w:szCs w:val="20"/>
          <w:color w:val="auto"/>
        </w:rPr>
      </w:pPr>
    </w:p>
    <w:tbl>
      <w:tblPr>
        <w:tblLayout w:type="fixed"/>
        <w:tblInd w:w="36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020" w:type="dxa"/>
            <w:vAlign w:val="bottom"/>
          </w:tcPr>
          <w:p>
            <w:pPr>
              <w:jc w:val="right"/>
              <w:ind w:right="276"/>
              <w:spacing w:after="0"/>
              <w:rPr>
                <w:sz w:val="20"/>
                <w:szCs w:val="20"/>
                <w:color w:val="auto"/>
              </w:rPr>
            </w:pPr>
            <w:r>
              <w:rPr>
                <w:rFonts w:ascii="Arial" w:cs="Arial" w:eastAsia="Arial" w:hAnsi="Arial"/>
                <w:sz w:val="14"/>
                <w:szCs w:val="14"/>
                <w:b w:val="1"/>
                <w:bCs w:val="1"/>
                <w:color w:val="auto"/>
              </w:rPr>
              <w:t>2017</w:t>
            </w:r>
          </w:p>
        </w:tc>
        <w:tc>
          <w:tcPr>
            <w:tcW w:w="1280" w:type="dxa"/>
            <w:vAlign w:val="bottom"/>
            <w:gridSpan w:val="2"/>
          </w:tcPr>
          <w:p>
            <w:pPr>
              <w:jc w:val="right"/>
              <w:ind w:right="273"/>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r>
      <w:tr>
        <w:trPr>
          <w:trHeight w:val="190"/>
        </w:trPr>
        <w:tc>
          <w:tcPr>
            <w:tcW w:w="20" w:type="dxa"/>
            <w:vAlign w:val="bottom"/>
          </w:tcPr>
          <w:p>
            <w:pPr>
              <w:spacing w:after="0"/>
              <w:rPr>
                <w:sz w:val="16"/>
                <w:szCs w:val="16"/>
                <w:color w:val="auto"/>
              </w:rPr>
            </w:pPr>
          </w:p>
        </w:tc>
        <w:tc>
          <w:tcPr>
            <w:tcW w:w="832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Redeemable preferred units, as if converted to common units</w:t>
            </w:r>
          </w:p>
        </w:tc>
        <w:tc>
          <w:tcPr>
            <w:tcW w:w="10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14,597,268</w:t>
            </w:r>
          </w:p>
        </w:tc>
        <w:tc>
          <w:tcPr>
            <w:tcW w:w="26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14,597,268</w:t>
            </w:r>
          </w:p>
        </w:tc>
        <w:tc>
          <w:tcPr>
            <w:tcW w:w="60" w:type="dxa"/>
            <w:vAlign w:val="bottom"/>
            <w:tcBorders>
              <w:top w:val="single" w:sz="8" w:color="CCEEFF"/>
            </w:tcBorders>
            <w:shd w:val="clear" w:color="auto" w:fill="CCEEFF"/>
          </w:tcPr>
          <w:p>
            <w:pPr>
              <w:spacing w:after="0"/>
              <w:rPr>
                <w:sz w:val="16"/>
                <w:szCs w:val="16"/>
                <w:color w:val="auto"/>
              </w:rPr>
            </w:pPr>
          </w:p>
        </w:tc>
      </w:tr>
      <w:tr>
        <w:trPr>
          <w:trHeight w:val="197"/>
        </w:trPr>
        <w:tc>
          <w:tcPr>
            <w:tcW w:w="20" w:type="dxa"/>
            <w:vAlign w:val="bottom"/>
          </w:tcPr>
          <w:p>
            <w:pPr>
              <w:spacing w:after="0"/>
              <w:rPr>
                <w:sz w:val="17"/>
                <w:szCs w:val="17"/>
                <w:color w:val="auto"/>
              </w:rPr>
            </w:pPr>
          </w:p>
        </w:tc>
        <w:tc>
          <w:tcPr>
            <w:tcW w:w="8320" w:type="dxa"/>
            <w:vAlign w:val="bottom"/>
          </w:tcPr>
          <w:p>
            <w:pPr>
              <w:spacing w:after="0"/>
              <w:rPr>
                <w:sz w:val="20"/>
                <w:szCs w:val="20"/>
                <w:color w:val="auto"/>
              </w:rPr>
            </w:pPr>
            <w:r>
              <w:rPr>
                <w:rFonts w:ascii="Arial" w:cs="Arial" w:eastAsia="Arial" w:hAnsi="Arial"/>
                <w:sz w:val="17"/>
                <w:szCs w:val="17"/>
                <w:color w:val="auto"/>
              </w:rPr>
              <w:t>Incentive units</w:t>
            </w:r>
          </w:p>
        </w:tc>
        <w:tc>
          <w:tcPr>
            <w:tcW w:w="1020" w:type="dxa"/>
            <w:vAlign w:val="bottom"/>
          </w:tcPr>
          <w:p>
            <w:pPr>
              <w:jc w:val="right"/>
              <w:spacing w:after="0"/>
              <w:rPr>
                <w:sz w:val="20"/>
                <w:szCs w:val="20"/>
                <w:color w:val="auto"/>
              </w:rPr>
            </w:pPr>
            <w:r>
              <w:rPr>
                <w:rFonts w:ascii="Arial" w:cs="Arial" w:eastAsia="Arial" w:hAnsi="Arial"/>
                <w:sz w:val="17"/>
                <w:szCs w:val="17"/>
                <w:color w:val="auto"/>
              </w:rPr>
              <w:t>3,669,963</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3,066,734</w:t>
            </w:r>
          </w:p>
        </w:tc>
        <w:tc>
          <w:tcPr>
            <w:tcW w:w="6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7"/>
                <w:szCs w:val="17"/>
                <w:color w:val="auto"/>
              </w:rPr>
              <w:t>Preferred unit warrant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33,881</w:t>
            </w:r>
          </w:p>
        </w:tc>
        <w:tc>
          <w:tcPr>
            <w:tcW w:w="26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33,881</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18,301,112</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17,697,883</w:t>
            </w:r>
          </w:p>
        </w:tc>
        <w:tc>
          <w:tcPr>
            <w:tcW w:w="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7"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Pro Forma Net Loss Per Share</w:t>
      </w:r>
    </w:p>
    <w:p>
      <w:pPr>
        <w:spacing w:after="0" w:line="126" w:lineRule="exact"/>
        <w:rPr>
          <w:sz w:val="20"/>
          <w:szCs w:val="20"/>
          <w:color w:val="auto"/>
        </w:rPr>
      </w:pPr>
    </w:p>
    <w:p>
      <w:pPr>
        <w:ind w:left="360" w:right="20" w:firstLine="535"/>
        <w:spacing w:after="0" w:line="247" w:lineRule="auto"/>
        <w:rPr>
          <w:sz w:val="20"/>
          <w:szCs w:val="20"/>
          <w:color w:val="auto"/>
        </w:rPr>
      </w:pPr>
      <w:r>
        <w:rPr>
          <w:rFonts w:ascii="Arial" w:cs="Arial" w:eastAsia="Arial" w:hAnsi="Arial"/>
          <w:sz w:val="17"/>
          <w:szCs w:val="17"/>
          <w:color w:val="auto"/>
        </w:rPr>
        <w:t>The pro forma basic and diluted net loss per share attributable to common stockholders for the year ended December 31, 2017 has been prepared to give effect to adjustments arising upon the completion of a qualified initial public offering. The pro forma net loss attributable to common stockholders used in the calculation of pro forma basic and diluted net loss per share attributable to common stockholders does not include the effects of the change in the redemption value of the</w:t>
      </w:r>
    </w:p>
    <w:p>
      <w:pPr>
        <w:spacing w:after="0" w:line="12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F-23</w:t>
      </w:r>
    </w:p>
    <w:p>
      <w:pPr>
        <w:sectPr>
          <w:pgSz w:w="11900" w:h="16838" w:orient="portrait"/>
          <w:cols w:equalWidth="0" w:num="1">
            <w:col w:w="11060"/>
          </w:cols>
          <w:pgMar w:left="240" w:top="450" w:right="599" w:bottom="1440" w:gutter="0" w:footer="0" w:header="0"/>
        </w:sectPr>
      </w:pPr>
    </w:p>
    <w:bookmarkStart w:id="224" w:name="page225"/>
    <w:bookmarkEnd w:id="2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60"/>
        <w:spacing w:after="0" w:line="259" w:lineRule="auto"/>
        <w:rPr>
          <w:sz w:val="20"/>
          <w:szCs w:val="20"/>
          <w:color w:val="auto"/>
        </w:rPr>
      </w:pPr>
      <w:r>
        <w:rPr>
          <w:rFonts w:ascii="Arial" w:cs="Arial" w:eastAsia="Arial" w:hAnsi="Arial"/>
          <w:sz w:val="17"/>
          <w:szCs w:val="17"/>
          <w:color w:val="auto"/>
        </w:rPr>
        <w:t>preferred units because the calculation gives effect to the automatic conversion of all shares of redeemable convertible preferred units outstanding at December 31, 2017 into shares of common stock as if the proposed initial public offering had occurred on January 1, 2017.</w:t>
      </w:r>
    </w:p>
    <w:p>
      <w:pPr>
        <w:spacing w:after="0" w:line="181" w:lineRule="exact"/>
        <w:rPr>
          <w:sz w:val="20"/>
          <w:szCs w:val="20"/>
          <w:color w:val="auto"/>
        </w:rPr>
      </w:pPr>
    </w:p>
    <w:p>
      <w:pPr>
        <w:ind w:left="360" w:right="60" w:firstLine="535"/>
        <w:spacing w:after="0" w:line="243" w:lineRule="auto"/>
        <w:rPr>
          <w:sz w:val="20"/>
          <w:szCs w:val="20"/>
          <w:color w:val="auto"/>
        </w:rPr>
      </w:pPr>
      <w:r>
        <w:rPr>
          <w:rFonts w:ascii="Arial" w:cs="Arial" w:eastAsia="Arial" w:hAnsi="Arial"/>
          <w:sz w:val="17"/>
          <w:szCs w:val="17"/>
          <w:color w:val="auto"/>
        </w:rPr>
        <w:t>The pro forma basic and diluted weighted average common shares outstanding used in the calculation of pro forma basic and diluted net loss per share attributable to common stockholders for the year ended December 31, 2017 has been prepared to give effect to the conversion of Arvinas LLC to a C-corporation, the conversion of common units to common stock, the conversion of preferred units to preferred stock, and upon a qualified initial public offering, to automatic conversion of all outstanding shares of redeemable preferred units into common stock as if the proposed initial public offering had occurred on January 1, 2017. The pro forma basic and diluted loss per share also gives effect to the expected conversion of incentive units into common and restricted shares, assuming a conversion ratio determined by the Board of Directors and based on the initial offering price of the Company’s common stock. The incentive units that will convert into common shares have been included within basic pro forma loss per share. The incentive units that convert into restricted shares have been excluded from basic loss per share given that the incentive units have no obligation to share in losses and have been excluded from dilutive loss per share due to anti-dilutive effect. Pro forma basic and diluted net loss per share attributable to common stockholders for the year ended December 31, 2017 was calculated as follows:</w:t>
      </w:r>
    </w:p>
    <w:p>
      <w:pPr>
        <w:spacing w:after="0" w:line="222" w:lineRule="exact"/>
        <w:rPr>
          <w:sz w:val="20"/>
          <w:szCs w:val="20"/>
          <w:color w:val="auto"/>
        </w:rPr>
      </w:pPr>
    </w:p>
    <w:tbl>
      <w:tblPr>
        <w:tblLayout w:type="fixed"/>
        <w:tblInd w:w="3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7"/>
                <w:szCs w:val="17"/>
                <w:color w:val="auto"/>
              </w:rPr>
              <w:t>Net loss attributable to common units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9"/>
              </w:rPr>
              <w:t>(28,619,637)</w:t>
            </w:r>
          </w:p>
        </w:tc>
      </w:tr>
      <w:tr>
        <w:trPr>
          <w:trHeight w:val="203"/>
        </w:trPr>
        <w:tc>
          <w:tcPr>
            <w:tcW w:w="20" w:type="dxa"/>
            <w:vAlign w:val="bottom"/>
          </w:tcPr>
          <w:p>
            <w:pPr>
              <w:spacing w:after="0"/>
              <w:rPr>
                <w:sz w:val="17"/>
                <w:szCs w:val="17"/>
                <w:color w:val="auto"/>
              </w:rPr>
            </w:pPr>
          </w:p>
        </w:tc>
        <w:tc>
          <w:tcPr>
            <w:tcW w:w="9080" w:type="dxa"/>
            <w:vAlign w:val="bottom"/>
          </w:tcPr>
          <w:p>
            <w:pPr>
              <w:spacing w:after="0"/>
              <w:rPr>
                <w:sz w:val="20"/>
                <w:szCs w:val="20"/>
                <w:color w:val="auto"/>
              </w:rPr>
            </w:pPr>
            <w:r>
              <w:rPr>
                <w:rFonts w:ascii="Arial" w:cs="Arial" w:eastAsia="Arial" w:hAnsi="Arial"/>
                <w:sz w:val="17"/>
                <w:szCs w:val="17"/>
                <w:color w:val="auto"/>
              </w:rPr>
              <w:t>Change in redemption value of preferred units</w:t>
            </w:r>
          </w:p>
        </w:tc>
        <w:tc>
          <w:tcPr>
            <w:tcW w:w="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4,570,431</w:t>
            </w:r>
          </w:p>
        </w:tc>
        <w:tc>
          <w:tcPr>
            <w:tcW w:w="10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7"/>
                <w:szCs w:val="17"/>
                <w:color w:val="auto"/>
              </w:rPr>
              <w:t>Net loss attributable to common shares—basic and diluted</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9"/>
              </w:rPr>
              <w:t>(24,049,206)</w:t>
            </w:r>
          </w:p>
        </w:tc>
      </w:tr>
      <w:tr>
        <w:trPr>
          <w:trHeight w:val="20"/>
        </w:trPr>
        <w:tc>
          <w:tcPr>
            <w:tcW w:w="9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9100" w:type="dxa"/>
            <w:vAlign w:val="bottom"/>
            <w:gridSpan w:val="2"/>
          </w:tcPr>
          <w:p>
            <w:pPr>
              <w:spacing w:after="0" w:line="189" w:lineRule="exact"/>
              <w:rPr>
                <w:sz w:val="20"/>
                <w:szCs w:val="20"/>
                <w:color w:val="auto"/>
              </w:rPr>
            </w:pPr>
            <w:r>
              <w:rPr>
                <w:rFonts w:ascii="Arial" w:cs="Arial" w:eastAsia="Arial" w:hAnsi="Arial"/>
                <w:sz w:val="17"/>
                <w:szCs w:val="17"/>
                <w:color w:val="auto"/>
              </w:rPr>
              <w:t>Weighted average number of common units outstanding</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1,897,544</w:t>
            </w:r>
          </w:p>
        </w:tc>
        <w:tc>
          <w:tcPr>
            <w:tcW w:w="10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7"/>
                <w:szCs w:val="17"/>
                <w:color w:val="auto"/>
              </w:rPr>
              <w:t>Pro forma adjustment to reflect automatic conversion of convertible preferred stock and incentive units to common</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90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stock upon the completion of the proposed initial public offering</w:t>
            </w:r>
          </w:p>
        </w:tc>
        <w:tc>
          <w:tcPr>
            <w:tcW w:w="3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15,981,753</w:t>
            </w:r>
          </w:p>
        </w:tc>
        <w:tc>
          <w:tcPr>
            <w:tcW w:w="100" w:type="dxa"/>
            <w:vAlign w:val="bottom"/>
            <w:shd w:val="clear" w:color="auto" w:fill="CCEEFF"/>
          </w:tcPr>
          <w:p>
            <w:pPr>
              <w:spacing w:after="0"/>
              <w:rPr>
                <w:sz w:val="17"/>
                <w:szCs w:val="17"/>
                <w:color w:val="auto"/>
              </w:rPr>
            </w:pPr>
          </w:p>
        </w:tc>
      </w:tr>
      <w:tr>
        <w:trPr>
          <w:trHeight w:val="203"/>
        </w:trPr>
        <w:tc>
          <w:tcPr>
            <w:tcW w:w="9100" w:type="dxa"/>
            <w:vAlign w:val="bottom"/>
            <w:gridSpan w:val="2"/>
          </w:tcPr>
          <w:p>
            <w:pPr>
              <w:spacing w:after="0"/>
              <w:rPr>
                <w:sz w:val="20"/>
                <w:szCs w:val="20"/>
                <w:color w:val="auto"/>
              </w:rPr>
            </w:pPr>
            <w:r>
              <w:rPr>
                <w:rFonts w:ascii="Arial" w:cs="Arial" w:eastAsia="Arial" w:hAnsi="Arial"/>
                <w:sz w:val="17"/>
                <w:szCs w:val="17"/>
                <w:color w:val="auto"/>
              </w:rPr>
              <w:t>Pro forma weighted average number of shares outstanding—basic and diluted</w:t>
            </w:r>
          </w:p>
        </w:tc>
        <w:tc>
          <w:tcPr>
            <w:tcW w:w="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17,879,297</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loss per common share</w:t>
            </w:r>
          </w:p>
        </w:tc>
        <w:tc>
          <w:tcPr>
            <w:tcW w:w="5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1.35)</w:t>
            </w: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ind w:left="360" w:right="220" w:firstLine="535"/>
        <w:spacing w:after="0" w:line="259" w:lineRule="auto"/>
        <w:rPr>
          <w:sz w:val="20"/>
          <w:szCs w:val="20"/>
          <w:color w:val="auto"/>
        </w:rPr>
      </w:pPr>
      <w:r>
        <w:rPr>
          <w:rFonts w:ascii="Arial" w:cs="Arial" w:eastAsia="Arial" w:hAnsi="Arial"/>
          <w:sz w:val="17"/>
          <w:szCs w:val="17"/>
          <w:color w:val="auto"/>
        </w:rPr>
        <w:t>The following common stock equivalents, presented on an as converted basis, were excluded from the calculation of net loss per share for the year ended December 31, 2017, due to their anti-dilutive effect:</w:t>
      </w:r>
    </w:p>
    <w:p>
      <w:pPr>
        <w:spacing w:after="0" w:line="207" w:lineRule="exact"/>
        <w:rPr>
          <w:sz w:val="20"/>
          <w:szCs w:val="20"/>
          <w:color w:val="auto"/>
        </w:rPr>
      </w:pPr>
    </w:p>
    <w:tbl>
      <w:tblPr>
        <w:tblLayout w:type="fixed"/>
        <w:tblInd w:w="3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7"/>
                <w:szCs w:val="17"/>
                <w:color w:val="auto"/>
              </w:rPr>
              <w:t>Preferred unit warrant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33,881</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720" w:type="dxa"/>
            <w:vAlign w:val="bottom"/>
          </w:tcPr>
          <w:p>
            <w:pPr>
              <w:spacing w:after="0"/>
              <w:rPr>
                <w:sz w:val="20"/>
                <w:szCs w:val="20"/>
                <w:color w:val="auto"/>
              </w:rPr>
            </w:pPr>
            <w:r>
              <w:rPr>
                <w:rFonts w:ascii="Arial" w:cs="Arial" w:eastAsia="Arial" w:hAnsi="Arial"/>
                <w:sz w:val="17"/>
                <w:szCs w:val="17"/>
                <w:color w:val="auto"/>
              </w:rPr>
              <w:t>Unvested common units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1,087,600</w:t>
            </w:r>
          </w:p>
        </w:tc>
        <w:tc>
          <w:tcPr>
            <w:tcW w:w="6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972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1,121,481</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7"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14. Related Parties</w:t>
      </w:r>
    </w:p>
    <w:p>
      <w:pPr>
        <w:spacing w:after="0" w:line="126" w:lineRule="exact"/>
        <w:rPr>
          <w:sz w:val="20"/>
          <w:szCs w:val="20"/>
          <w:color w:val="auto"/>
        </w:rPr>
      </w:pPr>
    </w:p>
    <w:p>
      <w:pPr>
        <w:ind w:left="360" w:right="180" w:firstLine="535"/>
        <w:spacing w:after="0" w:line="250" w:lineRule="auto"/>
        <w:rPr>
          <w:sz w:val="20"/>
          <w:szCs w:val="20"/>
          <w:color w:val="auto"/>
        </w:rPr>
      </w:pPr>
      <w:r>
        <w:rPr>
          <w:rFonts w:ascii="Arial" w:cs="Arial" w:eastAsia="Arial" w:hAnsi="Arial"/>
          <w:sz w:val="17"/>
          <w:szCs w:val="17"/>
          <w:color w:val="auto"/>
        </w:rPr>
        <w:t>Dr. Craig Crews, founder of the Company and the Chief Scientific Advisor to the Company, is a common unit holder in the Company and has a consulting agreement with the Company. During the years ended December 31, 2017 and 2016, the Company paid Professor Crews $150,000 each year, related to his consulting agreement.</w:t>
      </w:r>
    </w:p>
    <w:p>
      <w:pPr>
        <w:spacing w:after="0" w:line="189" w:lineRule="exact"/>
        <w:rPr>
          <w:sz w:val="20"/>
          <w:szCs w:val="20"/>
          <w:color w:val="auto"/>
        </w:rPr>
      </w:pPr>
    </w:p>
    <w:p>
      <w:pPr>
        <w:ind w:left="360" w:right="200" w:firstLine="535"/>
        <w:spacing w:after="0" w:line="250" w:lineRule="auto"/>
        <w:rPr>
          <w:sz w:val="20"/>
          <w:szCs w:val="20"/>
          <w:color w:val="auto"/>
        </w:rPr>
      </w:pPr>
      <w:r>
        <w:rPr>
          <w:rFonts w:ascii="Arial" w:cs="Arial" w:eastAsia="Arial" w:hAnsi="Arial"/>
          <w:sz w:val="17"/>
          <w:szCs w:val="17"/>
          <w:color w:val="auto"/>
        </w:rPr>
        <w:t>In July 2013, the Company entered into an exclusive license agreement, including the right to grant sublicenses, with Yale University, a common unit holder in the Company, to develop protein degradation technologies. The Company is required to pay Yale University a minimum annual License Maintenance Royalty of $75,000 until the first commercial sale of product. During the years ended</w:t>
      </w:r>
    </w:p>
    <w:p>
      <w:pPr>
        <w:spacing w:after="0" w:line="12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F-24</w:t>
      </w:r>
    </w:p>
    <w:p>
      <w:pPr>
        <w:sectPr>
          <w:pgSz w:w="11900" w:h="16838" w:orient="portrait"/>
          <w:cols w:equalWidth="0" w:num="1">
            <w:col w:w="11060"/>
          </w:cols>
          <w:pgMar w:left="240" w:top="450" w:right="599" w:bottom="1440" w:gutter="0" w:footer="0" w:header="0"/>
        </w:sectPr>
      </w:pPr>
    </w:p>
    <w:bookmarkStart w:id="225" w:name="page226"/>
    <w:bookmarkEnd w:id="2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spacing w:after="0" w:line="250" w:lineRule="auto"/>
        <w:rPr>
          <w:sz w:val="20"/>
          <w:szCs w:val="20"/>
          <w:color w:val="auto"/>
        </w:rPr>
      </w:pPr>
      <w:r>
        <w:rPr>
          <w:rFonts w:ascii="Arial" w:cs="Arial" w:eastAsia="Arial" w:hAnsi="Arial"/>
          <w:sz w:val="17"/>
          <w:szCs w:val="17"/>
          <w:color w:val="auto"/>
        </w:rPr>
        <w:t>December 31, 2017 and 2016, the Company paid the Office of Cooperative Research at Yale University, a common unit holder in the Company, $152,063 and $68,710, respectively, for the license maintenance royalty fee, reimbursable patent costs and sublicense fee (see Note 3).</w:t>
      </w:r>
    </w:p>
    <w:p>
      <w:pPr>
        <w:spacing w:after="0" w:line="189" w:lineRule="exact"/>
        <w:rPr>
          <w:sz w:val="20"/>
          <w:szCs w:val="20"/>
          <w:color w:val="auto"/>
        </w:rPr>
      </w:pPr>
    </w:p>
    <w:p>
      <w:pPr>
        <w:ind w:left="360" w:right="20" w:firstLine="535"/>
        <w:spacing w:after="0" w:line="245" w:lineRule="auto"/>
        <w:rPr>
          <w:sz w:val="20"/>
          <w:szCs w:val="20"/>
          <w:color w:val="auto"/>
        </w:rPr>
      </w:pPr>
      <w:r>
        <w:rPr>
          <w:rFonts w:ascii="Arial" w:cs="Arial" w:eastAsia="Arial" w:hAnsi="Arial"/>
          <w:sz w:val="17"/>
          <w:szCs w:val="17"/>
          <w:color w:val="auto"/>
        </w:rPr>
        <w:t>In July 2016, the Company entered into a Corporate Sponsored Research Agreement (SRA) with Yale University, under the direction of Professor Crews, that expires in July 2018. The SRA calls for quarterly payments of $101,161 through April 2018, in exchange for performing the research on the agreed upon program and related research reports. The total payments made under the SRA for 2017 and 2016 were $404,632 and $202,321, respectively. The SRA was amended in April 2018 to extend the agreement until April 2021 and amend the scope of work. The amended SRA calls for quarterly payments of $250,000 through the end of the agreement.</w:t>
      </w:r>
    </w:p>
    <w:p>
      <w:pPr>
        <w:spacing w:after="0" w:line="280" w:lineRule="exact"/>
        <w:rPr>
          <w:sz w:val="20"/>
          <w:szCs w:val="20"/>
          <w:color w:val="auto"/>
        </w:rPr>
      </w:pPr>
    </w:p>
    <w:p>
      <w:pPr>
        <w:ind w:left="360" w:right="8760" w:firstLine="5"/>
        <w:spacing w:after="0" w:line="382" w:lineRule="auto"/>
        <w:tabs>
          <w:tab w:leader="none" w:pos="651" w:val="left"/>
        </w:tabs>
        <w:numPr>
          <w:ilvl w:val="0"/>
          <w:numId w:val="12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Subsequent Events </w:t>
      </w:r>
      <w:r>
        <w:rPr>
          <w:rFonts w:ascii="Arial" w:cs="Arial" w:eastAsia="Arial" w:hAnsi="Arial"/>
          <w:sz w:val="17"/>
          <w:szCs w:val="17"/>
          <w:b w:val="1"/>
          <w:bCs w:val="1"/>
          <w:color w:val="auto"/>
        </w:rPr>
        <w:t>Financing</w:t>
      </w:r>
    </w:p>
    <w:p>
      <w:pPr>
        <w:spacing w:after="0" w:line="1" w:lineRule="exact"/>
        <w:rPr>
          <w:sz w:val="20"/>
          <w:szCs w:val="20"/>
          <w:color w:val="auto"/>
        </w:rPr>
      </w:pPr>
    </w:p>
    <w:p>
      <w:pPr>
        <w:ind w:left="360" w:right="240" w:firstLine="535"/>
        <w:spacing w:after="0" w:line="247" w:lineRule="auto"/>
        <w:rPr>
          <w:sz w:val="20"/>
          <w:szCs w:val="20"/>
          <w:color w:val="auto"/>
        </w:rPr>
      </w:pPr>
      <w:r>
        <w:rPr>
          <w:rFonts w:ascii="Arial" w:cs="Arial" w:eastAsia="Arial" w:hAnsi="Arial"/>
          <w:sz w:val="17"/>
          <w:szCs w:val="17"/>
          <w:color w:val="auto"/>
        </w:rPr>
        <w:t>In March 2018, the Company entered into a Series C Preferred Unit Purchase Agreement (the Series C Agreement) to raise additional equity. Under the terms of the Series C Agreement, the Company sold 16,467,066 units of Series C Redeemable Convertible Preferred Units (Series C Preferred Units) for $55.0 million at a price of $3.34 per unit. The Series C Preferred Units have similar rights, preferences, and privileges as the Series A and Series B Preferred Units.</w:t>
      </w:r>
    </w:p>
    <w:p>
      <w:pPr>
        <w:spacing w:after="0" w:line="274"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Reverse Unit Split</w:t>
      </w:r>
    </w:p>
    <w:p>
      <w:pPr>
        <w:spacing w:after="0" w:line="233" w:lineRule="exact"/>
        <w:rPr>
          <w:sz w:val="20"/>
          <w:szCs w:val="20"/>
          <w:color w:val="auto"/>
        </w:rPr>
      </w:pPr>
    </w:p>
    <w:p>
      <w:pPr>
        <w:ind w:left="360" w:right="420" w:firstLine="535"/>
        <w:spacing w:after="0" w:line="247" w:lineRule="auto"/>
        <w:rPr>
          <w:sz w:val="20"/>
          <w:szCs w:val="20"/>
          <w:color w:val="auto"/>
        </w:rPr>
      </w:pPr>
      <w:r>
        <w:rPr>
          <w:rFonts w:ascii="Arial" w:cs="Arial" w:eastAsia="Arial" w:hAnsi="Arial"/>
          <w:sz w:val="17"/>
          <w:szCs w:val="17"/>
          <w:color w:val="auto"/>
        </w:rPr>
        <w:t>The Company’s Board of Managers and unitholders approved a one-for-3.25 reverse unit split of its issued and outstanding common units and incentive units and a proportional adjustment to the existing conversion ratios for the Company’s preferred units effective as of September 14, 2018. Accordingly, all unit and per unit amounts for all periods presented in the accompanying financial statements and notes thereto have been retroactively adjusted, where applicable, to reflect the reverse unit split.</w:t>
      </w:r>
    </w:p>
    <w:p>
      <w:pPr>
        <w:spacing w:after="0" w:line="126"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F-25</w:t>
      </w:r>
    </w:p>
    <w:p>
      <w:pPr>
        <w:sectPr>
          <w:pgSz w:w="11900" w:h="16838" w:orient="portrait"/>
          <w:cols w:equalWidth="0" w:num="1">
            <w:col w:w="11040"/>
          </w:cols>
          <w:pgMar w:left="240" w:top="449" w:right="619" w:bottom="1440" w:gutter="0" w:footer="0" w:header="0"/>
        </w:sectPr>
      </w:pPr>
    </w:p>
    <w:bookmarkStart w:id="226" w:name="page227"/>
    <w:bookmarkEnd w:id="2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ind w:left="3360"/>
        <w:spacing w:after="0"/>
        <w:rPr>
          <w:sz w:val="20"/>
          <w:szCs w:val="20"/>
          <w:color w:val="auto"/>
        </w:rPr>
      </w:pPr>
      <w:r>
        <w:rPr>
          <w:rFonts w:ascii="Arial" w:cs="Arial" w:eastAsia="Arial" w:hAnsi="Arial"/>
          <w:sz w:val="17"/>
          <w:szCs w:val="17"/>
          <w:b w:val="1"/>
          <w:bCs w:val="1"/>
          <w:color w:val="auto"/>
        </w:rPr>
        <w:t>ARVINAS HOLDING COMPANY, LLC AND SUBSIDIARIES</w:t>
      </w:r>
    </w:p>
    <w:p>
      <w:pPr>
        <w:spacing w:after="0" w:line="316"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auto"/>
        </w:rPr>
        <w:t>Condensed Consolidated Balance Sheets (unaudited)</w:t>
      </w:r>
    </w:p>
    <w:p>
      <w:pPr>
        <w:spacing w:after="0" w:line="245"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Pro Forma</w:t>
            </w:r>
          </w:p>
        </w:tc>
      </w:tr>
      <w:tr>
        <w:trPr>
          <w:trHeight w:val="157"/>
        </w:trPr>
        <w:tc>
          <w:tcPr>
            <w:tcW w:w="2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480"/>
              <w:spacing w:after="0" w:line="157"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1200" w:type="dxa"/>
            <w:vAlign w:val="bottom"/>
            <w:gridSpan w:val="3"/>
          </w:tcPr>
          <w:p>
            <w:pPr>
              <w:jc w:val="right"/>
              <w:ind w:right="260"/>
              <w:spacing w:after="0" w:line="157"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w w:val="99"/>
              </w:rPr>
              <w:t>June 30,</w:t>
            </w:r>
          </w:p>
        </w:tc>
      </w:tr>
      <w:tr>
        <w:trPr>
          <w:trHeight w:val="169"/>
        </w:trPr>
        <w:tc>
          <w:tcPr>
            <w:tcW w:w="20" w:type="dxa"/>
            <w:vAlign w:val="bottom"/>
          </w:tcPr>
          <w:p>
            <w:pPr>
              <w:spacing w:after="0"/>
              <w:rPr>
                <w:sz w:val="14"/>
                <w:szCs w:val="14"/>
                <w:color w:val="auto"/>
              </w:rPr>
            </w:pPr>
          </w:p>
        </w:tc>
        <w:tc>
          <w:tcPr>
            <w:tcW w:w="66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6600" w:type="dxa"/>
            <w:vAlign w:val="bottom"/>
            <w:shd w:val="clear" w:color="auto" w:fill="CCEEFF"/>
          </w:tcPr>
          <w:p>
            <w:pPr>
              <w:spacing w:after="0" w:line="164" w:lineRule="exact"/>
              <w:rPr>
                <w:sz w:val="20"/>
                <w:szCs w:val="20"/>
                <w:color w:val="auto"/>
              </w:rPr>
            </w:pPr>
            <w:r>
              <w:rPr>
                <w:rFonts w:ascii="Arial" w:cs="Arial" w:eastAsia="Arial" w:hAnsi="Arial"/>
                <w:sz w:val="16"/>
                <w:szCs w:val="16"/>
                <w:b w:val="1"/>
                <w:bCs w:val="1"/>
                <w:color w:val="auto"/>
              </w:rPr>
              <w:t>Assets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4"/>
        </w:trPr>
        <w:tc>
          <w:tcPr>
            <w:tcW w:w="662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66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Cash and cash equivalents</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3,352,559</w:t>
            </w:r>
          </w:p>
        </w:tc>
        <w:tc>
          <w:tcPr>
            <w:tcW w:w="22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30,912,391</w:t>
            </w:r>
          </w:p>
        </w:tc>
        <w:tc>
          <w:tcPr>
            <w:tcW w:w="22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3,352,559</w:t>
            </w:r>
          </w:p>
        </w:tc>
        <w:tc>
          <w:tcPr>
            <w:tcW w:w="100" w:type="dxa"/>
            <w:vAlign w:val="bottom"/>
            <w:shd w:val="clear" w:color="auto" w:fill="CCEEFF"/>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6600" w:type="dxa"/>
            <w:vAlign w:val="bottom"/>
          </w:tcPr>
          <w:p>
            <w:pPr>
              <w:ind w:left="300"/>
              <w:spacing w:after="0"/>
              <w:rPr>
                <w:sz w:val="20"/>
                <w:szCs w:val="20"/>
                <w:color w:val="auto"/>
              </w:rPr>
            </w:pPr>
            <w:r>
              <w:rPr>
                <w:rFonts w:ascii="Arial" w:cs="Arial" w:eastAsia="Arial" w:hAnsi="Arial"/>
                <w:sz w:val="16"/>
                <w:szCs w:val="16"/>
                <w:color w:val="auto"/>
              </w:rPr>
              <w:t>Marketable securities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96,386,761</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8,258,982</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96,386,761</w:t>
            </w:r>
          </w:p>
        </w:tc>
        <w:tc>
          <w:tcPr>
            <w:tcW w:w="100" w:type="dxa"/>
            <w:vAlign w:val="bottom"/>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66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 receivable</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25,000,000</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84"/>
        </w:trPr>
        <w:tc>
          <w:tcPr>
            <w:tcW w:w="20" w:type="dxa"/>
            <w:vAlign w:val="bottom"/>
          </w:tcPr>
          <w:p>
            <w:pPr>
              <w:spacing w:after="0"/>
              <w:rPr>
                <w:sz w:val="15"/>
                <w:szCs w:val="15"/>
                <w:color w:val="auto"/>
              </w:rPr>
            </w:pPr>
          </w:p>
        </w:tc>
        <w:tc>
          <w:tcPr>
            <w:tcW w:w="6600" w:type="dxa"/>
            <w:vAlign w:val="bottom"/>
          </w:tcPr>
          <w:p>
            <w:pPr>
              <w:ind w:left="300"/>
              <w:spacing w:after="0"/>
              <w:rPr>
                <w:sz w:val="20"/>
                <w:szCs w:val="20"/>
                <w:color w:val="auto"/>
              </w:rPr>
            </w:pPr>
            <w:r>
              <w:rPr>
                <w:rFonts w:ascii="Arial" w:cs="Arial" w:eastAsia="Arial" w:hAnsi="Arial"/>
                <w:sz w:val="16"/>
                <w:szCs w:val="16"/>
                <w:color w:val="auto"/>
              </w:rPr>
              <w:t>Other receivable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1,962,425</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1,040,452</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1,962,425</w:t>
            </w:r>
          </w:p>
        </w:tc>
        <w:tc>
          <w:tcPr>
            <w:tcW w:w="100" w:type="dxa"/>
            <w:vAlign w:val="bottom"/>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66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Prepaid expenses and other current assets</w:t>
            </w: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1,990,947</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316,903</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1,990,947</w:t>
            </w:r>
          </w:p>
        </w:tc>
        <w:tc>
          <w:tcPr>
            <w:tcW w:w="100" w:type="dxa"/>
            <w:vAlign w:val="bottom"/>
            <w:shd w:val="clear" w:color="auto" w:fill="CCEEFF"/>
          </w:tcPr>
          <w:p>
            <w:pPr>
              <w:spacing w:after="0"/>
              <w:rPr>
                <w:sz w:val="15"/>
                <w:szCs w:val="15"/>
                <w:color w:val="auto"/>
              </w:rPr>
            </w:pPr>
          </w:p>
        </w:tc>
      </w:tr>
      <w:tr>
        <w:trPr>
          <w:trHeight w:val="190"/>
        </w:trPr>
        <w:tc>
          <w:tcPr>
            <w:tcW w:w="6620" w:type="dxa"/>
            <w:vAlign w:val="bottom"/>
            <w:gridSpan w:val="2"/>
          </w:tcPr>
          <w:p>
            <w:pPr>
              <w:spacing w:after="0"/>
              <w:rPr>
                <w:sz w:val="20"/>
                <w:szCs w:val="20"/>
                <w:color w:val="auto"/>
              </w:rPr>
            </w:pPr>
            <w:r>
              <w:rPr>
                <w:rFonts w:ascii="Arial" w:cs="Arial" w:eastAsia="Arial" w:hAnsi="Arial"/>
                <w:sz w:val="16"/>
                <w:szCs w:val="16"/>
                <w:color w:val="auto"/>
              </w:rPr>
              <w:t>Total current assets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103,692,692</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65,528,728</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103,692,692</w:t>
            </w:r>
          </w:p>
        </w:tc>
        <w:tc>
          <w:tcPr>
            <w:tcW w:w="100" w:type="dxa"/>
            <w:vAlign w:val="bottom"/>
          </w:tcPr>
          <w:p>
            <w:pPr>
              <w:spacing w:after="0"/>
              <w:rPr>
                <w:sz w:val="16"/>
                <w:szCs w:val="16"/>
                <w:color w:val="auto"/>
              </w:rPr>
            </w:pPr>
          </w:p>
        </w:tc>
      </w:tr>
      <w:tr>
        <w:trPr>
          <w:trHeight w:val="184"/>
        </w:trPr>
        <w:tc>
          <w:tcPr>
            <w:tcW w:w="20" w:type="dxa"/>
            <w:vAlign w:val="bottom"/>
          </w:tcPr>
          <w:p>
            <w:pPr>
              <w:spacing w:after="0"/>
              <w:rPr>
                <w:sz w:val="15"/>
                <w:szCs w:val="15"/>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6"/>
                <w:szCs w:val="16"/>
                <w:color w:val="auto"/>
              </w:rPr>
              <w:t>Property, equipment and leasehold improvements, net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2,277,599</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1,298,881</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2,277,599</w:t>
            </w:r>
          </w:p>
        </w:tc>
        <w:tc>
          <w:tcPr>
            <w:tcW w:w="100" w:type="dxa"/>
            <w:vAlign w:val="bottom"/>
            <w:shd w:val="clear" w:color="auto" w:fill="CCEEFF"/>
          </w:tcPr>
          <w:p>
            <w:pPr>
              <w:spacing w:after="0"/>
              <w:rPr>
                <w:sz w:val="15"/>
                <w:szCs w:val="15"/>
                <w:color w:val="auto"/>
              </w:rPr>
            </w:pPr>
          </w:p>
        </w:tc>
      </w:tr>
      <w:tr>
        <w:trPr>
          <w:trHeight w:val="184"/>
        </w:trPr>
        <w:tc>
          <w:tcPr>
            <w:tcW w:w="6620" w:type="dxa"/>
            <w:vAlign w:val="bottom"/>
            <w:gridSpan w:val="2"/>
          </w:tcPr>
          <w:p>
            <w:pPr>
              <w:spacing w:after="0"/>
              <w:rPr>
                <w:sz w:val="20"/>
                <w:szCs w:val="20"/>
                <w:color w:val="auto"/>
              </w:rPr>
            </w:pPr>
            <w:r>
              <w:rPr>
                <w:rFonts w:ascii="Arial" w:cs="Arial" w:eastAsia="Arial" w:hAnsi="Arial"/>
                <w:sz w:val="16"/>
                <w:szCs w:val="16"/>
                <w:color w:val="auto"/>
              </w:rPr>
              <w:t>Other assets: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66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Deposits</w:t>
            </w: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20,760</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20,760</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20,760</w:t>
            </w:r>
          </w:p>
        </w:tc>
        <w:tc>
          <w:tcPr>
            <w:tcW w:w="100" w:type="dxa"/>
            <w:vAlign w:val="bottom"/>
            <w:shd w:val="clear" w:color="auto" w:fill="CCEEFF"/>
          </w:tcPr>
          <w:p>
            <w:pPr>
              <w:spacing w:after="0"/>
              <w:rPr>
                <w:sz w:val="15"/>
                <w:szCs w:val="15"/>
                <w:color w:val="auto"/>
              </w:rPr>
            </w:pPr>
          </w:p>
        </w:tc>
      </w:tr>
      <w:tr>
        <w:trPr>
          <w:trHeight w:val="190"/>
        </w:trPr>
        <w:tc>
          <w:tcPr>
            <w:tcW w:w="6620" w:type="dxa"/>
            <w:vAlign w:val="bottom"/>
            <w:gridSpan w:val="2"/>
          </w:tcPr>
          <w:p>
            <w:pPr>
              <w:spacing w:after="0"/>
              <w:rPr>
                <w:sz w:val="20"/>
                <w:szCs w:val="20"/>
                <w:color w:val="auto"/>
              </w:rPr>
            </w:pPr>
            <w:r>
              <w:rPr>
                <w:rFonts w:ascii="Arial" w:cs="Arial" w:eastAsia="Arial" w:hAnsi="Arial"/>
                <w:sz w:val="16"/>
                <w:szCs w:val="16"/>
                <w:color w:val="auto"/>
              </w:rPr>
              <w:t>Total assets</w:t>
            </w: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105,991,051</w:t>
            </w:r>
          </w:p>
        </w:tc>
        <w:tc>
          <w:tcPr>
            <w:tcW w:w="220" w:type="dxa"/>
            <w:vAlign w:val="bottom"/>
          </w:tcPr>
          <w:p>
            <w:pPr>
              <w:spacing w:after="0"/>
              <w:rPr>
                <w:sz w:val="16"/>
                <w:szCs w:val="16"/>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66,848,369</w:t>
            </w:r>
          </w:p>
        </w:tc>
        <w:tc>
          <w:tcPr>
            <w:tcW w:w="220" w:type="dxa"/>
            <w:vAlign w:val="bottom"/>
          </w:tcPr>
          <w:p>
            <w:pPr>
              <w:spacing w:after="0"/>
              <w:rPr>
                <w:sz w:val="16"/>
                <w:szCs w:val="16"/>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105,991,051</w:t>
            </w:r>
          </w:p>
        </w:tc>
        <w:tc>
          <w:tcPr>
            <w:tcW w:w="1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600" w:type="dxa"/>
            <w:vAlign w:val="bottom"/>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Liabilities and members’ equity</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4"/>
        </w:trPr>
        <w:tc>
          <w:tcPr>
            <w:tcW w:w="6620" w:type="dxa"/>
            <w:vAlign w:val="bottom"/>
            <w:gridSpan w:val="2"/>
          </w:tcPr>
          <w:p>
            <w:pPr>
              <w:spacing w:after="0"/>
              <w:rPr>
                <w:sz w:val="20"/>
                <w:szCs w:val="20"/>
                <w:color w:val="auto"/>
              </w:rPr>
            </w:pPr>
            <w:r>
              <w:rPr>
                <w:rFonts w:ascii="Arial" w:cs="Arial" w:eastAsia="Arial" w:hAnsi="Arial"/>
                <w:sz w:val="16"/>
                <w:szCs w:val="16"/>
                <w:color w:val="auto"/>
              </w:rPr>
              <w:t>Current liabilities: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66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Accounts payable</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1,656,578</w:t>
            </w:r>
          </w:p>
        </w:tc>
        <w:tc>
          <w:tcPr>
            <w:tcW w:w="22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596,527</w:t>
            </w:r>
          </w:p>
        </w:tc>
        <w:tc>
          <w:tcPr>
            <w:tcW w:w="22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1,656,578</w:t>
            </w:r>
          </w:p>
        </w:tc>
        <w:tc>
          <w:tcPr>
            <w:tcW w:w="100" w:type="dxa"/>
            <w:vAlign w:val="bottom"/>
            <w:shd w:val="clear" w:color="auto" w:fill="CCEEFF"/>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6600" w:type="dxa"/>
            <w:vAlign w:val="bottom"/>
          </w:tcPr>
          <w:p>
            <w:pPr>
              <w:ind w:left="300"/>
              <w:spacing w:after="0"/>
              <w:rPr>
                <w:sz w:val="20"/>
                <w:szCs w:val="20"/>
                <w:color w:val="auto"/>
              </w:rPr>
            </w:pPr>
            <w:r>
              <w:rPr>
                <w:rFonts w:ascii="Arial" w:cs="Arial" w:eastAsia="Arial" w:hAnsi="Arial"/>
                <w:sz w:val="16"/>
                <w:szCs w:val="16"/>
                <w:color w:val="auto"/>
              </w:rPr>
              <w:t>Accrued expenses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1,984,804</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3,545,936</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1,984,804</w:t>
            </w:r>
          </w:p>
        </w:tc>
        <w:tc>
          <w:tcPr>
            <w:tcW w:w="100" w:type="dxa"/>
            <w:vAlign w:val="bottom"/>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66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Deferred revenue</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13,501,056</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13,553,136</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13,501,056</w:t>
            </w:r>
          </w:p>
        </w:tc>
        <w:tc>
          <w:tcPr>
            <w:tcW w:w="100" w:type="dxa"/>
            <w:vAlign w:val="bottom"/>
            <w:shd w:val="clear" w:color="auto" w:fill="CCEEFF"/>
          </w:tcPr>
          <w:p>
            <w:pPr>
              <w:spacing w:after="0"/>
              <w:rPr>
                <w:sz w:val="15"/>
                <w:szCs w:val="15"/>
                <w:color w:val="auto"/>
              </w:rPr>
            </w:pPr>
          </w:p>
        </w:tc>
      </w:tr>
      <w:tr>
        <w:trPr>
          <w:trHeight w:val="190"/>
        </w:trPr>
        <w:tc>
          <w:tcPr>
            <w:tcW w:w="20" w:type="dxa"/>
            <w:vAlign w:val="bottom"/>
          </w:tcPr>
          <w:p>
            <w:pPr>
              <w:spacing w:after="0"/>
              <w:rPr>
                <w:sz w:val="16"/>
                <w:szCs w:val="16"/>
                <w:color w:val="auto"/>
              </w:rPr>
            </w:pPr>
          </w:p>
        </w:tc>
        <w:tc>
          <w:tcPr>
            <w:tcW w:w="6600" w:type="dxa"/>
            <w:vAlign w:val="bottom"/>
          </w:tcPr>
          <w:p>
            <w:pPr>
              <w:ind w:left="300"/>
              <w:spacing w:after="0"/>
              <w:rPr>
                <w:sz w:val="20"/>
                <w:szCs w:val="20"/>
                <w:color w:val="auto"/>
              </w:rPr>
            </w:pPr>
            <w:r>
              <w:rPr>
                <w:rFonts w:ascii="Arial" w:cs="Arial" w:eastAsia="Arial" w:hAnsi="Arial"/>
                <w:sz w:val="16"/>
                <w:szCs w:val="16"/>
                <w:color w:val="auto"/>
              </w:rPr>
              <w:t>Current portion of long-term debt</w:t>
            </w: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168,650</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159,265</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168,650</w:t>
            </w:r>
          </w:p>
        </w:tc>
        <w:tc>
          <w:tcPr>
            <w:tcW w:w="100" w:type="dxa"/>
            <w:vAlign w:val="bottom"/>
          </w:tcPr>
          <w:p>
            <w:pPr>
              <w:spacing w:after="0"/>
              <w:rPr>
                <w:sz w:val="16"/>
                <w:szCs w:val="16"/>
                <w:color w:val="auto"/>
              </w:rPr>
            </w:pPr>
          </w:p>
        </w:tc>
      </w:tr>
      <w:tr>
        <w:trPr>
          <w:trHeight w:val="184"/>
        </w:trPr>
        <w:tc>
          <w:tcPr>
            <w:tcW w:w="20" w:type="dxa"/>
            <w:vAlign w:val="bottom"/>
          </w:tcPr>
          <w:p>
            <w:pPr>
              <w:spacing w:after="0"/>
              <w:rPr>
                <w:sz w:val="15"/>
                <w:szCs w:val="15"/>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6"/>
                <w:szCs w:val="16"/>
                <w:color w:val="auto"/>
              </w:rPr>
              <w:t>Total current liabilities</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17,311,088</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17,854,864</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17,311,088</w:t>
            </w:r>
          </w:p>
        </w:tc>
        <w:tc>
          <w:tcPr>
            <w:tcW w:w="100" w:type="dxa"/>
            <w:vAlign w:val="bottom"/>
            <w:shd w:val="clear" w:color="auto" w:fill="CCEEFF"/>
          </w:tcPr>
          <w:p>
            <w:pPr>
              <w:spacing w:after="0"/>
              <w:rPr>
                <w:sz w:val="15"/>
                <w:szCs w:val="15"/>
                <w:color w:val="auto"/>
              </w:rPr>
            </w:pPr>
          </w:p>
        </w:tc>
      </w:tr>
      <w:tr>
        <w:trPr>
          <w:trHeight w:val="184"/>
        </w:trPr>
        <w:tc>
          <w:tcPr>
            <w:tcW w:w="6620" w:type="dxa"/>
            <w:vAlign w:val="bottom"/>
            <w:gridSpan w:val="2"/>
          </w:tcPr>
          <w:p>
            <w:pPr>
              <w:spacing w:after="0"/>
              <w:rPr>
                <w:sz w:val="20"/>
                <w:szCs w:val="20"/>
                <w:color w:val="auto"/>
              </w:rPr>
            </w:pPr>
            <w:r>
              <w:rPr>
                <w:rFonts w:ascii="Arial" w:cs="Arial" w:eastAsia="Arial" w:hAnsi="Arial"/>
                <w:sz w:val="16"/>
                <w:szCs w:val="16"/>
                <w:color w:val="auto"/>
              </w:rPr>
              <w:t>Deferred revenue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44,089,214</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48,545,625</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44,089,214</w:t>
            </w:r>
          </w:p>
        </w:tc>
        <w:tc>
          <w:tcPr>
            <w:tcW w:w="100" w:type="dxa"/>
            <w:vAlign w:val="bottom"/>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6"/>
                <w:szCs w:val="16"/>
                <w:color w:val="auto"/>
              </w:rPr>
              <w:t>Long term debt, net of current portion</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65,399</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151,122</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65,399</w:t>
            </w:r>
          </w:p>
        </w:tc>
        <w:tc>
          <w:tcPr>
            <w:tcW w:w="100" w:type="dxa"/>
            <w:vAlign w:val="bottom"/>
            <w:shd w:val="clear" w:color="auto" w:fill="CCEEFF"/>
          </w:tcPr>
          <w:p>
            <w:pPr>
              <w:spacing w:after="0"/>
              <w:rPr>
                <w:sz w:val="15"/>
                <w:szCs w:val="15"/>
                <w:color w:val="auto"/>
              </w:rPr>
            </w:pPr>
          </w:p>
        </w:tc>
      </w:tr>
      <w:tr>
        <w:trPr>
          <w:trHeight w:val="190"/>
        </w:trPr>
        <w:tc>
          <w:tcPr>
            <w:tcW w:w="6620" w:type="dxa"/>
            <w:vAlign w:val="bottom"/>
            <w:gridSpan w:val="2"/>
          </w:tcPr>
          <w:p>
            <w:pPr>
              <w:spacing w:after="0"/>
              <w:rPr>
                <w:sz w:val="20"/>
                <w:szCs w:val="20"/>
                <w:color w:val="auto"/>
              </w:rPr>
            </w:pPr>
            <w:r>
              <w:rPr>
                <w:rFonts w:ascii="Arial" w:cs="Arial" w:eastAsia="Arial" w:hAnsi="Arial"/>
                <w:sz w:val="16"/>
                <w:szCs w:val="16"/>
                <w:color w:val="auto"/>
              </w:rPr>
              <w:t>Preferred unit warrant liability</w:t>
            </w: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244,667</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50,888</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244,667</w:t>
            </w:r>
          </w:p>
        </w:tc>
        <w:tc>
          <w:tcPr>
            <w:tcW w:w="100" w:type="dxa"/>
            <w:vAlign w:val="bottom"/>
          </w:tcPr>
          <w:p>
            <w:pPr>
              <w:spacing w:after="0"/>
              <w:rPr>
                <w:sz w:val="16"/>
                <w:szCs w:val="16"/>
                <w:color w:val="auto"/>
              </w:rPr>
            </w:pPr>
          </w:p>
        </w:tc>
      </w:tr>
      <w:tr>
        <w:trPr>
          <w:trHeight w:val="184"/>
        </w:trPr>
        <w:tc>
          <w:tcPr>
            <w:tcW w:w="20" w:type="dxa"/>
            <w:vAlign w:val="bottom"/>
          </w:tcPr>
          <w:p>
            <w:pPr>
              <w:spacing w:after="0"/>
              <w:rPr>
                <w:sz w:val="15"/>
                <w:szCs w:val="15"/>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w:t>
            </w: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61,710,368</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66,602,499</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61,710,368</w:t>
            </w:r>
          </w:p>
        </w:tc>
        <w:tc>
          <w:tcPr>
            <w:tcW w:w="100" w:type="dxa"/>
            <w:vAlign w:val="bottom"/>
            <w:shd w:val="clear" w:color="auto" w:fill="CCEEFF"/>
          </w:tcPr>
          <w:p>
            <w:pPr>
              <w:spacing w:after="0"/>
              <w:rPr>
                <w:sz w:val="15"/>
                <w:szCs w:val="15"/>
                <w:color w:val="auto"/>
              </w:rPr>
            </w:pPr>
          </w:p>
        </w:tc>
      </w:tr>
      <w:tr>
        <w:trPr>
          <w:trHeight w:val="190"/>
        </w:trPr>
        <w:tc>
          <w:tcPr>
            <w:tcW w:w="6620" w:type="dxa"/>
            <w:vAlign w:val="bottom"/>
            <w:gridSpan w:val="2"/>
          </w:tcPr>
          <w:p>
            <w:pPr>
              <w:spacing w:after="0"/>
              <w:rPr>
                <w:sz w:val="20"/>
                <w:szCs w:val="20"/>
                <w:color w:val="auto"/>
              </w:rPr>
            </w:pPr>
            <w:r>
              <w:rPr>
                <w:rFonts w:ascii="Arial" w:cs="Arial" w:eastAsia="Arial" w:hAnsi="Arial"/>
                <w:sz w:val="16"/>
                <w:szCs w:val="16"/>
                <w:b w:val="1"/>
                <w:bCs w:val="1"/>
                <w:color w:val="auto"/>
              </w:rPr>
              <w:t>Commitments and Contingencies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6"/>
                <w:szCs w:val="16"/>
                <w:color w:val="auto"/>
              </w:rPr>
              <w:t>Series A redeemable convertible preferred units, no par value, at redemption value,</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6600" w:type="dxa"/>
            <w:vAlign w:val="bottom"/>
            <w:shd w:val="clear" w:color="auto" w:fill="CCEEFF"/>
          </w:tcPr>
          <w:p>
            <w:pPr>
              <w:ind w:left="140"/>
              <w:spacing w:after="0" w:line="182" w:lineRule="exact"/>
              <w:rPr>
                <w:sz w:val="20"/>
                <w:szCs w:val="20"/>
                <w:color w:val="auto"/>
              </w:rPr>
            </w:pPr>
            <w:r>
              <w:rPr>
                <w:rFonts w:ascii="Arial" w:cs="Arial" w:eastAsia="Arial" w:hAnsi="Arial"/>
                <w:sz w:val="16"/>
                <w:szCs w:val="16"/>
                <w:color w:val="auto"/>
              </w:rPr>
              <w:t>22,463,665 units issued and outstanding</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65,818,538</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19,768,025</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6"/>
                <w:szCs w:val="16"/>
                <w:color w:val="auto"/>
              </w:rPr>
              <w:t>—</w:t>
            </w:r>
          </w:p>
        </w:tc>
      </w:tr>
      <w:tr>
        <w:trPr>
          <w:trHeight w:val="185"/>
        </w:trPr>
        <w:tc>
          <w:tcPr>
            <w:tcW w:w="6620" w:type="dxa"/>
            <w:vAlign w:val="bottom"/>
            <w:gridSpan w:val="2"/>
          </w:tcPr>
          <w:p>
            <w:pPr>
              <w:spacing w:after="0"/>
              <w:rPr>
                <w:sz w:val="20"/>
                <w:szCs w:val="20"/>
                <w:color w:val="auto"/>
              </w:rPr>
            </w:pPr>
            <w:r>
              <w:rPr>
                <w:rFonts w:ascii="Arial" w:cs="Arial" w:eastAsia="Arial" w:hAnsi="Arial"/>
                <w:sz w:val="16"/>
                <w:szCs w:val="16"/>
                <w:color w:val="auto"/>
              </w:rPr>
              <w:t>Series B redeemable convertible preferred units, no par value, at redemption value,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6600" w:type="dxa"/>
            <w:vAlign w:val="bottom"/>
          </w:tcPr>
          <w:p>
            <w:pPr>
              <w:ind w:left="140"/>
              <w:spacing w:after="0" w:line="182" w:lineRule="exact"/>
              <w:rPr>
                <w:sz w:val="20"/>
                <w:szCs w:val="20"/>
                <w:color w:val="auto"/>
              </w:rPr>
            </w:pPr>
            <w:r>
              <w:rPr>
                <w:rFonts w:ascii="Arial" w:cs="Arial" w:eastAsia="Arial" w:hAnsi="Arial"/>
                <w:sz w:val="16"/>
                <w:szCs w:val="16"/>
                <w:color w:val="auto"/>
              </w:rPr>
              <w:t>24,977,489 units issued and outstanding</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line="182" w:lineRule="exact"/>
              <w:rPr>
                <w:sz w:val="20"/>
                <w:szCs w:val="20"/>
                <w:color w:val="auto"/>
              </w:rPr>
            </w:pPr>
            <w:r>
              <w:rPr>
                <w:rFonts w:ascii="Arial" w:cs="Arial" w:eastAsia="Arial" w:hAnsi="Arial"/>
                <w:sz w:val="16"/>
                <w:szCs w:val="16"/>
                <w:color w:val="auto"/>
              </w:rPr>
              <w:t>79,178,640</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line="182" w:lineRule="exact"/>
              <w:rPr>
                <w:sz w:val="20"/>
                <w:szCs w:val="20"/>
                <w:color w:val="auto"/>
              </w:rPr>
            </w:pPr>
            <w:r>
              <w:rPr>
                <w:rFonts w:ascii="Arial" w:cs="Arial" w:eastAsia="Arial" w:hAnsi="Arial"/>
                <w:sz w:val="16"/>
                <w:szCs w:val="16"/>
                <w:color w:val="auto"/>
              </w:rPr>
              <w:t>41,712,407</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120"/>
              <w:spacing w:after="0" w:line="182" w:lineRule="exact"/>
              <w:rPr>
                <w:sz w:val="20"/>
                <w:szCs w:val="20"/>
                <w:color w:val="auto"/>
              </w:rPr>
            </w:pPr>
            <w:r>
              <w:rPr>
                <w:rFonts w:ascii="Arial" w:cs="Arial" w:eastAsia="Arial" w:hAnsi="Arial"/>
                <w:sz w:val="16"/>
                <w:szCs w:val="16"/>
                <w:color w:val="auto"/>
              </w:rPr>
              <w:t>—</w:t>
            </w:r>
          </w:p>
        </w:tc>
      </w:tr>
      <w:tr>
        <w:trPr>
          <w:trHeight w:val="185"/>
        </w:trPr>
        <w:tc>
          <w:tcPr>
            <w:tcW w:w="20" w:type="dxa"/>
            <w:vAlign w:val="bottom"/>
          </w:tcPr>
          <w:p>
            <w:pPr>
              <w:spacing w:after="0"/>
              <w:rPr>
                <w:sz w:val="16"/>
                <w:szCs w:val="16"/>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6"/>
                <w:szCs w:val="16"/>
                <w:color w:val="auto"/>
              </w:rPr>
              <w:t>Series C redeemable convertible preferred units, no par value, at redemption value,</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6600" w:type="dxa"/>
            <w:vAlign w:val="bottom"/>
            <w:shd w:val="clear" w:color="auto" w:fill="CCEEFF"/>
          </w:tcPr>
          <w:p>
            <w:pPr>
              <w:ind w:left="140"/>
              <w:spacing w:after="0" w:line="182" w:lineRule="exact"/>
              <w:rPr>
                <w:sz w:val="20"/>
                <w:szCs w:val="20"/>
                <w:color w:val="auto"/>
              </w:rPr>
            </w:pPr>
            <w:r>
              <w:rPr>
                <w:rFonts w:ascii="Arial" w:cs="Arial" w:eastAsia="Arial" w:hAnsi="Arial"/>
                <w:sz w:val="16"/>
                <w:szCs w:val="16"/>
                <w:color w:val="auto"/>
              </w:rPr>
              <w:t>16,467,066 units issued and outstanding</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57,799,402</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6"/>
                <w:szCs w:val="16"/>
                <w:color w:val="auto"/>
              </w:rPr>
              <w:t>—</w:t>
            </w:r>
          </w:p>
        </w:tc>
      </w:tr>
      <w:tr>
        <w:trPr>
          <w:trHeight w:val="184"/>
        </w:trPr>
        <w:tc>
          <w:tcPr>
            <w:tcW w:w="6620" w:type="dxa"/>
            <w:vAlign w:val="bottom"/>
            <w:gridSpan w:val="2"/>
          </w:tcPr>
          <w:p>
            <w:pPr>
              <w:spacing w:after="0"/>
              <w:rPr>
                <w:sz w:val="20"/>
                <w:szCs w:val="20"/>
                <w:color w:val="auto"/>
              </w:rPr>
            </w:pPr>
            <w:r>
              <w:rPr>
                <w:rFonts w:ascii="Arial" w:cs="Arial" w:eastAsia="Arial" w:hAnsi="Arial"/>
                <w:sz w:val="16"/>
                <w:szCs w:val="16"/>
                <w:color w:val="auto"/>
              </w:rPr>
              <w:t>Members’/Stockholders’ equity:</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66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Common units, no par value, 1,897,544 units issued and outstanding</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6,167</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6,167</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85"/>
        </w:trPr>
        <w:tc>
          <w:tcPr>
            <w:tcW w:w="20" w:type="dxa"/>
            <w:vAlign w:val="bottom"/>
          </w:tcPr>
          <w:p>
            <w:pPr>
              <w:spacing w:after="0"/>
              <w:rPr>
                <w:sz w:val="16"/>
                <w:szCs w:val="16"/>
                <w:color w:val="auto"/>
              </w:rPr>
            </w:pPr>
          </w:p>
        </w:tc>
        <w:tc>
          <w:tcPr>
            <w:tcW w:w="6600" w:type="dxa"/>
            <w:vAlign w:val="bottom"/>
          </w:tcPr>
          <w:p>
            <w:pPr>
              <w:ind w:left="300"/>
              <w:spacing w:after="0"/>
              <w:rPr>
                <w:sz w:val="20"/>
                <w:szCs w:val="20"/>
                <w:color w:val="auto"/>
              </w:rPr>
            </w:pPr>
            <w:r>
              <w:rPr>
                <w:rFonts w:ascii="Arial" w:cs="Arial" w:eastAsia="Arial" w:hAnsi="Arial"/>
                <w:sz w:val="16"/>
                <w:szCs w:val="16"/>
                <w:color w:val="auto"/>
              </w:rPr>
              <w:t>Incentive units, no par value, 3,669,963 and 3,066,734 units issued as of June 30,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6600" w:type="dxa"/>
            <w:vAlign w:val="bottom"/>
          </w:tcPr>
          <w:p>
            <w:pPr>
              <w:ind w:left="460"/>
              <w:spacing w:after="0" w:line="182" w:lineRule="exact"/>
              <w:rPr>
                <w:sz w:val="20"/>
                <w:szCs w:val="20"/>
                <w:color w:val="auto"/>
              </w:rPr>
            </w:pPr>
            <w:r>
              <w:rPr>
                <w:rFonts w:ascii="Arial" w:cs="Arial" w:eastAsia="Arial" w:hAnsi="Arial"/>
                <w:sz w:val="16"/>
                <w:szCs w:val="16"/>
                <w:color w:val="auto"/>
              </w:rPr>
              <w:t>2018 and December 31, 2017, respectively</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line="182" w:lineRule="exact"/>
              <w:rPr>
                <w:sz w:val="20"/>
                <w:szCs w:val="20"/>
                <w:color w:val="auto"/>
              </w:rPr>
            </w:pPr>
            <w:r>
              <w:rPr>
                <w:rFonts w:ascii="Arial" w:cs="Arial" w:eastAsia="Arial" w:hAnsi="Arial"/>
                <w:sz w:val="16"/>
                <w:szCs w:val="16"/>
                <w:color w:val="auto"/>
              </w:rPr>
              <w:t>2,313,022</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line="182" w:lineRule="exact"/>
              <w:rPr>
                <w:sz w:val="20"/>
                <w:szCs w:val="20"/>
                <w:color w:val="auto"/>
              </w:rPr>
            </w:pPr>
            <w:r>
              <w:rPr>
                <w:rFonts w:ascii="Arial" w:cs="Arial" w:eastAsia="Arial" w:hAnsi="Arial"/>
                <w:sz w:val="16"/>
                <w:szCs w:val="16"/>
                <w:color w:val="auto"/>
              </w:rPr>
              <w:t>1,186,419</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120"/>
              <w:spacing w:after="0" w:line="182" w:lineRule="exact"/>
              <w:rPr>
                <w:sz w:val="20"/>
                <w:szCs w:val="20"/>
                <w:color w:val="auto"/>
              </w:rPr>
            </w:pPr>
            <w:r>
              <w:rPr>
                <w:rFonts w:ascii="Arial" w:cs="Arial" w:eastAsia="Arial" w:hAnsi="Arial"/>
                <w:sz w:val="16"/>
                <w:szCs w:val="16"/>
                <w:color w:val="auto"/>
              </w:rPr>
              <w:t>—</w:t>
            </w:r>
          </w:p>
        </w:tc>
      </w:tr>
      <w:tr>
        <w:trPr>
          <w:trHeight w:val="185"/>
        </w:trPr>
        <w:tc>
          <w:tcPr>
            <w:tcW w:w="20" w:type="dxa"/>
            <w:vAlign w:val="bottom"/>
          </w:tcPr>
          <w:p>
            <w:pPr>
              <w:spacing w:after="0"/>
              <w:rPr>
                <w:sz w:val="16"/>
                <w:szCs w:val="16"/>
                <w:color w:val="auto"/>
              </w:rPr>
            </w:pPr>
          </w:p>
        </w:tc>
        <w:tc>
          <w:tcPr>
            <w:tcW w:w="66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Common stock, $0.001 par value; no shares authorized, issued or outstanding as of</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4"/>
        </w:trPr>
        <w:tc>
          <w:tcPr>
            <w:tcW w:w="20" w:type="dxa"/>
            <w:vAlign w:val="bottom"/>
          </w:tcPr>
          <w:p>
            <w:pPr>
              <w:spacing w:after="0"/>
              <w:rPr>
                <w:sz w:val="15"/>
                <w:szCs w:val="15"/>
                <w:color w:val="auto"/>
              </w:rPr>
            </w:pPr>
          </w:p>
        </w:tc>
        <w:tc>
          <w:tcPr>
            <w:tcW w:w="66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June 30, 2018; 21,595,472 shares issued and outstanding, pro forma as of</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6600" w:type="dxa"/>
            <w:vAlign w:val="bottom"/>
            <w:shd w:val="clear" w:color="auto" w:fill="CCEEFF"/>
          </w:tcPr>
          <w:p>
            <w:pPr>
              <w:ind w:left="460"/>
              <w:spacing w:after="0" w:line="182" w:lineRule="exact"/>
              <w:rPr>
                <w:sz w:val="20"/>
                <w:szCs w:val="20"/>
                <w:color w:val="auto"/>
              </w:rPr>
            </w:pPr>
            <w:r>
              <w:rPr>
                <w:rFonts w:ascii="Arial" w:cs="Arial" w:eastAsia="Arial" w:hAnsi="Arial"/>
                <w:sz w:val="16"/>
                <w:szCs w:val="16"/>
                <w:color w:val="auto"/>
              </w:rPr>
              <w:t>June 30, 2018</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21,595</w:t>
            </w:r>
          </w:p>
        </w:tc>
        <w:tc>
          <w:tcPr>
            <w:tcW w:w="100" w:type="dxa"/>
            <w:vAlign w:val="bottom"/>
            <w:shd w:val="clear" w:color="auto" w:fill="CCEEFF"/>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6600" w:type="dxa"/>
            <w:vAlign w:val="bottom"/>
          </w:tcPr>
          <w:p>
            <w:pPr>
              <w:ind w:left="300"/>
              <w:spacing w:after="0"/>
              <w:rPr>
                <w:sz w:val="20"/>
                <w:szCs w:val="20"/>
                <w:color w:val="auto"/>
              </w:rPr>
            </w:pPr>
            <w:r>
              <w:rPr>
                <w:rFonts w:ascii="Arial" w:cs="Arial" w:eastAsia="Arial" w:hAnsi="Arial"/>
                <w:sz w:val="16"/>
                <w:szCs w:val="16"/>
                <w:color w:val="auto"/>
              </w:rPr>
              <w:t>Accumulated deficit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w w:val="98"/>
              </w:rPr>
              <w:t>(160,738,472)</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(62,417,397)</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(160,738,472)</w:t>
            </w:r>
          </w:p>
        </w:tc>
      </w:tr>
      <w:tr>
        <w:trPr>
          <w:trHeight w:val="184"/>
        </w:trPr>
        <w:tc>
          <w:tcPr>
            <w:tcW w:w="20" w:type="dxa"/>
            <w:vAlign w:val="bottom"/>
          </w:tcPr>
          <w:p>
            <w:pPr>
              <w:spacing w:after="0"/>
              <w:rPr>
                <w:sz w:val="15"/>
                <w:szCs w:val="15"/>
                <w:color w:val="auto"/>
              </w:rPr>
            </w:pPr>
          </w:p>
        </w:tc>
        <w:tc>
          <w:tcPr>
            <w:tcW w:w="66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Additional paid-in capital</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205,094,174</w:t>
            </w:r>
          </w:p>
        </w:tc>
        <w:tc>
          <w:tcPr>
            <w:tcW w:w="100" w:type="dxa"/>
            <w:vAlign w:val="bottom"/>
            <w:shd w:val="clear" w:color="auto" w:fill="CCEEFF"/>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6600" w:type="dxa"/>
            <w:vAlign w:val="bottom"/>
          </w:tcPr>
          <w:p>
            <w:pPr>
              <w:ind w:left="300"/>
              <w:spacing w:after="0"/>
              <w:rPr>
                <w:sz w:val="20"/>
                <w:szCs w:val="20"/>
                <w:color w:val="auto"/>
              </w:rPr>
            </w:pPr>
            <w:r>
              <w:rPr>
                <w:rFonts w:ascii="Arial" w:cs="Arial" w:eastAsia="Arial" w:hAnsi="Arial"/>
                <w:sz w:val="16"/>
                <w:szCs w:val="16"/>
                <w:color w:val="auto"/>
              </w:rPr>
              <w:t>Accumulated other comprehensive loss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(96,614)</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(9,751)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(96,614)</w:t>
            </w:r>
          </w:p>
        </w:tc>
      </w:tr>
      <w:tr>
        <w:trPr>
          <w:trHeight w:val="26"/>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4"/>
        </w:trPr>
        <w:tc>
          <w:tcPr>
            <w:tcW w:w="20" w:type="dxa"/>
            <w:vAlign w:val="bottom"/>
          </w:tcPr>
          <w:p>
            <w:pPr>
              <w:spacing w:after="0"/>
              <w:rPr>
                <w:sz w:val="15"/>
                <w:szCs w:val="15"/>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6"/>
                <w:szCs w:val="16"/>
                <w:color w:val="auto"/>
              </w:rPr>
              <w:t>Total members’/stockholders’ equity</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8"/>
              </w:rPr>
              <w:t>(158,515,897)</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9"/>
              </w:rPr>
              <w:t>(61,234,562)</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44,280,683</w:t>
            </w:r>
          </w:p>
        </w:tc>
        <w:tc>
          <w:tcPr>
            <w:tcW w:w="100" w:type="dxa"/>
            <w:vAlign w:val="bottom"/>
            <w:shd w:val="clear" w:color="auto" w:fill="CCEEFF"/>
          </w:tcPr>
          <w:p>
            <w:pPr>
              <w:spacing w:after="0"/>
              <w:rPr>
                <w:sz w:val="15"/>
                <w:szCs w:val="15"/>
                <w:color w:val="auto"/>
              </w:rPr>
            </w:pPr>
          </w:p>
        </w:tc>
      </w:tr>
      <w:tr>
        <w:trPr>
          <w:trHeight w:val="20"/>
        </w:trPr>
        <w:tc>
          <w:tcPr>
            <w:tcW w:w="6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6620" w:type="dxa"/>
            <w:vAlign w:val="bottom"/>
            <w:gridSpan w:val="2"/>
          </w:tcPr>
          <w:p>
            <w:pPr>
              <w:spacing w:after="0"/>
              <w:rPr>
                <w:sz w:val="20"/>
                <w:szCs w:val="20"/>
                <w:color w:val="auto"/>
              </w:rPr>
            </w:pPr>
            <w:r>
              <w:rPr>
                <w:rFonts w:ascii="Arial" w:cs="Arial" w:eastAsia="Arial" w:hAnsi="Arial"/>
                <w:sz w:val="16"/>
                <w:szCs w:val="16"/>
                <w:color w:val="auto"/>
              </w:rPr>
              <w:t>Total liabilities and members’/stockholders’ equity</w:t>
            </w: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105,991,051</w:t>
            </w:r>
          </w:p>
        </w:tc>
        <w:tc>
          <w:tcPr>
            <w:tcW w:w="220" w:type="dxa"/>
            <w:vAlign w:val="bottom"/>
          </w:tcPr>
          <w:p>
            <w:pPr>
              <w:spacing w:after="0"/>
              <w:rPr>
                <w:sz w:val="16"/>
                <w:szCs w:val="16"/>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66,848,369</w:t>
            </w:r>
          </w:p>
        </w:tc>
        <w:tc>
          <w:tcPr>
            <w:tcW w:w="220" w:type="dxa"/>
            <w:vAlign w:val="bottom"/>
          </w:tcPr>
          <w:p>
            <w:pPr>
              <w:spacing w:after="0"/>
              <w:rPr>
                <w:sz w:val="16"/>
                <w:szCs w:val="16"/>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105,991,051</w:t>
            </w:r>
          </w:p>
        </w:tc>
        <w:tc>
          <w:tcPr>
            <w:tcW w:w="1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4"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See accompanying notes</w:t>
      </w:r>
    </w:p>
    <w:p>
      <w:pPr>
        <w:spacing w:after="0" w:line="16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F-26</w:t>
      </w:r>
    </w:p>
    <w:p>
      <w:pPr>
        <w:sectPr>
          <w:pgSz w:w="11900" w:h="16838" w:orient="portrait"/>
          <w:cols w:equalWidth="0" w:num="1">
            <w:col w:w="11060"/>
          </w:cols>
          <w:pgMar w:left="240" w:top="449" w:right="599" w:bottom="1440" w:gutter="0" w:footer="0" w:header="0"/>
        </w:sectPr>
      </w:pPr>
    </w:p>
    <w:bookmarkStart w:id="227" w:name="page228"/>
    <w:bookmarkEnd w:id="2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ind w:left="3360"/>
        <w:spacing w:after="0"/>
        <w:rPr>
          <w:sz w:val="20"/>
          <w:szCs w:val="20"/>
          <w:color w:val="auto"/>
        </w:rPr>
      </w:pPr>
      <w:r>
        <w:rPr>
          <w:rFonts w:ascii="Arial" w:cs="Arial" w:eastAsia="Arial" w:hAnsi="Arial"/>
          <w:sz w:val="17"/>
          <w:szCs w:val="17"/>
          <w:b w:val="1"/>
          <w:bCs w:val="1"/>
          <w:color w:val="auto"/>
        </w:rPr>
        <w:t>ARVINAS HOLDING COMPANY, LLC AND SUBSIDIARIES</w:t>
      </w:r>
    </w:p>
    <w:p>
      <w:pPr>
        <w:spacing w:after="0" w:line="316" w:lineRule="exact"/>
        <w:rPr>
          <w:sz w:val="20"/>
          <w:szCs w:val="20"/>
          <w:color w:val="auto"/>
        </w:rPr>
      </w:pPr>
    </w:p>
    <w:p>
      <w:pPr>
        <w:ind w:left="1980"/>
        <w:spacing w:after="0"/>
        <w:rPr>
          <w:sz w:val="20"/>
          <w:szCs w:val="20"/>
          <w:color w:val="auto"/>
        </w:rPr>
      </w:pPr>
      <w:r>
        <w:rPr>
          <w:rFonts w:ascii="Arial" w:cs="Arial" w:eastAsia="Arial" w:hAnsi="Arial"/>
          <w:sz w:val="17"/>
          <w:szCs w:val="17"/>
          <w:b w:val="1"/>
          <w:bCs w:val="1"/>
          <w:color w:val="auto"/>
        </w:rPr>
        <w:t>Condensed Consolidated Statements of Operations and Comprehensive Loss (unaudited)</w:t>
      </w:r>
    </w:p>
    <w:p>
      <w:pPr>
        <w:spacing w:after="0" w:line="245"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65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Consolidated Statements of Operations</w:t>
            </w: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8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9"/>
        </w:trPr>
        <w:tc>
          <w:tcPr>
            <w:tcW w:w="6500" w:type="dxa"/>
            <w:vAlign w:val="bottom"/>
            <w:gridSpan w:val="2"/>
            <w:vMerge w:val="continue"/>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center"/>
              <w:ind w:left="703"/>
              <w:spacing w:after="0"/>
              <w:rPr>
                <w:sz w:val="20"/>
                <w:szCs w:val="20"/>
                <w:color w:val="auto"/>
              </w:rPr>
            </w:pPr>
            <w:r>
              <w:rPr>
                <w:rFonts w:ascii="Arial" w:cs="Arial" w:eastAsia="Arial" w:hAnsi="Arial"/>
                <w:sz w:val="14"/>
                <w:szCs w:val="14"/>
                <w:b w:val="1"/>
                <w:bCs w:val="1"/>
                <w:color w:val="auto"/>
                <w:w w:val="99"/>
              </w:rPr>
              <w:t>June 30,</w:t>
            </w: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480" w:type="dxa"/>
            <w:vAlign w:val="bottom"/>
            <w:tcBorders>
              <w:bottom w:val="single" w:sz="8" w:color="CCEEFF"/>
            </w:tcBorders>
          </w:tcPr>
          <w:p>
            <w:pPr>
              <w:spacing w:after="0"/>
              <w:rPr>
                <w:sz w:val="13"/>
                <w:szCs w:val="13"/>
                <w:color w:val="auto"/>
              </w:rPr>
            </w:pPr>
          </w:p>
        </w:tc>
        <w:tc>
          <w:tcPr>
            <w:tcW w:w="13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323"/>
              <w:spacing w:after="0" w:line="151"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14"/>
              <w:spacing w:after="0" w:line="151"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Revenue</w:t>
            </w:r>
          </w:p>
        </w:tc>
        <w:tc>
          <w:tcPr>
            <w:tcW w:w="1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7,508,491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3,337,722</w:t>
            </w: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80" w:type="dxa"/>
            <w:vAlign w:val="bottom"/>
          </w:tcPr>
          <w:p>
            <w:pPr>
              <w:spacing w:after="0"/>
              <w:rPr>
                <w:sz w:val="20"/>
                <w:szCs w:val="20"/>
                <w:color w:val="auto"/>
              </w:rPr>
            </w:pPr>
            <w:r>
              <w:rPr>
                <w:rFonts w:ascii="Arial" w:cs="Arial" w:eastAsia="Arial" w:hAnsi="Arial"/>
                <w:sz w:val="17"/>
                <w:szCs w:val="17"/>
                <w:color w:val="auto"/>
              </w:rPr>
              <w:t>Operating expenses:</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Research and development</w:t>
            </w: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17,481,652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14,879,816</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ind w:left="340"/>
              <w:spacing w:after="0"/>
              <w:rPr>
                <w:sz w:val="20"/>
                <w:szCs w:val="20"/>
                <w:color w:val="auto"/>
              </w:rPr>
            </w:pPr>
            <w:r>
              <w:rPr>
                <w:rFonts w:ascii="Arial" w:cs="Arial" w:eastAsia="Arial" w:hAnsi="Arial"/>
                <w:sz w:val="17"/>
                <w:szCs w:val="17"/>
                <w:color w:val="auto"/>
              </w:rPr>
              <w:t>General and administrative</w:t>
            </w:r>
          </w:p>
        </w:tc>
        <w:tc>
          <w:tcPr>
            <w:tcW w:w="13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2,826,492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1,499,809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7"/>
                <w:szCs w:val="17"/>
                <w:color w:val="auto"/>
              </w:rPr>
              <w:t>Total operating expenses</w:t>
            </w:r>
          </w:p>
        </w:tc>
        <w:tc>
          <w:tcPr>
            <w:tcW w:w="13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20,308,144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16,379,625</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gridSpan w:val="2"/>
          </w:tcPr>
          <w:p>
            <w:pPr>
              <w:spacing w:after="0"/>
              <w:rPr>
                <w:sz w:val="20"/>
                <w:szCs w:val="20"/>
                <w:color w:val="auto"/>
              </w:rPr>
            </w:pPr>
            <w:r>
              <w:rPr>
                <w:rFonts w:ascii="Arial" w:cs="Arial" w:eastAsia="Arial" w:hAnsi="Arial"/>
                <w:sz w:val="17"/>
                <w:szCs w:val="17"/>
                <w:color w:val="auto"/>
              </w:rPr>
              <w:t>Loss from operations</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3"/>
          </w:tcPr>
          <w:p>
            <w:pPr>
              <w:jc w:val="right"/>
              <w:ind w:right="10"/>
              <w:spacing w:after="0"/>
              <w:rPr>
                <w:sz w:val="20"/>
                <w:szCs w:val="20"/>
                <w:color w:val="auto"/>
              </w:rPr>
            </w:pPr>
            <w:r>
              <w:rPr>
                <w:rFonts w:ascii="Arial" w:cs="Arial" w:eastAsia="Arial" w:hAnsi="Arial"/>
                <w:sz w:val="17"/>
                <w:szCs w:val="17"/>
                <w:color w:val="auto"/>
              </w:rPr>
              <w:t>(12,799,653)</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(13,041,903)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(expenses)</w:t>
            </w: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80" w:type="dxa"/>
            <w:vAlign w:val="bottom"/>
          </w:tcPr>
          <w:p>
            <w:pPr>
              <w:ind w:left="340"/>
              <w:spacing w:after="0"/>
              <w:rPr>
                <w:sz w:val="20"/>
                <w:szCs w:val="20"/>
                <w:color w:val="auto"/>
              </w:rPr>
            </w:pPr>
            <w:r>
              <w:rPr>
                <w:rFonts w:ascii="Arial" w:cs="Arial" w:eastAsia="Arial" w:hAnsi="Arial"/>
                <w:sz w:val="17"/>
                <w:szCs w:val="17"/>
                <w:color w:val="auto"/>
              </w:rPr>
              <w:t>Other income, net</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258,394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Change in fair value of preferred unit warrant</w:t>
            </w: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0"/>
              <w:spacing w:after="0"/>
              <w:rPr>
                <w:sz w:val="20"/>
                <w:szCs w:val="20"/>
                <w:color w:val="auto"/>
              </w:rPr>
            </w:pPr>
            <w:r>
              <w:rPr>
                <w:rFonts w:ascii="Arial" w:cs="Arial" w:eastAsia="Arial" w:hAnsi="Arial"/>
                <w:sz w:val="17"/>
                <w:szCs w:val="17"/>
                <w:color w:val="auto"/>
              </w:rPr>
              <w:t>(193,779)</w:t>
            </w:r>
          </w:p>
        </w:tc>
        <w:tc>
          <w:tcPr>
            <w:tcW w:w="2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2,792</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80" w:type="dxa"/>
            <w:vAlign w:val="bottom"/>
          </w:tcPr>
          <w:p>
            <w:pPr>
              <w:ind w:left="340"/>
              <w:spacing w:after="0"/>
              <w:rPr>
                <w:sz w:val="20"/>
                <w:szCs w:val="20"/>
                <w:color w:val="auto"/>
              </w:rPr>
            </w:pPr>
            <w:r>
              <w:rPr>
                <w:rFonts w:ascii="Arial" w:cs="Arial" w:eastAsia="Arial" w:hAnsi="Arial"/>
                <w:sz w:val="17"/>
                <w:szCs w:val="17"/>
                <w:color w:val="auto"/>
              </w:rPr>
              <w:t>Interest income</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750,650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141,466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 expense</w:t>
            </w: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0"/>
              <w:spacing w:after="0"/>
              <w:rPr>
                <w:sz w:val="20"/>
                <w:szCs w:val="20"/>
                <w:color w:val="auto"/>
              </w:rPr>
            </w:pPr>
            <w:r>
              <w:rPr>
                <w:rFonts w:ascii="Arial" w:cs="Arial" w:eastAsia="Arial" w:hAnsi="Arial"/>
                <w:sz w:val="17"/>
                <w:szCs w:val="17"/>
                <w:color w:val="auto"/>
              </w:rPr>
              <w:t>(20,540)</w:t>
            </w:r>
          </w:p>
        </w:tc>
        <w:tc>
          <w:tcPr>
            <w:tcW w:w="2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(26,686)</w:t>
            </w:r>
          </w:p>
        </w:tc>
        <w:tc>
          <w:tcPr>
            <w:tcW w:w="0" w:type="dxa"/>
            <w:vAlign w:val="bottom"/>
          </w:tcPr>
          <w:p>
            <w:pPr>
              <w:spacing w:after="0"/>
              <w:rPr>
                <w:sz w:val="1"/>
                <w:szCs w:val="1"/>
                <w:color w:val="auto"/>
              </w:rPr>
            </w:pPr>
          </w:p>
        </w:tc>
      </w:tr>
      <w:tr>
        <w:trPr>
          <w:trHeight w:val="209"/>
        </w:trPr>
        <w:tc>
          <w:tcPr>
            <w:tcW w:w="6500" w:type="dxa"/>
            <w:vAlign w:val="bottom"/>
            <w:gridSpan w:val="2"/>
          </w:tcPr>
          <w:p>
            <w:pPr>
              <w:spacing w:after="0"/>
              <w:rPr>
                <w:sz w:val="20"/>
                <w:szCs w:val="20"/>
                <w:color w:val="auto"/>
              </w:rPr>
            </w:pPr>
            <w:r>
              <w:rPr>
                <w:rFonts w:ascii="Arial" w:cs="Arial" w:eastAsia="Arial" w:hAnsi="Arial"/>
                <w:sz w:val="17"/>
                <w:szCs w:val="17"/>
                <w:color w:val="auto"/>
              </w:rPr>
              <w:t>Total other income</w:t>
            </w:r>
          </w:p>
        </w:tc>
        <w:tc>
          <w:tcPr>
            <w:tcW w:w="13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794,725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117,995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7"/>
                <w:szCs w:val="17"/>
                <w:color w:val="auto"/>
              </w:rPr>
              <w:t>Loss before income taxes</w:t>
            </w: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0"/>
              <w:spacing w:after="0"/>
              <w:rPr>
                <w:sz w:val="20"/>
                <w:szCs w:val="20"/>
                <w:color w:val="auto"/>
              </w:rPr>
            </w:pPr>
            <w:r>
              <w:rPr>
                <w:rFonts w:ascii="Arial" w:cs="Arial" w:eastAsia="Arial" w:hAnsi="Arial"/>
                <w:sz w:val="17"/>
                <w:szCs w:val="17"/>
                <w:color w:val="auto"/>
              </w:rPr>
              <w:t>(12,004,928)</w:t>
            </w:r>
          </w:p>
        </w:tc>
        <w:tc>
          <w:tcPr>
            <w:tcW w:w="2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(12,923,908)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spacing w:after="0"/>
              <w:rPr>
                <w:sz w:val="20"/>
                <w:szCs w:val="20"/>
                <w:color w:val="auto"/>
              </w:rPr>
            </w:pPr>
            <w:r>
              <w:rPr>
                <w:rFonts w:ascii="Arial" w:cs="Arial" w:eastAsia="Arial" w:hAnsi="Arial"/>
                <w:sz w:val="17"/>
                <w:szCs w:val="17"/>
                <w:color w:val="auto"/>
              </w:rPr>
              <w:t>Benefit from income taxes</w:t>
            </w:r>
          </w:p>
        </w:tc>
        <w:tc>
          <w:tcPr>
            <w:tcW w:w="13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0"/>
              <w:spacing w:after="0"/>
              <w:rPr>
                <w:sz w:val="20"/>
                <w:szCs w:val="20"/>
                <w:color w:val="auto"/>
              </w:rPr>
            </w:pPr>
            <w:r>
              <w:rPr>
                <w:rFonts w:ascii="Arial" w:cs="Arial" w:eastAsia="Arial" w:hAnsi="Arial"/>
                <w:sz w:val="17"/>
                <w:szCs w:val="17"/>
                <w:color w:val="auto"/>
              </w:rPr>
              <w:t>(12,004,928)</w:t>
            </w:r>
          </w:p>
        </w:tc>
        <w:tc>
          <w:tcPr>
            <w:tcW w:w="2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(12,923,908)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80" w:type="dxa"/>
            <w:vAlign w:val="bottom"/>
          </w:tcPr>
          <w:p>
            <w:pPr>
              <w:ind w:left="340"/>
              <w:spacing w:after="0"/>
              <w:rPr>
                <w:sz w:val="20"/>
                <w:szCs w:val="20"/>
                <w:color w:val="auto"/>
              </w:rPr>
            </w:pPr>
            <w:r>
              <w:rPr>
                <w:rFonts w:ascii="Arial" w:cs="Arial" w:eastAsia="Arial" w:hAnsi="Arial"/>
                <w:sz w:val="17"/>
                <w:szCs w:val="17"/>
                <w:color w:val="auto"/>
              </w:rPr>
              <w:t>Change in fair value of redeemable convertible preferred units</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3"/>
          </w:tcPr>
          <w:p>
            <w:pPr>
              <w:jc w:val="right"/>
              <w:ind w:right="10"/>
              <w:spacing w:after="0"/>
              <w:rPr>
                <w:sz w:val="20"/>
                <w:szCs w:val="20"/>
                <w:color w:val="auto"/>
              </w:rPr>
            </w:pPr>
            <w:r>
              <w:rPr>
                <w:rFonts w:ascii="Arial" w:cs="Arial" w:eastAsia="Arial" w:hAnsi="Arial"/>
                <w:sz w:val="17"/>
                <w:szCs w:val="17"/>
                <w:color w:val="auto"/>
              </w:rPr>
              <w:t>(86,316,147)</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7"/>
                <w:szCs w:val="17"/>
                <w:color w:val="auto"/>
              </w:rPr>
              <w:t>Net loss attributable to common units</w:t>
            </w:r>
          </w:p>
        </w:tc>
        <w:tc>
          <w:tcPr>
            <w:tcW w:w="2580" w:type="dxa"/>
            <w:vAlign w:val="bottom"/>
            <w:gridSpan w:val="5"/>
            <w:shd w:val="clear" w:color="auto" w:fill="CCEEFF"/>
          </w:tcPr>
          <w:p>
            <w:pPr>
              <w:jc w:val="right"/>
              <w:ind w:right="10"/>
              <w:spacing w:after="0"/>
              <w:rPr>
                <w:sz w:val="20"/>
                <w:szCs w:val="20"/>
                <w:color w:val="auto"/>
              </w:rPr>
            </w:pPr>
            <w:r>
              <w:rPr>
                <w:rFonts w:ascii="Arial" w:cs="Arial" w:eastAsia="Arial" w:hAnsi="Arial"/>
                <w:sz w:val="17"/>
                <w:szCs w:val="17"/>
                <w:color w:val="auto"/>
              </w:rPr>
              <w:t>$ (98,321,075)</w:t>
            </w:r>
          </w:p>
        </w:tc>
        <w:tc>
          <w:tcPr>
            <w:tcW w:w="220" w:type="dxa"/>
            <w:vAlign w:val="bottom"/>
            <w:shd w:val="clear" w:color="auto" w:fill="CCEEFF"/>
          </w:tcPr>
          <w:p>
            <w:pPr>
              <w:spacing w:after="0"/>
              <w:rPr>
                <w:sz w:val="17"/>
                <w:szCs w:val="17"/>
                <w:color w:val="auto"/>
              </w:rPr>
            </w:pPr>
          </w:p>
        </w:tc>
        <w:tc>
          <w:tcPr>
            <w:tcW w:w="140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 (12,923,908)</w:t>
            </w:r>
          </w:p>
        </w:tc>
        <w:tc>
          <w:tcPr>
            <w:tcW w:w="0" w:type="dxa"/>
            <w:vAlign w:val="bottom"/>
          </w:tcPr>
          <w:p>
            <w:pPr>
              <w:spacing w:after="0"/>
              <w:rPr>
                <w:sz w:val="1"/>
                <w:szCs w:val="1"/>
                <w:color w:val="auto"/>
              </w:rPr>
            </w:pPr>
          </w:p>
        </w:tc>
      </w:tr>
      <w:tr>
        <w:trPr>
          <w:trHeight w:val="20"/>
        </w:trPr>
        <w:tc>
          <w:tcPr>
            <w:tcW w:w="65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500" w:type="dxa"/>
            <w:vAlign w:val="bottom"/>
            <w:gridSpan w:val="2"/>
          </w:tcPr>
          <w:p>
            <w:pPr>
              <w:spacing w:after="0" w:line="189" w:lineRule="exact"/>
              <w:rPr>
                <w:sz w:val="20"/>
                <w:szCs w:val="20"/>
                <w:color w:val="auto"/>
              </w:rPr>
            </w:pPr>
            <w:r>
              <w:rPr>
                <w:rFonts w:ascii="Arial" w:cs="Arial" w:eastAsia="Arial" w:hAnsi="Arial"/>
                <w:sz w:val="17"/>
                <w:szCs w:val="17"/>
                <w:color w:val="auto"/>
              </w:rPr>
              <w:t>Net loss per common unit, basic and diluted</w:t>
            </w:r>
          </w:p>
        </w:tc>
        <w:tc>
          <w:tcPr>
            <w:tcW w:w="1500" w:type="dxa"/>
            <w:vAlign w:val="bottom"/>
            <w:gridSpan w:val="2"/>
          </w:tcPr>
          <w:p>
            <w:pPr>
              <w:ind w:left="1340"/>
              <w:spacing w:after="0" w:line="189" w:lineRule="exact"/>
              <w:rPr>
                <w:sz w:val="20"/>
                <w:szCs w:val="20"/>
                <w:color w:val="auto"/>
              </w:rPr>
            </w:pPr>
            <w:r>
              <w:rPr>
                <w:rFonts w:ascii="Arial" w:cs="Arial" w:eastAsia="Arial" w:hAnsi="Arial"/>
                <w:sz w:val="17"/>
                <w:szCs w:val="17"/>
                <w:color w:val="auto"/>
                <w:w w:val="92"/>
              </w:rPr>
              <w:t>($</w:t>
            </w:r>
          </w:p>
        </w:tc>
        <w:tc>
          <w:tcPr>
            <w:tcW w:w="1080" w:type="dxa"/>
            <w:vAlign w:val="bottom"/>
            <w:gridSpan w:val="3"/>
          </w:tcPr>
          <w:p>
            <w:pPr>
              <w:jc w:val="right"/>
              <w:ind w:right="10"/>
              <w:spacing w:after="0" w:line="189" w:lineRule="exact"/>
              <w:rPr>
                <w:sz w:val="20"/>
                <w:szCs w:val="20"/>
                <w:color w:val="auto"/>
              </w:rPr>
            </w:pPr>
            <w:r>
              <w:rPr>
                <w:rFonts w:ascii="Arial" w:cs="Arial" w:eastAsia="Arial" w:hAnsi="Arial"/>
                <w:sz w:val="17"/>
                <w:szCs w:val="17"/>
                <w:color w:val="auto"/>
              </w:rPr>
              <w:t>51.81)</w:t>
            </w:r>
          </w:p>
        </w:tc>
        <w:tc>
          <w:tcPr>
            <w:tcW w:w="220" w:type="dxa"/>
            <w:vAlign w:val="bottom"/>
          </w:tcPr>
          <w:p>
            <w:pPr>
              <w:spacing w:after="0"/>
              <w:rPr>
                <w:sz w:val="16"/>
                <w:szCs w:val="16"/>
                <w:color w:val="auto"/>
              </w:rPr>
            </w:pPr>
          </w:p>
        </w:tc>
        <w:tc>
          <w:tcPr>
            <w:tcW w:w="340" w:type="dxa"/>
            <w:vAlign w:val="bottom"/>
            <w:gridSpan w:val="2"/>
          </w:tcPr>
          <w:p>
            <w:pPr>
              <w:ind w:left="180"/>
              <w:spacing w:after="0" w:line="189" w:lineRule="exact"/>
              <w:rPr>
                <w:sz w:val="20"/>
                <w:szCs w:val="20"/>
                <w:color w:val="auto"/>
              </w:rPr>
            </w:pPr>
            <w:r>
              <w:rPr>
                <w:rFonts w:ascii="Arial" w:cs="Arial" w:eastAsia="Arial" w:hAnsi="Arial"/>
                <w:sz w:val="17"/>
                <w:szCs w:val="17"/>
                <w:color w:val="auto"/>
                <w:w w:val="92"/>
              </w:rPr>
              <w:t>($</w:t>
            </w:r>
          </w:p>
        </w:tc>
        <w:tc>
          <w:tcPr>
            <w:tcW w:w="10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6.81)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Weighted average common units outstanding, basic and diluted</w:t>
            </w:r>
          </w:p>
        </w:tc>
        <w:tc>
          <w:tcPr>
            <w:tcW w:w="13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1,897,544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1,897,544</w:t>
            </w: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5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500" w:type="dxa"/>
            <w:vAlign w:val="bottom"/>
            <w:gridSpan w:val="2"/>
          </w:tcPr>
          <w:p>
            <w:pPr>
              <w:spacing w:after="0" w:line="189" w:lineRule="exact"/>
              <w:rPr>
                <w:sz w:val="20"/>
                <w:szCs w:val="20"/>
                <w:color w:val="auto"/>
              </w:rPr>
            </w:pPr>
            <w:r>
              <w:rPr>
                <w:rFonts w:ascii="Arial" w:cs="Arial" w:eastAsia="Arial" w:hAnsi="Arial"/>
                <w:sz w:val="17"/>
                <w:szCs w:val="17"/>
                <w:color w:val="auto"/>
              </w:rPr>
              <w:t>Pro forma net loss per share, basic and diluted</w:t>
            </w:r>
          </w:p>
        </w:tc>
        <w:tc>
          <w:tcPr>
            <w:tcW w:w="1500" w:type="dxa"/>
            <w:vAlign w:val="bottom"/>
            <w:gridSpan w:val="2"/>
          </w:tcPr>
          <w:p>
            <w:pPr>
              <w:ind w:left="1340"/>
              <w:spacing w:after="0" w:line="189" w:lineRule="exact"/>
              <w:rPr>
                <w:sz w:val="20"/>
                <w:szCs w:val="20"/>
                <w:color w:val="auto"/>
              </w:rPr>
            </w:pPr>
            <w:r>
              <w:rPr>
                <w:rFonts w:ascii="Arial" w:cs="Arial" w:eastAsia="Arial" w:hAnsi="Arial"/>
                <w:sz w:val="17"/>
                <w:szCs w:val="17"/>
                <w:color w:val="auto"/>
                <w:w w:val="92"/>
              </w:rPr>
              <w:t>($</w:t>
            </w:r>
          </w:p>
        </w:tc>
        <w:tc>
          <w:tcPr>
            <w:tcW w:w="1080" w:type="dxa"/>
            <w:vAlign w:val="bottom"/>
            <w:gridSpan w:val="3"/>
          </w:tcPr>
          <w:p>
            <w:pPr>
              <w:jc w:val="right"/>
              <w:ind w:right="10"/>
              <w:spacing w:after="0" w:line="189" w:lineRule="exact"/>
              <w:rPr>
                <w:sz w:val="20"/>
                <w:szCs w:val="20"/>
                <w:color w:val="auto"/>
              </w:rPr>
            </w:pPr>
            <w:r>
              <w:rPr>
                <w:rFonts w:ascii="Arial" w:cs="Arial" w:eastAsia="Arial" w:hAnsi="Arial"/>
                <w:sz w:val="17"/>
                <w:szCs w:val="17"/>
                <w:color w:val="auto"/>
              </w:rPr>
              <w:t>0.58)</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 forma weighted average shares outstanding, basic and diluted</w:t>
            </w:r>
          </w:p>
        </w:tc>
        <w:tc>
          <w:tcPr>
            <w:tcW w:w="13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20,731,838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9"/>
        </w:trPr>
        <w:tc>
          <w:tcPr>
            <w:tcW w:w="6500" w:type="dxa"/>
            <w:vAlign w:val="bottom"/>
            <w:gridSpan w:val="2"/>
          </w:tcPr>
          <w:p>
            <w:pPr>
              <w:spacing w:after="0"/>
              <w:rPr>
                <w:sz w:val="20"/>
                <w:szCs w:val="20"/>
                <w:color w:val="auto"/>
              </w:rPr>
            </w:pPr>
            <w:r>
              <w:rPr>
                <w:rFonts w:ascii="Arial" w:cs="Arial" w:eastAsia="Arial" w:hAnsi="Arial"/>
                <w:sz w:val="14"/>
                <w:szCs w:val="14"/>
                <w:i w:val="1"/>
                <w:iCs w:val="1"/>
                <w:color w:val="auto"/>
              </w:rPr>
              <w:t>Consolidated Statements of Comprehensive Loss</w:t>
            </w: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9"/>
              </w:rPr>
              <w:t>June 30,</w:t>
            </w: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480" w:type="dxa"/>
            <w:vAlign w:val="bottom"/>
            <w:tcBorders>
              <w:bottom w:val="single" w:sz="8" w:color="CCEEFF"/>
            </w:tcBorders>
          </w:tcPr>
          <w:p>
            <w:pPr>
              <w:spacing w:after="0"/>
              <w:rPr>
                <w:sz w:val="13"/>
                <w:szCs w:val="13"/>
                <w:color w:val="auto"/>
              </w:rPr>
            </w:pPr>
          </w:p>
        </w:tc>
        <w:tc>
          <w:tcPr>
            <w:tcW w:w="136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183"/>
              <w:spacing w:after="0" w:line="151"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94"/>
              <w:spacing w:after="0" w:line="151"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loss</w:t>
            </w:r>
          </w:p>
        </w:tc>
        <w:tc>
          <w:tcPr>
            <w:tcW w:w="1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w w:val="94"/>
              </w:rPr>
              <w:t>$ (12,004,928)</w:t>
            </w:r>
          </w:p>
        </w:tc>
        <w:tc>
          <w:tcPr>
            <w:tcW w:w="22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w w:val="94"/>
              </w:rPr>
              <w:t>$ (12,923,908)</w:t>
            </w: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02"/>
        </w:trPr>
        <w:tc>
          <w:tcPr>
            <w:tcW w:w="6500" w:type="dxa"/>
            <w:vAlign w:val="bottom"/>
            <w:gridSpan w:val="2"/>
          </w:tcPr>
          <w:p>
            <w:pPr>
              <w:spacing w:after="0"/>
              <w:rPr>
                <w:sz w:val="20"/>
                <w:szCs w:val="20"/>
                <w:color w:val="auto"/>
              </w:rPr>
            </w:pPr>
            <w:r>
              <w:rPr>
                <w:rFonts w:ascii="Arial" w:cs="Arial" w:eastAsia="Arial" w:hAnsi="Arial"/>
                <w:sz w:val="17"/>
                <w:szCs w:val="17"/>
                <w:color w:val="auto"/>
              </w:rPr>
              <w:t>Other comprehensive loss:</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Unrealized gain (loss) on available-for-sale securities</w:t>
            </w: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(86,863)</w:t>
            </w: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8,704</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00" w:type="dxa"/>
            <w:vAlign w:val="bottom"/>
            <w:gridSpan w:val="2"/>
          </w:tcPr>
          <w:p>
            <w:pPr>
              <w:spacing w:after="0"/>
              <w:rPr>
                <w:sz w:val="20"/>
                <w:szCs w:val="20"/>
                <w:color w:val="auto"/>
              </w:rPr>
            </w:pPr>
            <w:r>
              <w:rPr>
                <w:rFonts w:ascii="Arial" w:cs="Arial" w:eastAsia="Arial" w:hAnsi="Arial"/>
                <w:sz w:val="17"/>
                <w:szCs w:val="17"/>
                <w:color w:val="auto"/>
              </w:rPr>
              <w:t>Comprehensive loss</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4"/>
          </w:tcPr>
          <w:p>
            <w:pPr>
              <w:jc w:val="right"/>
              <w:ind w:right="160"/>
              <w:spacing w:after="0"/>
              <w:rPr>
                <w:sz w:val="20"/>
                <w:szCs w:val="20"/>
                <w:color w:val="auto"/>
              </w:rPr>
            </w:pPr>
            <w:r>
              <w:rPr>
                <w:rFonts w:ascii="Arial" w:cs="Arial" w:eastAsia="Arial" w:hAnsi="Arial"/>
                <w:sz w:val="17"/>
                <w:szCs w:val="17"/>
                <w:color w:val="auto"/>
              </w:rPr>
              <w:t>$ (12,091,791)</w:t>
            </w:r>
          </w:p>
        </w:tc>
        <w:tc>
          <w:tcPr>
            <w:tcW w:w="1400" w:type="dxa"/>
            <w:vAlign w:val="bottom"/>
            <w:gridSpan w:val="4"/>
          </w:tcPr>
          <w:p>
            <w:pPr>
              <w:jc w:val="right"/>
              <w:ind w:right="80"/>
              <w:spacing w:after="0"/>
              <w:rPr>
                <w:sz w:val="20"/>
                <w:szCs w:val="20"/>
                <w:color w:val="auto"/>
              </w:rPr>
            </w:pPr>
            <w:r>
              <w:rPr>
                <w:rFonts w:ascii="Arial" w:cs="Arial" w:eastAsia="Arial" w:hAnsi="Arial"/>
                <w:sz w:val="17"/>
                <w:szCs w:val="17"/>
                <w:color w:val="auto"/>
              </w:rPr>
              <w:t>$ (12,915,204)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See accompanying notes</w:t>
      </w:r>
    </w:p>
    <w:p>
      <w:pPr>
        <w:spacing w:after="0" w:line="16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F-27</w:t>
      </w:r>
    </w:p>
    <w:p>
      <w:pPr>
        <w:sectPr>
          <w:pgSz w:w="11900" w:h="16838" w:orient="portrait"/>
          <w:cols w:equalWidth="0" w:num="1">
            <w:col w:w="11060"/>
          </w:cols>
          <w:pgMar w:left="240" w:top="450" w:right="599" w:bottom="1440" w:gutter="0" w:footer="0" w:header="0"/>
        </w:sectPr>
      </w:pPr>
    </w:p>
    <w:bookmarkStart w:id="228" w:name="page229"/>
    <w:bookmarkEnd w:id="2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ARVINAS HOLDING COMPANY, LLC AND SUBSIDIARIES</w:t>
      </w:r>
    </w:p>
    <w:p>
      <w:pPr>
        <w:spacing w:after="0" w:line="31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Condensed Consolidated Statements of Redeemable Convertible Preferred Units and Changes in Members’ Equity (unaudited)</w:t>
      </w:r>
    </w:p>
    <w:p>
      <w:pPr>
        <w:spacing w:after="0" w:line="245"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9"/>
              </w:rPr>
              <w:t>Series A</w:t>
            </w:r>
          </w:p>
        </w:tc>
        <w:tc>
          <w:tcPr>
            <w:tcW w:w="80" w:type="dxa"/>
            <w:vAlign w:val="bottom"/>
          </w:tcPr>
          <w:p>
            <w:pPr>
              <w:spacing w:after="0"/>
              <w:rPr>
                <w:sz w:val="14"/>
                <w:szCs w:val="14"/>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9"/>
              </w:rPr>
              <w:t>Series B</w:t>
            </w:r>
          </w:p>
        </w:tc>
        <w:tc>
          <w:tcPr>
            <w:tcW w:w="80" w:type="dxa"/>
            <w:vAlign w:val="bottom"/>
          </w:tcPr>
          <w:p>
            <w:pPr>
              <w:spacing w:after="0"/>
              <w:rPr>
                <w:sz w:val="14"/>
                <w:szCs w:val="14"/>
                <w:color w:val="auto"/>
              </w:rPr>
            </w:pPr>
          </w:p>
        </w:tc>
        <w:tc>
          <w:tcPr>
            <w:tcW w:w="1500" w:type="dxa"/>
            <w:vAlign w:val="bottom"/>
            <w:tcBorders>
              <w:right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9"/>
              </w:rPr>
              <w:t>Series C</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20" w:type="dxa"/>
            <w:vAlign w:val="bottom"/>
            <w:gridSpan w:val="3"/>
          </w:tcPr>
          <w:p>
            <w:pPr>
              <w:jc w:val="center"/>
              <w:spacing w:after="0" w:line="157" w:lineRule="exact"/>
              <w:rPr>
                <w:sz w:val="20"/>
                <w:szCs w:val="20"/>
                <w:color w:val="auto"/>
              </w:rPr>
            </w:pPr>
            <w:r>
              <w:rPr>
                <w:rFonts w:ascii="Arial" w:cs="Arial" w:eastAsia="Arial" w:hAnsi="Arial"/>
                <w:sz w:val="14"/>
                <w:szCs w:val="14"/>
                <w:b w:val="1"/>
                <w:bCs w:val="1"/>
                <w:color w:val="auto"/>
              </w:rPr>
              <w:t>Redeemable</w:t>
            </w:r>
          </w:p>
        </w:tc>
        <w:tc>
          <w:tcPr>
            <w:tcW w:w="80" w:type="dxa"/>
            <w:vAlign w:val="bottom"/>
          </w:tcPr>
          <w:p>
            <w:pPr>
              <w:spacing w:after="0"/>
              <w:rPr>
                <w:sz w:val="13"/>
                <w:szCs w:val="13"/>
                <w:color w:val="auto"/>
              </w:rPr>
            </w:pPr>
          </w:p>
        </w:tc>
        <w:tc>
          <w:tcPr>
            <w:tcW w:w="1420" w:type="dxa"/>
            <w:vAlign w:val="bottom"/>
            <w:gridSpan w:val="3"/>
          </w:tcPr>
          <w:p>
            <w:pPr>
              <w:jc w:val="center"/>
              <w:spacing w:after="0" w:line="157" w:lineRule="exact"/>
              <w:rPr>
                <w:sz w:val="20"/>
                <w:szCs w:val="20"/>
                <w:color w:val="auto"/>
              </w:rPr>
            </w:pPr>
            <w:r>
              <w:rPr>
                <w:rFonts w:ascii="Arial" w:cs="Arial" w:eastAsia="Arial" w:hAnsi="Arial"/>
                <w:sz w:val="14"/>
                <w:szCs w:val="14"/>
                <w:b w:val="1"/>
                <w:bCs w:val="1"/>
                <w:color w:val="auto"/>
                <w:w w:val="99"/>
              </w:rPr>
              <w:t>Redeemable</w:t>
            </w:r>
          </w:p>
        </w:tc>
        <w:tc>
          <w:tcPr>
            <w:tcW w:w="80" w:type="dxa"/>
            <w:vAlign w:val="bottom"/>
          </w:tcPr>
          <w:p>
            <w:pPr>
              <w:spacing w:after="0"/>
              <w:rPr>
                <w:sz w:val="13"/>
                <w:szCs w:val="13"/>
                <w:color w:val="auto"/>
              </w:rPr>
            </w:pPr>
          </w:p>
        </w:tc>
        <w:tc>
          <w:tcPr>
            <w:tcW w:w="1500" w:type="dxa"/>
            <w:vAlign w:val="bottom"/>
            <w:tcBorders>
              <w:right w:val="single" w:sz="8" w:color="auto"/>
            </w:tcBorders>
            <w:gridSpan w:val="4"/>
          </w:tcPr>
          <w:p>
            <w:pPr>
              <w:jc w:val="center"/>
              <w:ind w:right="18"/>
              <w:spacing w:after="0" w:line="157" w:lineRule="exact"/>
              <w:rPr>
                <w:sz w:val="20"/>
                <w:szCs w:val="20"/>
                <w:color w:val="auto"/>
              </w:rPr>
            </w:pPr>
            <w:r>
              <w:rPr>
                <w:rFonts w:ascii="Arial" w:cs="Arial" w:eastAsia="Arial" w:hAnsi="Arial"/>
                <w:sz w:val="14"/>
                <w:szCs w:val="14"/>
                <w:b w:val="1"/>
                <w:bCs w:val="1"/>
                <w:color w:val="auto"/>
                <w:w w:val="99"/>
              </w:rPr>
              <w:t>Redeemable</w:t>
            </w: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20" w:type="dxa"/>
            <w:vAlign w:val="bottom"/>
            <w:gridSpan w:val="3"/>
          </w:tcPr>
          <w:p>
            <w:pPr>
              <w:jc w:val="center"/>
              <w:spacing w:after="0" w:line="157" w:lineRule="exact"/>
              <w:rPr>
                <w:sz w:val="20"/>
                <w:szCs w:val="20"/>
                <w:color w:val="auto"/>
              </w:rPr>
            </w:pPr>
            <w:r>
              <w:rPr>
                <w:rFonts w:ascii="Arial" w:cs="Arial" w:eastAsia="Arial" w:hAnsi="Arial"/>
                <w:sz w:val="14"/>
                <w:szCs w:val="14"/>
                <w:b w:val="1"/>
                <w:bCs w:val="1"/>
                <w:color w:val="auto"/>
                <w:w w:val="98"/>
              </w:rPr>
              <w:t>Convertible</w:t>
            </w:r>
          </w:p>
        </w:tc>
        <w:tc>
          <w:tcPr>
            <w:tcW w:w="80" w:type="dxa"/>
            <w:vAlign w:val="bottom"/>
          </w:tcPr>
          <w:p>
            <w:pPr>
              <w:spacing w:after="0"/>
              <w:rPr>
                <w:sz w:val="13"/>
                <w:szCs w:val="13"/>
                <w:color w:val="auto"/>
              </w:rPr>
            </w:pPr>
          </w:p>
        </w:tc>
        <w:tc>
          <w:tcPr>
            <w:tcW w:w="1420" w:type="dxa"/>
            <w:vAlign w:val="bottom"/>
            <w:gridSpan w:val="3"/>
          </w:tcPr>
          <w:p>
            <w:pPr>
              <w:jc w:val="center"/>
              <w:spacing w:after="0" w:line="157" w:lineRule="exact"/>
              <w:rPr>
                <w:sz w:val="20"/>
                <w:szCs w:val="20"/>
                <w:color w:val="auto"/>
              </w:rPr>
            </w:pPr>
            <w:r>
              <w:rPr>
                <w:rFonts w:ascii="Arial" w:cs="Arial" w:eastAsia="Arial" w:hAnsi="Arial"/>
                <w:sz w:val="14"/>
                <w:szCs w:val="14"/>
                <w:b w:val="1"/>
                <w:bCs w:val="1"/>
                <w:color w:val="auto"/>
              </w:rPr>
              <w:t>Convertible</w:t>
            </w:r>
          </w:p>
        </w:tc>
        <w:tc>
          <w:tcPr>
            <w:tcW w:w="80" w:type="dxa"/>
            <w:vAlign w:val="bottom"/>
          </w:tcPr>
          <w:p>
            <w:pPr>
              <w:spacing w:after="0"/>
              <w:rPr>
                <w:sz w:val="13"/>
                <w:szCs w:val="13"/>
                <w:color w:val="auto"/>
              </w:rPr>
            </w:pPr>
          </w:p>
        </w:tc>
        <w:tc>
          <w:tcPr>
            <w:tcW w:w="1500" w:type="dxa"/>
            <w:vAlign w:val="bottom"/>
            <w:tcBorders>
              <w:right w:val="single" w:sz="8" w:color="auto"/>
            </w:tcBorders>
            <w:gridSpan w:val="4"/>
          </w:tcPr>
          <w:p>
            <w:pPr>
              <w:jc w:val="center"/>
              <w:spacing w:after="0" w:line="157" w:lineRule="exact"/>
              <w:rPr>
                <w:sz w:val="20"/>
                <w:szCs w:val="20"/>
                <w:color w:val="auto"/>
              </w:rPr>
            </w:pPr>
            <w:r>
              <w:rPr>
                <w:rFonts w:ascii="Arial" w:cs="Arial" w:eastAsia="Arial" w:hAnsi="Arial"/>
                <w:sz w:val="14"/>
                <w:szCs w:val="14"/>
                <w:b w:val="1"/>
                <w:bCs w:val="1"/>
                <w:color w:val="auto"/>
                <w:w w:val="98"/>
              </w:rPr>
              <w:t>Convertible</w:t>
            </w: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Preferred</w:t>
            </w:r>
          </w:p>
        </w:tc>
        <w:tc>
          <w:tcPr>
            <w:tcW w:w="80" w:type="dxa"/>
            <w:vAlign w:val="bottom"/>
          </w:tcPr>
          <w:p>
            <w:pPr>
              <w:spacing w:after="0"/>
              <w:rPr>
                <w:sz w:val="14"/>
                <w:szCs w:val="14"/>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Preferred</w:t>
            </w:r>
          </w:p>
        </w:tc>
        <w:tc>
          <w:tcPr>
            <w:tcW w:w="80" w:type="dxa"/>
            <w:vAlign w:val="bottom"/>
          </w:tcPr>
          <w:p>
            <w:pPr>
              <w:spacing w:after="0"/>
              <w:rPr>
                <w:sz w:val="14"/>
                <w:szCs w:val="14"/>
                <w:color w:val="auto"/>
              </w:rPr>
            </w:pPr>
          </w:p>
        </w:tc>
        <w:tc>
          <w:tcPr>
            <w:tcW w:w="1500" w:type="dxa"/>
            <w:vAlign w:val="bottom"/>
            <w:tcBorders>
              <w:bottom w:val="single" w:sz="8" w:color="auto"/>
              <w:right w:val="single" w:sz="8" w:color="auto"/>
            </w:tcBorders>
            <w:gridSpan w:val="4"/>
          </w:tcPr>
          <w:p>
            <w:pPr>
              <w:jc w:val="center"/>
              <w:ind w:right="18"/>
              <w:spacing w:after="0"/>
              <w:rPr>
                <w:sz w:val="20"/>
                <w:szCs w:val="20"/>
                <w:color w:val="auto"/>
              </w:rPr>
            </w:pPr>
            <w:r>
              <w:rPr>
                <w:rFonts w:ascii="Arial" w:cs="Arial" w:eastAsia="Arial" w:hAnsi="Arial"/>
                <w:sz w:val="14"/>
                <w:szCs w:val="14"/>
                <w:b w:val="1"/>
                <w:bCs w:val="1"/>
                <w:color w:val="auto"/>
                <w:w w:val="99"/>
              </w:rPr>
              <w:t>Preferred</w:t>
            </w:r>
          </w:p>
        </w:tc>
        <w:tc>
          <w:tcPr>
            <w:tcW w:w="20" w:type="dxa"/>
            <w:vAlign w:val="bottom"/>
          </w:tcPr>
          <w:p>
            <w:pPr>
              <w:spacing w:after="0"/>
              <w:rPr>
                <w:sz w:val="14"/>
                <w:szCs w:val="14"/>
                <w:color w:val="auto"/>
              </w:rPr>
            </w:pPr>
          </w:p>
        </w:tc>
        <w:tc>
          <w:tcPr>
            <w:tcW w:w="122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4"/>
                <w:szCs w:val="14"/>
                <w:b w:val="1"/>
                <w:bCs w:val="1"/>
                <w:color w:val="auto"/>
              </w:rPr>
              <w:t>Common</w:t>
            </w:r>
          </w:p>
        </w:tc>
        <w:tc>
          <w:tcPr>
            <w:tcW w:w="80" w:type="dxa"/>
            <w:vAlign w:val="bottom"/>
          </w:tcPr>
          <w:p>
            <w:pPr>
              <w:spacing w:after="0"/>
              <w:rPr>
                <w:sz w:val="14"/>
                <w:szCs w:val="14"/>
                <w:color w:val="auto"/>
              </w:rPr>
            </w:pPr>
          </w:p>
        </w:tc>
        <w:tc>
          <w:tcPr>
            <w:tcW w:w="130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4"/>
                <w:szCs w:val="14"/>
                <w:b w:val="1"/>
                <w:bCs w:val="1"/>
                <w:color w:val="auto"/>
              </w:rPr>
              <w:t>Incentive</w:t>
            </w:r>
          </w:p>
        </w:tc>
        <w:tc>
          <w:tcPr>
            <w:tcW w:w="1020" w:type="dxa"/>
            <w:vAlign w:val="bottom"/>
            <w:gridSpan w:val="4"/>
          </w:tcPr>
          <w:p>
            <w:pPr>
              <w:ind w:left="60"/>
              <w:spacing w:after="0"/>
              <w:rPr>
                <w:sz w:val="20"/>
                <w:szCs w:val="20"/>
                <w:color w:val="auto"/>
              </w:rPr>
            </w:pPr>
            <w:r>
              <w:rPr>
                <w:rFonts w:ascii="Arial" w:cs="Arial" w:eastAsia="Arial" w:hAnsi="Arial"/>
                <w:sz w:val="14"/>
                <w:szCs w:val="14"/>
                <w:b w:val="1"/>
                <w:bCs w:val="1"/>
                <w:color w:val="auto"/>
              </w:rPr>
              <w:t>Accumulated</w:t>
            </w:r>
          </w:p>
        </w:tc>
        <w:tc>
          <w:tcPr>
            <w:tcW w:w="1160" w:type="dxa"/>
            <w:vAlign w:val="bottom"/>
            <w:gridSpan w:val="4"/>
          </w:tcPr>
          <w:p>
            <w:pPr>
              <w:ind w:left="40"/>
              <w:spacing w:after="0"/>
              <w:rPr>
                <w:sz w:val="20"/>
                <w:szCs w:val="20"/>
                <w:color w:val="auto"/>
              </w:rPr>
            </w:pPr>
            <w:r>
              <w:rPr>
                <w:rFonts w:ascii="Arial" w:cs="Arial" w:eastAsia="Arial" w:hAnsi="Arial"/>
                <w:sz w:val="14"/>
                <w:szCs w:val="14"/>
                <w:b w:val="1"/>
                <w:bCs w:val="1"/>
                <w:color w:val="auto"/>
              </w:rPr>
              <w:t>Comprehensive</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Members</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jc w:val="right"/>
              <w:ind w:right="96"/>
              <w:spacing w:after="0" w:line="151" w:lineRule="exact"/>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3"/>
                <w:szCs w:val="13"/>
                <w:color w:val="auto"/>
              </w:rPr>
            </w:pPr>
          </w:p>
        </w:tc>
        <w:tc>
          <w:tcPr>
            <w:tcW w:w="700" w:type="dxa"/>
            <w:vAlign w:val="bottom"/>
          </w:tcPr>
          <w:p>
            <w:pPr>
              <w:jc w:val="right"/>
              <w:ind w:right="18"/>
              <w:spacing w:after="0" w:line="151" w:lineRule="exact"/>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3"/>
                <w:szCs w:val="13"/>
                <w:color w:val="auto"/>
              </w:rPr>
            </w:pPr>
          </w:p>
        </w:tc>
        <w:tc>
          <w:tcPr>
            <w:tcW w:w="660" w:type="dxa"/>
            <w:vAlign w:val="bottom"/>
          </w:tcPr>
          <w:p>
            <w:pPr>
              <w:jc w:val="right"/>
              <w:ind w:right="95"/>
              <w:spacing w:after="0" w:line="151" w:lineRule="exact"/>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3"/>
                <w:szCs w:val="13"/>
                <w:color w:val="auto"/>
              </w:rPr>
            </w:pPr>
          </w:p>
        </w:tc>
        <w:tc>
          <w:tcPr>
            <w:tcW w:w="680" w:type="dxa"/>
            <w:vAlign w:val="bottom"/>
          </w:tcPr>
          <w:p>
            <w:pPr>
              <w:jc w:val="right"/>
              <w:ind w:right="18"/>
              <w:spacing w:after="0" w:line="151" w:lineRule="exact"/>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3"/>
                <w:szCs w:val="13"/>
                <w:color w:val="auto"/>
              </w:rPr>
            </w:pPr>
          </w:p>
        </w:tc>
        <w:tc>
          <w:tcPr>
            <w:tcW w:w="660" w:type="dxa"/>
            <w:vAlign w:val="bottom"/>
          </w:tcPr>
          <w:p>
            <w:pPr>
              <w:jc w:val="right"/>
              <w:ind w:right="96"/>
              <w:spacing w:after="0" w:line="151" w:lineRule="exact"/>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right w:val="single" w:sz="8" w:color="auto"/>
            </w:tcBorders>
          </w:tcPr>
          <w:p>
            <w:pPr>
              <w:jc w:val="right"/>
              <w:ind w:right="98"/>
              <w:spacing w:after="0" w:line="151" w:lineRule="exact"/>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3"/>
                <w:szCs w:val="13"/>
                <w:color w:val="auto"/>
              </w:rPr>
            </w:pPr>
          </w:p>
        </w:tc>
        <w:tc>
          <w:tcPr>
            <w:tcW w:w="600" w:type="dxa"/>
            <w:vAlign w:val="bottom"/>
          </w:tcPr>
          <w:p>
            <w:pPr>
              <w:jc w:val="right"/>
              <w:ind w:right="57"/>
              <w:spacing w:after="0" w:line="151" w:lineRule="exact"/>
              <w:rPr>
                <w:sz w:val="20"/>
                <w:szCs w:val="20"/>
                <w:color w:val="auto"/>
              </w:rPr>
            </w:pPr>
            <w:r>
              <w:rPr>
                <w:rFonts w:ascii="Arial" w:cs="Arial" w:eastAsia="Arial" w:hAnsi="Arial"/>
                <w:sz w:val="14"/>
                <w:szCs w:val="14"/>
                <w:b w:val="1"/>
                <w:bCs w:val="1"/>
                <w:color w:val="auto"/>
              </w:rPr>
              <w:t>Units</w:t>
            </w:r>
          </w:p>
        </w:tc>
        <w:tc>
          <w:tcPr>
            <w:tcW w:w="620" w:type="dxa"/>
            <w:vAlign w:val="bottom"/>
            <w:gridSpan w:val="3"/>
          </w:tcPr>
          <w:p>
            <w:pPr>
              <w:ind w:left="80"/>
              <w:spacing w:after="0" w:line="151" w:lineRule="exact"/>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3"/>
                <w:szCs w:val="13"/>
                <w:color w:val="auto"/>
              </w:rPr>
            </w:pPr>
          </w:p>
        </w:tc>
        <w:tc>
          <w:tcPr>
            <w:tcW w:w="580" w:type="dxa"/>
            <w:vAlign w:val="bottom"/>
          </w:tcPr>
          <w:p>
            <w:pPr>
              <w:jc w:val="right"/>
              <w:ind w:right="57"/>
              <w:spacing w:after="0" w:line="151" w:lineRule="exact"/>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3"/>
                <w:szCs w:val="13"/>
                <w:color w:val="auto"/>
              </w:rPr>
            </w:pPr>
          </w:p>
        </w:tc>
        <w:tc>
          <w:tcPr>
            <w:tcW w:w="640" w:type="dxa"/>
            <w:vAlign w:val="bottom"/>
            <w:gridSpan w:val="2"/>
          </w:tcPr>
          <w:p>
            <w:pPr>
              <w:jc w:val="right"/>
              <w:spacing w:after="0" w:line="151" w:lineRule="exact"/>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300"/>
              <w:spacing w:after="0" w:line="151" w:lineRule="exact"/>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160"/>
              <w:spacing w:after="0" w:line="151" w:lineRule="exact"/>
              <w:rPr>
                <w:sz w:val="20"/>
                <w:szCs w:val="20"/>
                <w:color w:val="auto"/>
              </w:rPr>
            </w:pPr>
            <w:r>
              <w:rPr>
                <w:rFonts w:ascii="Arial" w:cs="Arial" w:eastAsia="Arial" w:hAnsi="Arial"/>
                <w:sz w:val="14"/>
                <w:szCs w:val="14"/>
                <w:b w:val="1"/>
                <w:bCs w:val="1"/>
                <w:color w:val="auto"/>
                <w:w w:val="97"/>
              </w:rPr>
              <w:t>Loss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00" w:type="dxa"/>
            <w:vAlign w:val="bottom"/>
            <w:tcBorders>
              <w:top w:val="single" w:sz="8" w:color="CCEEFF"/>
            </w:tcBorders>
            <w:shd w:val="clear" w:color="auto" w:fill="CCEEFF"/>
          </w:tcPr>
          <w:p>
            <w:pPr>
              <w:spacing w:after="0" w:line="106" w:lineRule="exact"/>
              <w:rPr>
                <w:sz w:val="20"/>
                <w:szCs w:val="20"/>
                <w:color w:val="auto"/>
              </w:rPr>
            </w:pPr>
            <w:r>
              <w:rPr>
                <w:rFonts w:ascii="Arial" w:cs="Arial" w:eastAsia="Arial" w:hAnsi="Arial"/>
                <w:sz w:val="12"/>
                <w:szCs w:val="12"/>
                <w:color w:val="auto"/>
              </w:rPr>
              <w:t>Balance at</w:t>
            </w:r>
          </w:p>
        </w:tc>
        <w:tc>
          <w:tcPr>
            <w:tcW w:w="6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right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9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00" w:type="dxa"/>
            <w:vAlign w:val="bottom"/>
            <w:shd w:val="clear" w:color="auto" w:fill="CCEEFF"/>
          </w:tcPr>
          <w:p>
            <w:pPr>
              <w:ind w:left="100"/>
              <w:spacing w:after="0" w:line="132" w:lineRule="exact"/>
              <w:rPr>
                <w:sz w:val="20"/>
                <w:szCs w:val="20"/>
                <w:color w:val="auto"/>
              </w:rPr>
            </w:pPr>
            <w:r>
              <w:rPr>
                <w:rFonts w:ascii="Arial" w:cs="Arial" w:eastAsia="Arial" w:hAnsi="Arial"/>
                <w:sz w:val="12"/>
                <w:szCs w:val="12"/>
                <w:color w:val="auto"/>
              </w:rPr>
              <w:t>December 31,</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00" w:type="dxa"/>
            <w:vAlign w:val="bottom"/>
            <w:shd w:val="clear" w:color="auto" w:fill="CCEEFF"/>
          </w:tcPr>
          <w:p>
            <w:pPr>
              <w:ind w:left="100"/>
              <w:spacing w:after="0" w:line="137" w:lineRule="exact"/>
              <w:rPr>
                <w:sz w:val="20"/>
                <w:szCs w:val="20"/>
                <w:color w:val="auto"/>
              </w:rPr>
            </w:pPr>
            <w:r>
              <w:rPr>
                <w:rFonts w:ascii="Arial" w:cs="Arial" w:eastAsia="Arial" w:hAnsi="Arial"/>
                <w:sz w:val="12"/>
                <w:szCs w:val="12"/>
                <w:color w:val="auto"/>
              </w:rPr>
              <w:t>2016</w:t>
            </w:r>
          </w:p>
        </w:tc>
        <w:tc>
          <w:tcPr>
            <w:tcW w:w="6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22,463,665</w:t>
            </w:r>
          </w:p>
        </w:tc>
        <w:tc>
          <w:tcPr>
            <w:tcW w:w="78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$ 15,300,002</w:t>
            </w:r>
          </w:p>
        </w:tc>
        <w:tc>
          <w:tcPr>
            <w:tcW w:w="74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24,977,489</w:t>
            </w:r>
          </w:p>
        </w:tc>
        <w:tc>
          <w:tcPr>
            <w:tcW w:w="76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$ 41,609,999</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6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680" w:type="dxa"/>
            <w:vAlign w:val="bottom"/>
            <w:tcBorders>
              <w:right w:val="single" w:sz="8" w:color="auto"/>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1,897,544</w:t>
            </w:r>
          </w:p>
        </w:tc>
        <w:tc>
          <w:tcPr>
            <w:tcW w:w="220" w:type="dxa"/>
            <w:vAlign w:val="bottom"/>
            <w:gridSpan w:val="2"/>
            <w:shd w:val="clear" w:color="auto" w:fill="CCEEFF"/>
          </w:tcPr>
          <w:p>
            <w:pPr>
              <w:ind w:left="80"/>
              <w:spacing w:after="0" w:line="137" w:lineRule="exact"/>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6,167</w:t>
            </w:r>
          </w:p>
        </w:tc>
        <w:tc>
          <w:tcPr>
            <w:tcW w:w="66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3,066,734</w:t>
            </w:r>
          </w:p>
        </w:tc>
        <w:tc>
          <w:tcPr>
            <w:tcW w:w="16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941,371</w:t>
            </w:r>
          </w:p>
        </w:tc>
        <w:tc>
          <w:tcPr>
            <w:tcW w:w="180" w:type="dxa"/>
            <w:vAlign w:val="bottom"/>
            <w:gridSpan w:val="2"/>
            <w:shd w:val="clear" w:color="auto" w:fill="CCEEFF"/>
          </w:tcPr>
          <w:p>
            <w:pPr>
              <w:ind w:left="60"/>
              <w:spacing w:after="0" w:line="137"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(33,797,760)</w:t>
            </w:r>
          </w:p>
        </w:tc>
        <w:tc>
          <w:tcPr>
            <w:tcW w:w="120" w:type="dxa"/>
            <w:vAlign w:val="bottom"/>
            <w:gridSpan w:val="2"/>
            <w:shd w:val="clear" w:color="auto" w:fill="CCEEFF"/>
          </w:tcPr>
          <w:p>
            <w:pPr>
              <w:ind w:left="40"/>
              <w:spacing w:after="0" w:line="137" w:lineRule="exact"/>
              <w:rPr>
                <w:sz w:val="20"/>
                <w:szCs w:val="20"/>
                <w:color w:val="auto"/>
              </w:rPr>
            </w:pPr>
            <w:r>
              <w:rPr>
                <w:rFonts w:ascii="Arial" w:cs="Arial" w:eastAsia="Arial" w:hAnsi="Arial"/>
                <w:sz w:val="12"/>
                <w:szCs w:val="12"/>
                <w:color w:val="auto"/>
                <w:w w:val="89"/>
              </w:rPr>
              <w:t>$</w:t>
            </w:r>
          </w:p>
        </w:tc>
        <w:tc>
          <w:tcPr>
            <w:tcW w:w="104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(28,679)</w:t>
            </w:r>
          </w:p>
        </w:tc>
        <w:tc>
          <w:tcPr>
            <w:tcW w:w="1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(32,878,9</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00" w:type="dxa"/>
            <w:vAlign w:val="bottom"/>
          </w:tcPr>
          <w:p>
            <w:pPr>
              <w:spacing w:after="0" w:line="125" w:lineRule="exact"/>
              <w:rPr>
                <w:sz w:val="20"/>
                <w:szCs w:val="20"/>
                <w:color w:val="auto"/>
              </w:rPr>
            </w:pPr>
            <w:r>
              <w:rPr>
                <w:rFonts w:ascii="Arial" w:cs="Arial" w:eastAsia="Arial" w:hAnsi="Arial"/>
                <w:sz w:val="12"/>
                <w:szCs w:val="12"/>
                <w:color w:val="auto"/>
              </w:rPr>
              <w:t>Incentive unit-</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00" w:type="dxa"/>
            <w:vAlign w:val="bottom"/>
          </w:tcPr>
          <w:p>
            <w:pPr>
              <w:ind w:left="100"/>
              <w:spacing w:after="0" w:line="132" w:lineRule="exact"/>
              <w:rPr>
                <w:sz w:val="20"/>
                <w:szCs w:val="20"/>
                <w:color w:val="auto"/>
              </w:rPr>
            </w:pPr>
            <w:r>
              <w:rPr>
                <w:rFonts w:ascii="Arial" w:cs="Arial" w:eastAsia="Arial" w:hAnsi="Arial"/>
                <w:sz w:val="12"/>
                <w:szCs w:val="12"/>
                <w:color w:val="auto"/>
              </w:rPr>
              <w:t>based</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00" w:type="dxa"/>
            <w:vAlign w:val="bottom"/>
          </w:tcPr>
          <w:p>
            <w:pPr>
              <w:ind w:left="100"/>
              <w:spacing w:after="0" w:line="137" w:lineRule="exact"/>
              <w:rPr>
                <w:sz w:val="20"/>
                <w:szCs w:val="20"/>
                <w:color w:val="auto"/>
              </w:rPr>
            </w:pPr>
            <w:r>
              <w:rPr>
                <w:rFonts w:ascii="Arial" w:cs="Arial" w:eastAsia="Arial" w:hAnsi="Arial"/>
                <w:sz w:val="12"/>
                <w:szCs w:val="12"/>
                <w:color w:val="auto"/>
              </w:rPr>
              <w:t>compensation</w:t>
            </w:r>
          </w:p>
        </w:tc>
        <w:tc>
          <w:tcPr>
            <w:tcW w:w="64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right w:val="single" w:sz="8" w:color="auto"/>
            </w:tcBorders>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6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66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71,486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7" w:lineRule="exact"/>
              <w:rPr>
                <w:sz w:val="20"/>
                <w:szCs w:val="20"/>
                <w:color w:val="auto"/>
              </w:rPr>
            </w:pPr>
            <w:r>
              <w:rPr>
                <w:rFonts w:ascii="Arial" w:cs="Arial" w:eastAsia="Arial" w:hAnsi="Arial"/>
                <w:sz w:val="12"/>
                <w:szCs w:val="12"/>
                <w:color w:val="auto"/>
              </w:rPr>
              <w:t>83,241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7" w:lineRule="exact"/>
              <w:rPr>
                <w:sz w:val="20"/>
                <w:szCs w:val="20"/>
                <w:color w:val="auto"/>
              </w:rPr>
            </w:pPr>
            <w:r>
              <w:rPr>
                <w:rFonts w:ascii="Arial" w:cs="Arial" w:eastAsia="Arial" w:hAnsi="Arial"/>
                <w:sz w:val="12"/>
                <w:szCs w:val="12"/>
                <w:color w:val="auto"/>
              </w:rPr>
              <w:t>83,2</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0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Net loss</w:t>
            </w:r>
          </w:p>
        </w:tc>
        <w:tc>
          <w:tcPr>
            <w:tcW w:w="64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jc w:val="right"/>
              <w:spacing w:after="0" w:line="132"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2" w:lineRule="exact"/>
              <w:rPr>
                <w:sz w:val="20"/>
                <w:szCs w:val="20"/>
                <w:color w:val="auto"/>
              </w:rPr>
            </w:pPr>
            <w:r>
              <w:rPr>
                <w:rFonts w:ascii="Arial" w:cs="Arial" w:eastAsia="Arial" w:hAnsi="Arial"/>
                <w:sz w:val="12"/>
                <w:szCs w:val="12"/>
                <w:color w:val="auto"/>
              </w:rPr>
              <w:t>(12,923,908)</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(12,923,9</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00" w:type="dxa"/>
            <w:vAlign w:val="bottom"/>
          </w:tcPr>
          <w:p>
            <w:pPr>
              <w:spacing w:after="0" w:line="125" w:lineRule="exact"/>
              <w:rPr>
                <w:sz w:val="20"/>
                <w:szCs w:val="20"/>
                <w:color w:val="auto"/>
              </w:rPr>
            </w:pPr>
            <w:r>
              <w:rPr>
                <w:rFonts w:ascii="Arial" w:cs="Arial" w:eastAsia="Arial" w:hAnsi="Arial"/>
                <w:sz w:val="12"/>
                <w:szCs w:val="12"/>
                <w:color w:val="auto"/>
              </w:rPr>
              <w:t>Unrealized gain on</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00" w:type="dxa"/>
            <w:vAlign w:val="bottom"/>
          </w:tcPr>
          <w:p>
            <w:pPr>
              <w:ind w:left="100"/>
              <w:spacing w:after="0" w:line="132" w:lineRule="exact"/>
              <w:rPr>
                <w:sz w:val="20"/>
                <w:szCs w:val="20"/>
                <w:color w:val="auto"/>
              </w:rPr>
            </w:pPr>
            <w:r>
              <w:rPr>
                <w:rFonts w:ascii="Arial" w:cs="Arial" w:eastAsia="Arial" w:hAnsi="Arial"/>
                <w:sz w:val="12"/>
                <w:szCs w:val="12"/>
                <w:color w:val="auto"/>
              </w:rPr>
              <w:t>available-for-sale</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tcPr>
          <w:p>
            <w:pPr>
              <w:ind w:left="100"/>
              <w:spacing w:after="0" w:line="137" w:lineRule="exact"/>
              <w:rPr>
                <w:sz w:val="20"/>
                <w:szCs w:val="20"/>
                <w:color w:val="auto"/>
              </w:rPr>
            </w:pPr>
            <w:r>
              <w:rPr>
                <w:rFonts w:ascii="Arial" w:cs="Arial" w:eastAsia="Arial" w:hAnsi="Arial"/>
                <w:sz w:val="12"/>
                <w:szCs w:val="12"/>
                <w:color w:val="auto"/>
              </w:rPr>
              <w:t>securities</w:t>
            </w:r>
          </w:p>
        </w:tc>
        <w:tc>
          <w:tcPr>
            <w:tcW w:w="64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right w:val="single" w:sz="8" w:color="auto"/>
            </w:tcBorders>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37" w:lineRule="exact"/>
              <w:rPr>
                <w:sz w:val="20"/>
                <w:szCs w:val="20"/>
                <w:color w:val="auto"/>
              </w:rPr>
            </w:pPr>
            <w:r>
              <w:rPr>
                <w:rFonts w:ascii="Arial" w:cs="Arial" w:eastAsia="Arial" w:hAnsi="Arial"/>
                <w:sz w:val="12"/>
                <w:szCs w:val="12"/>
                <w:color w:val="auto"/>
              </w:rPr>
              <w:t>8,704</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37" w:lineRule="exact"/>
              <w:rPr>
                <w:sz w:val="20"/>
                <w:szCs w:val="20"/>
                <w:color w:val="auto"/>
              </w:rPr>
            </w:pPr>
            <w:r>
              <w:rPr>
                <w:rFonts w:ascii="Arial" w:cs="Arial" w:eastAsia="Arial" w:hAnsi="Arial"/>
                <w:sz w:val="12"/>
                <w:szCs w:val="12"/>
                <w:color w:val="auto"/>
              </w:rPr>
              <w:t>8,7</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0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Balance at</w:t>
            </w:r>
          </w:p>
        </w:tc>
        <w:tc>
          <w:tcPr>
            <w:tcW w:w="6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00" w:type="dxa"/>
            <w:vAlign w:val="bottom"/>
            <w:shd w:val="clear" w:color="auto" w:fill="CCEEFF"/>
          </w:tcPr>
          <w:p>
            <w:pPr>
              <w:ind w:left="100"/>
              <w:spacing w:after="0" w:line="137" w:lineRule="exact"/>
              <w:rPr>
                <w:sz w:val="20"/>
                <w:szCs w:val="20"/>
                <w:color w:val="auto"/>
              </w:rPr>
            </w:pPr>
            <w:r>
              <w:rPr>
                <w:rFonts w:ascii="Arial" w:cs="Arial" w:eastAsia="Arial" w:hAnsi="Arial"/>
                <w:sz w:val="12"/>
                <w:szCs w:val="12"/>
                <w:color w:val="auto"/>
              </w:rPr>
              <w:t>June 30, 2017</w:t>
            </w:r>
          </w:p>
        </w:tc>
        <w:tc>
          <w:tcPr>
            <w:tcW w:w="6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22,463,665</w:t>
            </w:r>
          </w:p>
        </w:tc>
        <w:tc>
          <w:tcPr>
            <w:tcW w:w="78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u w:val="single" w:color="auto"/>
                <w:color w:val="auto"/>
              </w:rPr>
              <w:t>$</w:t>
            </w:r>
            <w:r>
              <w:rPr>
                <w:rFonts w:ascii="Arial" w:cs="Arial" w:eastAsia="Arial" w:hAnsi="Arial"/>
                <w:sz w:val="12"/>
                <w:szCs w:val="12"/>
                <w:color w:val="auto"/>
              </w:rPr>
              <w:t xml:space="preserve"> 15,300,002</w:t>
            </w:r>
          </w:p>
        </w:tc>
        <w:tc>
          <w:tcPr>
            <w:tcW w:w="74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24,977,489</w:t>
            </w:r>
          </w:p>
        </w:tc>
        <w:tc>
          <w:tcPr>
            <w:tcW w:w="76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u w:val="single" w:color="auto"/>
                <w:color w:val="auto"/>
              </w:rPr>
              <w:t>$</w:t>
            </w:r>
            <w:r>
              <w:rPr>
                <w:rFonts w:ascii="Arial" w:cs="Arial" w:eastAsia="Arial" w:hAnsi="Arial"/>
                <w:sz w:val="12"/>
                <w:szCs w:val="12"/>
                <w:color w:val="auto"/>
              </w:rPr>
              <w:t xml:space="preserve"> 41,609,999</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6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680" w:type="dxa"/>
            <w:vAlign w:val="bottom"/>
            <w:tcBorders>
              <w:right w:val="single" w:sz="8" w:color="auto"/>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1,897,544</w:t>
            </w:r>
          </w:p>
        </w:tc>
        <w:tc>
          <w:tcPr>
            <w:tcW w:w="220" w:type="dxa"/>
            <w:vAlign w:val="bottom"/>
            <w:gridSpan w:val="2"/>
            <w:shd w:val="clear" w:color="auto" w:fill="CCEEFF"/>
          </w:tcPr>
          <w:p>
            <w:pPr>
              <w:ind w:left="80"/>
              <w:spacing w:after="0" w:line="137" w:lineRule="exact"/>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6,167</w:t>
            </w:r>
          </w:p>
        </w:tc>
        <w:tc>
          <w:tcPr>
            <w:tcW w:w="66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3,138,220</w:t>
            </w:r>
          </w:p>
        </w:tc>
        <w:tc>
          <w:tcPr>
            <w:tcW w:w="16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w w:val="97"/>
              </w:rPr>
              <w:t>1,024,612</w:t>
            </w:r>
          </w:p>
        </w:tc>
        <w:tc>
          <w:tcPr>
            <w:tcW w:w="180" w:type="dxa"/>
            <w:vAlign w:val="bottom"/>
            <w:gridSpan w:val="2"/>
            <w:shd w:val="clear" w:color="auto" w:fill="CCEEFF"/>
          </w:tcPr>
          <w:p>
            <w:pPr>
              <w:ind w:left="60"/>
              <w:spacing w:after="0" w:line="137"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(46,721,668)</w:t>
            </w:r>
          </w:p>
        </w:tc>
        <w:tc>
          <w:tcPr>
            <w:tcW w:w="120" w:type="dxa"/>
            <w:vAlign w:val="bottom"/>
            <w:gridSpan w:val="2"/>
            <w:shd w:val="clear" w:color="auto" w:fill="CCEEFF"/>
          </w:tcPr>
          <w:p>
            <w:pPr>
              <w:ind w:left="40"/>
              <w:spacing w:after="0" w:line="137" w:lineRule="exact"/>
              <w:rPr>
                <w:sz w:val="20"/>
                <w:szCs w:val="20"/>
                <w:color w:val="auto"/>
              </w:rPr>
            </w:pPr>
            <w:r>
              <w:rPr>
                <w:rFonts w:ascii="Arial" w:cs="Arial" w:eastAsia="Arial" w:hAnsi="Arial"/>
                <w:sz w:val="12"/>
                <w:szCs w:val="12"/>
                <w:color w:val="auto"/>
                <w:w w:val="89"/>
              </w:rPr>
              <w:t>$</w:t>
            </w:r>
          </w:p>
        </w:tc>
        <w:tc>
          <w:tcPr>
            <w:tcW w:w="104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(19,975)</w:t>
            </w:r>
          </w:p>
        </w:tc>
        <w:tc>
          <w:tcPr>
            <w:tcW w:w="1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(45,710,8</w:t>
            </w: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spacing w:after="0"/>
              <w:rPr>
                <w:sz w:val="20"/>
                <w:szCs w:val="20"/>
                <w:color w:val="auto"/>
              </w:rPr>
            </w:pPr>
            <w:r>
              <w:rPr>
                <w:rFonts w:ascii="Arial" w:cs="Arial" w:eastAsia="Arial" w:hAnsi="Arial"/>
                <w:sz w:val="12"/>
                <w:szCs w:val="12"/>
                <w:color w:val="auto"/>
              </w:rPr>
              <w:t>Balance at</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12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00" w:type="dxa"/>
            <w:vAlign w:val="bottom"/>
          </w:tcPr>
          <w:p>
            <w:pPr>
              <w:ind w:left="100"/>
              <w:spacing w:after="0" w:line="132" w:lineRule="exact"/>
              <w:rPr>
                <w:sz w:val="20"/>
                <w:szCs w:val="20"/>
                <w:color w:val="auto"/>
              </w:rPr>
            </w:pPr>
            <w:r>
              <w:rPr>
                <w:rFonts w:ascii="Arial" w:cs="Arial" w:eastAsia="Arial" w:hAnsi="Arial"/>
                <w:sz w:val="12"/>
                <w:szCs w:val="12"/>
                <w:color w:val="auto"/>
              </w:rPr>
              <w:t>December 31,</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120" w:type="dxa"/>
            <w:vAlign w:val="bottom"/>
            <w:gridSpan w:val="2"/>
          </w:tcPr>
          <w:p>
            <w:pPr>
              <w:ind w:left="120"/>
              <w:spacing w:after="0" w:line="137" w:lineRule="exact"/>
              <w:rPr>
                <w:sz w:val="20"/>
                <w:szCs w:val="20"/>
                <w:color w:val="auto"/>
              </w:rPr>
            </w:pPr>
            <w:r>
              <w:rPr>
                <w:rFonts w:ascii="Arial" w:cs="Arial" w:eastAsia="Arial" w:hAnsi="Arial"/>
                <w:sz w:val="12"/>
                <w:szCs w:val="12"/>
                <w:color w:val="auto"/>
              </w:rPr>
              <w:t>2017</w:t>
            </w:r>
          </w:p>
        </w:tc>
        <w:tc>
          <w:tcPr>
            <w:tcW w:w="640" w:type="dxa"/>
            <w:vAlign w:val="bottom"/>
          </w:tcPr>
          <w:p>
            <w:pPr>
              <w:jc w:val="right"/>
              <w:spacing w:after="0" w:line="137" w:lineRule="exact"/>
              <w:rPr>
                <w:sz w:val="20"/>
                <w:szCs w:val="20"/>
                <w:color w:val="auto"/>
              </w:rPr>
            </w:pPr>
            <w:r>
              <w:rPr>
                <w:rFonts w:ascii="Arial" w:cs="Arial" w:eastAsia="Arial" w:hAnsi="Arial"/>
                <w:sz w:val="12"/>
                <w:szCs w:val="12"/>
                <w:color w:val="auto"/>
              </w:rPr>
              <w:t>22,463,665</w:t>
            </w:r>
          </w:p>
        </w:tc>
        <w:tc>
          <w:tcPr>
            <w:tcW w:w="78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$ 19,768,025</w:t>
            </w:r>
          </w:p>
        </w:tc>
        <w:tc>
          <w:tcPr>
            <w:tcW w:w="74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24,977,489</w:t>
            </w:r>
          </w:p>
        </w:tc>
        <w:tc>
          <w:tcPr>
            <w:tcW w:w="76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$ 41,712,407</w:t>
            </w:r>
          </w:p>
        </w:tc>
        <w:tc>
          <w:tcPr>
            <w:tcW w:w="80" w:type="dxa"/>
            <w:vAlign w:val="bottom"/>
          </w:tcPr>
          <w:p>
            <w:pPr>
              <w:spacing w:after="0"/>
              <w:rPr>
                <w:sz w:val="11"/>
                <w:szCs w:val="11"/>
                <w:color w:val="auto"/>
              </w:rPr>
            </w:pPr>
          </w:p>
        </w:tc>
        <w:tc>
          <w:tcPr>
            <w:tcW w:w="6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16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680" w:type="dxa"/>
            <w:vAlign w:val="bottom"/>
            <w:tcBorders>
              <w:right w:val="single" w:sz="8" w:color="auto"/>
            </w:tcBorders>
          </w:tcPr>
          <w:p>
            <w:pPr>
              <w:jc w:val="right"/>
              <w:spacing w:after="0" w:line="137"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1,897,544</w:t>
            </w:r>
          </w:p>
        </w:tc>
        <w:tc>
          <w:tcPr>
            <w:tcW w:w="220" w:type="dxa"/>
            <w:vAlign w:val="bottom"/>
            <w:gridSpan w:val="2"/>
          </w:tcPr>
          <w:p>
            <w:pPr>
              <w:ind w:left="80"/>
              <w:spacing w:after="0" w:line="137" w:lineRule="exact"/>
              <w:rPr>
                <w:sz w:val="20"/>
                <w:szCs w:val="20"/>
                <w:color w:val="auto"/>
              </w:rPr>
            </w:pPr>
            <w:r>
              <w:rPr>
                <w:rFonts w:ascii="Arial" w:cs="Arial" w:eastAsia="Arial" w:hAnsi="Arial"/>
                <w:sz w:val="12"/>
                <w:szCs w:val="12"/>
                <w:color w:val="auto"/>
              </w:rPr>
              <w:t>$</w:t>
            </w:r>
          </w:p>
        </w:tc>
        <w:tc>
          <w:tcPr>
            <w:tcW w:w="400" w:type="dxa"/>
            <w:vAlign w:val="bottom"/>
          </w:tcPr>
          <w:p>
            <w:pPr>
              <w:jc w:val="right"/>
              <w:spacing w:after="0" w:line="137" w:lineRule="exact"/>
              <w:rPr>
                <w:sz w:val="20"/>
                <w:szCs w:val="20"/>
                <w:color w:val="auto"/>
              </w:rPr>
            </w:pPr>
            <w:r>
              <w:rPr>
                <w:rFonts w:ascii="Arial" w:cs="Arial" w:eastAsia="Arial" w:hAnsi="Arial"/>
                <w:sz w:val="12"/>
                <w:szCs w:val="12"/>
                <w:color w:val="auto"/>
              </w:rPr>
              <w:t>6,167</w:t>
            </w:r>
          </w:p>
        </w:tc>
        <w:tc>
          <w:tcPr>
            <w:tcW w:w="66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3,669,963</w:t>
            </w:r>
          </w:p>
        </w:tc>
        <w:tc>
          <w:tcPr>
            <w:tcW w:w="16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7" w:lineRule="exact"/>
              <w:rPr>
                <w:sz w:val="20"/>
                <w:szCs w:val="20"/>
                <w:color w:val="auto"/>
              </w:rPr>
            </w:pPr>
            <w:r>
              <w:rPr>
                <w:rFonts w:ascii="Arial" w:cs="Arial" w:eastAsia="Arial" w:hAnsi="Arial"/>
                <w:sz w:val="12"/>
                <w:szCs w:val="12"/>
                <w:color w:val="auto"/>
                <w:w w:val="97"/>
              </w:rPr>
              <w:t>1,186,419</w:t>
            </w:r>
          </w:p>
        </w:tc>
        <w:tc>
          <w:tcPr>
            <w:tcW w:w="180" w:type="dxa"/>
            <w:vAlign w:val="bottom"/>
            <w:gridSpan w:val="2"/>
          </w:tcPr>
          <w:p>
            <w:pPr>
              <w:ind w:left="60"/>
              <w:spacing w:after="0" w:line="137" w:lineRule="exact"/>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(62,417,397)</w:t>
            </w:r>
          </w:p>
        </w:tc>
        <w:tc>
          <w:tcPr>
            <w:tcW w:w="120" w:type="dxa"/>
            <w:vAlign w:val="bottom"/>
            <w:gridSpan w:val="2"/>
          </w:tcPr>
          <w:p>
            <w:pPr>
              <w:ind w:left="40"/>
              <w:spacing w:after="0" w:line="137" w:lineRule="exact"/>
              <w:rPr>
                <w:sz w:val="20"/>
                <w:szCs w:val="20"/>
                <w:color w:val="auto"/>
              </w:rPr>
            </w:pPr>
            <w:r>
              <w:rPr>
                <w:rFonts w:ascii="Arial" w:cs="Arial" w:eastAsia="Arial" w:hAnsi="Arial"/>
                <w:sz w:val="12"/>
                <w:szCs w:val="12"/>
                <w:color w:val="auto"/>
                <w:w w:val="89"/>
              </w:rPr>
              <w:t>$</w:t>
            </w:r>
          </w:p>
        </w:tc>
        <w:tc>
          <w:tcPr>
            <w:tcW w:w="104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(9,751)</w:t>
            </w:r>
          </w:p>
        </w:tc>
        <w:tc>
          <w:tcPr>
            <w:tcW w:w="12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w:t>
            </w:r>
          </w:p>
        </w:tc>
        <w:tc>
          <w:tcPr>
            <w:tcW w:w="620" w:type="dxa"/>
            <w:vAlign w:val="bottom"/>
          </w:tcPr>
          <w:p>
            <w:pPr>
              <w:jc w:val="right"/>
              <w:spacing w:after="0" w:line="137" w:lineRule="exact"/>
              <w:rPr>
                <w:sz w:val="20"/>
                <w:szCs w:val="20"/>
                <w:color w:val="auto"/>
              </w:rPr>
            </w:pPr>
            <w:r>
              <w:rPr>
                <w:rFonts w:ascii="Arial" w:cs="Arial" w:eastAsia="Arial" w:hAnsi="Arial"/>
                <w:sz w:val="12"/>
                <w:szCs w:val="12"/>
                <w:color w:val="auto"/>
              </w:rPr>
              <w:t>(61,234,5</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0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Incentive unit-</w:t>
            </w: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00" w:type="dxa"/>
            <w:vAlign w:val="bottom"/>
            <w:shd w:val="clear" w:color="auto" w:fill="CCEEFF"/>
          </w:tcPr>
          <w:p>
            <w:pPr>
              <w:ind w:left="100"/>
              <w:spacing w:after="0" w:line="132" w:lineRule="exact"/>
              <w:rPr>
                <w:sz w:val="20"/>
                <w:szCs w:val="20"/>
                <w:color w:val="auto"/>
              </w:rPr>
            </w:pPr>
            <w:r>
              <w:rPr>
                <w:rFonts w:ascii="Arial" w:cs="Arial" w:eastAsia="Arial" w:hAnsi="Arial"/>
                <w:sz w:val="12"/>
                <w:szCs w:val="12"/>
                <w:color w:val="auto"/>
              </w:rPr>
              <w:t>based</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00" w:type="dxa"/>
            <w:vAlign w:val="bottom"/>
            <w:shd w:val="clear" w:color="auto" w:fill="CCEEFF"/>
          </w:tcPr>
          <w:p>
            <w:pPr>
              <w:ind w:left="100"/>
              <w:spacing w:after="0" w:line="137" w:lineRule="exact"/>
              <w:rPr>
                <w:sz w:val="20"/>
                <w:szCs w:val="20"/>
                <w:color w:val="auto"/>
              </w:rPr>
            </w:pPr>
            <w:r>
              <w:rPr>
                <w:rFonts w:ascii="Arial" w:cs="Arial" w:eastAsia="Arial" w:hAnsi="Arial"/>
                <w:sz w:val="12"/>
                <w:szCs w:val="12"/>
                <w:color w:val="auto"/>
              </w:rPr>
              <w:t>compensation</w:t>
            </w:r>
          </w:p>
        </w:tc>
        <w:tc>
          <w:tcPr>
            <w:tcW w:w="6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1,669,110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w w:val="97"/>
              </w:rPr>
              <w:t>1,126,603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1,126,6</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00" w:type="dxa"/>
            <w:vAlign w:val="bottom"/>
          </w:tcPr>
          <w:p>
            <w:pPr>
              <w:spacing w:after="0" w:line="125" w:lineRule="exact"/>
              <w:rPr>
                <w:sz w:val="20"/>
                <w:szCs w:val="20"/>
                <w:color w:val="auto"/>
              </w:rPr>
            </w:pPr>
            <w:r>
              <w:rPr>
                <w:rFonts w:ascii="Arial" w:cs="Arial" w:eastAsia="Arial" w:hAnsi="Arial"/>
                <w:sz w:val="12"/>
                <w:szCs w:val="12"/>
                <w:color w:val="auto"/>
              </w:rPr>
              <w:t>Issuance of Series</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00" w:type="dxa"/>
            <w:vAlign w:val="bottom"/>
          </w:tcPr>
          <w:p>
            <w:pPr>
              <w:ind w:left="100"/>
              <w:spacing w:after="0" w:line="132" w:lineRule="exact"/>
              <w:rPr>
                <w:sz w:val="20"/>
                <w:szCs w:val="20"/>
                <w:color w:val="auto"/>
              </w:rPr>
            </w:pPr>
            <w:r>
              <w:rPr>
                <w:rFonts w:ascii="Arial" w:cs="Arial" w:eastAsia="Arial" w:hAnsi="Arial"/>
                <w:sz w:val="12"/>
                <w:szCs w:val="12"/>
                <w:color w:val="auto"/>
              </w:rPr>
              <w:t>C redeemable</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00" w:type="dxa"/>
            <w:vAlign w:val="bottom"/>
          </w:tcPr>
          <w:p>
            <w:pPr>
              <w:ind w:left="100"/>
              <w:spacing w:after="0" w:line="132" w:lineRule="exact"/>
              <w:rPr>
                <w:sz w:val="20"/>
                <w:szCs w:val="20"/>
                <w:color w:val="auto"/>
              </w:rPr>
            </w:pPr>
            <w:r>
              <w:rPr>
                <w:rFonts w:ascii="Arial" w:cs="Arial" w:eastAsia="Arial" w:hAnsi="Arial"/>
                <w:sz w:val="12"/>
                <w:szCs w:val="12"/>
                <w:color w:val="auto"/>
              </w:rPr>
              <w:t>convertible</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00" w:type="dxa"/>
            <w:vAlign w:val="bottom"/>
          </w:tcPr>
          <w:p>
            <w:pPr>
              <w:ind w:left="100"/>
              <w:spacing w:after="0" w:line="137" w:lineRule="exact"/>
              <w:rPr>
                <w:sz w:val="20"/>
                <w:szCs w:val="20"/>
                <w:color w:val="auto"/>
              </w:rPr>
            </w:pPr>
            <w:r>
              <w:rPr>
                <w:rFonts w:ascii="Arial" w:cs="Arial" w:eastAsia="Arial" w:hAnsi="Arial"/>
                <w:sz w:val="12"/>
                <w:szCs w:val="12"/>
                <w:color w:val="auto"/>
              </w:rPr>
              <w:t>preferred units</w:t>
            </w:r>
          </w:p>
        </w:tc>
        <w:tc>
          <w:tcPr>
            <w:tcW w:w="64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16,467,066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right w:val="single" w:sz="8" w:color="auto"/>
            </w:tcBorders>
          </w:tcPr>
          <w:p>
            <w:pPr>
              <w:jc w:val="right"/>
              <w:spacing w:after="0" w:line="137" w:lineRule="exact"/>
              <w:rPr>
                <w:sz w:val="20"/>
                <w:szCs w:val="20"/>
                <w:color w:val="auto"/>
              </w:rPr>
            </w:pPr>
            <w:r>
              <w:rPr>
                <w:rFonts w:ascii="Arial" w:cs="Arial" w:eastAsia="Arial" w:hAnsi="Arial"/>
                <w:sz w:val="12"/>
                <w:szCs w:val="12"/>
                <w:color w:val="auto"/>
                <w:w w:val="99"/>
              </w:rPr>
              <w:t>55,000,001</w:t>
            </w:r>
          </w:p>
        </w:tc>
        <w:tc>
          <w:tcPr>
            <w:tcW w:w="20" w:type="dxa"/>
            <w:vAlign w:val="bottom"/>
          </w:tcPr>
          <w:p>
            <w:pPr>
              <w:spacing w:after="0"/>
              <w:rPr>
                <w:sz w:val="11"/>
                <w:szCs w:val="11"/>
                <w:color w:val="auto"/>
              </w:rPr>
            </w:pPr>
          </w:p>
        </w:tc>
        <w:tc>
          <w:tcPr>
            <w:tcW w:w="6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5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0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Change in</w:t>
            </w: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00" w:type="dxa"/>
            <w:vAlign w:val="bottom"/>
            <w:shd w:val="clear" w:color="auto" w:fill="CCEEFF"/>
          </w:tcPr>
          <w:p>
            <w:pPr>
              <w:ind w:left="100"/>
              <w:spacing w:after="0" w:line="132" w:lineRule="exact"/>
              <w:rPr>
                <w:sz w:val="20"/>
                <w:szCs w:val="20"/>
                <w:color w:val="auto"/>
              </w:rPr>
            </w:pPr>
            <w:r>
              <w:rPr>
                <w:rFonts w:ascii="Arial" w:cs="Arial" w:eastAsia="Arial" w:hAnsi="Arial"/>
                <w:sz w:val="12"/>
                <w:szCs w:val="12"/>
                <w:color w:val="auto"/>
              </w:rPr>
              <w:t>redemption value</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00" w:type="dxa"/>
            <w:vAlign w:val="bottom"/>
            <w:shd w:val="clear" w:color="auto" w:fill="CCEEFF"/>
          </w:tcPr>
          <w:p>
            <w:pPr>
              <w:ind w:left="100"/>
              <w:spacing w:after="0" w:line="132" w:lineRule="exact"/>
              <w:rPr>
                <w:sz w:val="20"/>
                <w:szCs w:val="20"/>
                <w:color w:val="auto"/>
              </w:rPr>
            </w:pPr>
            <w:r>
              <w:rPr>
                <w:rFonts w:ascii="Arial" w:cs="Arial" w:eastAsia="Arial" w:hAnsi="Arial"/>
                <w:sz w:val="12"/>
                <w:szCs w:val="12"/>
                <w:color w:val="auto"/>
              </w:rPr>
              <w:t>of redeemable</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00" w:type="dxa"/>
            <w:vAlign w:val="bottom"/>
            <w:shd w:val="clear" w:color="auto" w:fill="CCEEFF"/>
          </w:tcPr>
          <w:p>
            <w:pPr>
              <w:ind w:left="100"/>
              <w:spacing w:after="0" w:line="132" w:lineRule="exact"/>
              <w:rPr>
                <w:sz w:val="20"/>
                <w:szCs w:val="20"/>
                <w:color w:val="auto"/>
              </w:rPr>
            </w:pPr>
            <w:r>
              <w:rPr>
                <w:rFonts w:ascii="Arial" w:cs="Arial" w:eastAsia="Arial" w:hAnsi="Arial"/>
                <w:sz w:val="12"/>
                <w:szCs w:val="12"/>
                <w:color w:val="auto"/>
              </w:rPr>
              <w:t>convertible</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00" w:type="dxa"/>
            <w:vAlign w:val="bottom"/>
            <w:shd w:val="clear" w:color="auto" w:fill="CCEEFF"/>
          </w:tcPr>
          <w:p>
            <w:pPr>
              <w:ind w:left="100"/>
              <w:spacing w:after="0" w:line="137" w:lineRule="exact"/>
              <w:rPr>
                <w:sz w:val="20"/>
                <w:szCs w:val="20"/>
                <w:color w:val="auto"/>
              </w:rPr>
            </w:pPr>
            <w:r>
              <w:rPr>
                <w:rFonts w:ascii="Arial" w:cs="Arial" w:eastAsia="Arial" w:hAnsi="Arial"/>
                <w:sz w:val="12"/>
                <w:szCs w:val="12"/>
                <w:color w:val="auto"/>
              </w:rPr>
              <w:t>preferred units</w:t>
            </w:r>
          </w:p>
        </w:tc>
        <w:tc>
          <w:tcPr>
            <w:tcW w:w="6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46,050,513</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37,466,233</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2,799,401</w:t>
            </w: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(86,316,147)</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(86,316,1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00" w:type="dxa"/>
            <w:vAlign w:val="bottom"/>
          </w:tcPr>
          <w:p>
            <w:pPr>
              <w:spacing w:after="0" w:line="132" w:lineRule="exact"/>
              <w:rPr>
                <w:sz w:val="20"/>
                <w:szCs w:val="20"/>
                <w:color w:val="auto"/>
              </w:rPr>
            </w:pPr>
            <w:r>
              <w:rPr>
                <w:rFonts w:ascii="Arial" w:cs="Arial" w:eastAsia="Arial" w:hAnsi="Arial"/>
                <w:sz w:val="12"/>
                <w:szCs w:val="12"/>
                <w:color w:val="auto"/>
              </w:rPr>
              <w:t>Net loss</w:t>
            </w:r>
          </w:p>
        </w:tc>
        <w:tc>
          <w:tcPr>
            <w:tcW w:w="640" w:type="dxa"/>
            <w:vAlign w:val="bottom"/>
          </w:tcPr>
          <w:p>
            <w:pPr>
              <w:jc w:val="right"/>
              <w:spacing w:after="0" w:line="132"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00" w:type="dxa"/>
            <w:vAlign w:val="bottom"/>
          </w:tcPr>
          <w:p>
            <w:pPr>
              <w:jc w:val="right"/>
              <w:spacing w:after="0" w:line="132"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60" w:type="dxa"/>
            <w:vAlign w:val="bottom"/>
          </w:tcPr>
          <w:p>
            <w:pPr>
              <w:jc w:val="right"/>
              <w:spacing w:after="0" w:line="132"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80" w:type="dxa"/>
            <w:vAlign w:val="bottom"/>
          </w:tcPr>
          <w:p>
            <w:pPr>
              <w:jc w:val="right"/>
              <w:spacing w:after="0" w:line="132"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60" w:type="dxa"/>
            <w:vAlign w:val="bottom"/>
          </w:tcPr>
          <w:p>
            <w:pPr>
              <w:jc w:val="right"/>
              <w:spacing w:after="0" w:line="132"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right w:val="single" w:sz="8" w:color="auto"/>
            </w:tcBorders>
          </w:tcPr>
          <w:p>
            <w:pPr>
              <w:jc w:val="right"/>
              <w:spacing w:after="0" w:line="132"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jc w:val="right"/>
              <w:spacing w:after="0" w:line="132"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580" w:type="dxa"/>
            <w:vAlign w:val="bottom"/>
          </w:tcPr>
          <w:p>
            <w:pPr>
              <w:jc w:val="right"/>
              <w:spacing w:after="0" w:line="132"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2"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(12,004,928)</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2" w:lineRule="exact"/>
              <w:rPr>
                <w:sz w:val="20"/>
                <w:szCs w:val="20"/>
                <w:color w:val="auto"/>
              </w:rPr>
            </w:pPr>
            <w:r>
              <w:rPr>
                <w:rFonts w:ascii="Arial" w:cs="Arial" w:eastAsia="Arial" w:hAnsi="Arial"/>
                <w:sz w:val="12"/>
                <w:szCs w:val="12"/>
                <w:color w:val="auto"/>
              </w:rPr>
              <w:t>(12,004,9</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0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Unrealized loss on</w:t>
            </w: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00" w:type="dxa"/>
            <w:vAlign w:val="bottom"/>
            <w:shd w:val="clear" w:color="auto" w:fill="CCEEFF"/>
          </w:tcPr>
          <w:p>
            <w:pPr>
              <w:ind w:left="100"/>
              <w:spacing w:after="0" w:line="132" w:lineRule="exact"/>
              <w:rPr>
                <w:sz w:val="20"/>
                <w:szCs w:val="20"/>
                <w:color w:val="auto"/>
              </w:rPr>
            </w:pPr>
            <w:r>
              <w:rPr>
                <w:rFonts w:ascii="Arial" w:cs="Arial" w:eastAsia="Arial" w:hAnsi="Arial"/>
                <w:sz w:val="12"/>
                <w:szCs w:val="12"/>
                <w:color w:val="auto"/>
              </w:rPr>
              <w:t>available-for-sale</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00" w:type="dxa"/>
            <w:vAlign w:val="bottom"/>
            <w:shd w:val="clear" w:color="auto" w:fill="CCEEFF"/>
          </w:tcPr>
          <w:p>
            <w:pPr>
              <w:ind w:left="100"/>
              <w:spacing w:after="0" w:line="137" w:lineRule="exact"/>
              <w:rPr>
                <w:sz w:val="20"/>
                <w:szCs w:val="20"/>
                <w:color w:val="auto"/>
              </w:rPr>
            </w:pPr>
            <w:r>
              <w:rPr>
                <w:rFonts w:ascii="Arial" w:cs="Arial" w:eastAsia="Arial" w:hAnsi="Arial"/>
                <w:sz w:val="12"/>
                <w:szCs w:val="12"/>
                <w:color w:val="auto"/>
              </w:rPr>
              <w:t>securities</w:t>
            </w:r>
          </w:p>
        </w:tc>
        <w:tc>
          <w:tcPr>
            <w:tcW w:w="6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(86,863)</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(86,8</w:t>
            </w:r>
          </w:p>
        </w:tc>
        <w:tc>
          <w:tcPr>
            <w:tcW w:w="0" w:type="dxa"/>
            <w:vAlign w:val="bottom"/>
          </w:tcPr>
          <w:p>
            <w:pPr>
              <w:spacing w:after="0"/>
              <w:rPr>
                <w:sz w:val="1"/>
                <w:szCs w:val="1"/>
                <w:color w:val="auto"/>
              </w:rPr>
            </w:pPr>
          </w:p>
        </w:tc>
      </w:tr>
      <w:tr>
        <w:trPr>
          <w:trHeight w:val="131"/>
        </w:trPr>
        <w:tc>
          <w:tcPr>
            <w:tcW w:w="1120" w:type="dxa"/>
            <w:vAlign w:val="bottom"/>
            <w:gridSpan w:val="2"/>
          </w:tcPr>
          <w:p>
            <w:pPr>
              <w:spacing w:after="0" w:line="132" w:lineRule="exact"/>
              <w:rPr>
                <w:sz w:val="20"/>
                <w:szCs w:val="20"/>
                <w:color w:val="auto"/>
              </w:rPr>
            </w:pPr>
            <w:r>
              <w:rPr>
                <w:rFonts w:ascii="Arial" w:cs="Arial" w:eastAsia="Arial" w:hAnsi="Arial"/>
                <w:sz w:val="12"/>
                <w:szCs w:val="12"/>
                <w:color w:val="auto"/>
              </w:rPr>
              <w:t>Balance at</w:t>
            </w: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00" w:type="dxa"/>
            <w:vAlign w:val="bottom"/>
          </w:tcPr>
          <w:p>
            <w:pPr>
              <w:ind w:left="100"/>
              <w:spacing w:after="0" w:line="137" w:lineRule="exact"/>
              <w:rPr>
                <w:sz w:val="20"/>
                <w:szCs w:val="20"/>
                <w:color w:val="auto"/>
              </w:rPr>
            </w:pPr>
            <w:r>
              <w:rPr>
                <w:rFonts w:ascii="Arial" w:cs="Arial" w:eastAsia="Arial" w:hAnsi="Arial"/>
                <w:sz w:val="12"/>
                <w:szCs w:val="12"/>
                <w:color w:val="auto"/>
              </w:rPr>
              <w:t>June 30, 2018</w:t>
            </w:r>
          </w:p>
        </w:tc>
        <w:tc>
          <w:tcPr>
            <w:tcW w:w="640" w:type="dxa"/>
            <w:vAlign w:val="bottom"/>
          </w:tcPr>
          <w:p>
            <w:pPr>
              <w:jc w:val="right"/>
              <w:spacing w:after="0" w:line="137" w:lineRule="exact"/>
              <w:rPr>
                <w:sz w:val="20"/>
                <w:szCs w:val="20"/>
                <w:color w:val="auto"/>
              </w:rPr>
            </w:pPr>
            <w:r>
              <w:rPr>
                <w:rFonts w:ascii="Arial" w:cs="Arial" w:eastAsia="Arial" w:hAnsi="Arial"/>
                <w:sz w:val="12"/>
                <w:szCs w:val="12"/>
                <w:color w:val="auto"/>
              </w:rPr>
              <w:t>22,463,665</w:t>
            </w:r>
          </w:p>
        </w:tc>
        <w:tc>
          <w:tcPr>
            <w:tcW w:w="780" w:type="dxa"/>
            <w:vAlign w:val="bottom"/>
            <w:gridSpan w:val="2"/>
          </w:tcPr>
          <w:p>
            <w:pPr>
              <w:jc w:val="right"/>
              <w:spacing w:after="0" w:line="137" w:lineRule="exact"/>
              <w:rPr>
                <w:sz w:val="20"/>
                <w:szCs w:val="20"/>
                <w:color w:val="auto"/>
              </w:rPr>
            </w:pPr>
            <w:r>
              <w:rPr>
                <w:rFonts w:ascii="Arial" w:cs="Arial" w:eastAsia="Arial" w:hAnsi="Arial"/>
                <w:sz w:val="12"/>
                <w:szCs w:val="12"/>
                <w:u w:val="single" w:color="auto"/>
                <w:color w:val="auto"/>
              </w:rPr>
              <w:t>$</w:t>
            </w:r>
            <w:r>
              <w:rPr>
                <w:rFonts w:ascii="Arial" w:cs="Arial" w:eastAsia="Arial" w:hAnsi="Arial"/>
                <w:sz w:val="12"/>
                <w:szCs w:val="12"/>
                <w:color w:val="auto"/>
              </w:rPr>
              <w:t xml:space="preserve"> 65,818,538</w:t>
            </w:r>
          </w:p>
        </w:tc>
        <w:tc>
          <w:tcPr>
            <w:tcW w:w="74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24,977,489</w:t>
            </w:r>
          </w:p>
        </w:tc>
        <w:tc>
          <w:tcPr>
            <w:tcW w:w="760" w:type="dxa"/>
            <w:vAlign w:val="bottom"/>
            <w:gridSpan w:val="2"/>
          </w:tcPr>
          <w:p>
            <w:pPr>
              <w:jc w:val="right"/>
              <w:spacing w:after="0" w:line="137" w:lineRule="exact"/>
              <w:rPr>
                <w:sz w:val="20"/>
                <w:szCs w:val="20"/>
                <w:color w:val="auto"/>
              </w:rPr>
            </w:pPr>
            <w:r>
              <w:rPr>
                <w:rFonts w:ascii="Arial" w:cs="Arial" w:eastAsia="Arial" w:hAnsi="Arial"/>
                <w:sz w:val="12"/>
                <w:szCs w:val="12"/>
                <w:u w:val="single" w:color="auto"/>
                <w:color w:val="auto"/>
              </w:rPr>
              <w:t>$</w:t>
            </w:r>
            <w:r>
              <w:rPr>
                <w:rFonts w:ascii="Arial" w:cs="Arial" w:eastAsia="Arial" w:hAnsi="Arial"/>
                <w:sz w:val="12"/>
                <w:szCs w:val="12"/>
                <w:color w:val="auto"/>
              </w:rPr>
              <w:t xml:space="preserve"> 79,178,640</w:t>
            </w:r>
          </w:p>
        </w:tc>
        <w:tc>
          <w:tcPr>
            <w:tcW w:w="74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16,467,066</w:t>
            </w:r>
          </w:p>
        </w:tc>
        <w:tc>
          <w:tcPr>
            <w:tcW w:w="160" w:type="dxa"/>
            <w:vAlign w:val="bottom"/>
            <w:gridSpan w:val="2"/>
          </w:tcPr>
          <w:p>
            <w:pPr>
              <w:jc w:val="right"/>
              <w:ind w:right="20"/>
              <w:spacing w:after="0" w:line="137" w:lineRule="exact"/>
              <w:rPr>
                <w:sz w:val="20"/>
                <w:szCs w:val="20"/>
                <w:color w:val="auto"/>
              </w:rPr>
            </w:pPr>
            <w:r>
              <w:rPr>
                <w:rFonts w:ascii="Arial" w:cs="Arial" w:eastAsia="Arial" w:hAnsi="Arial"/>
                <w:sz w:val="12"/>
                <w:szCs w:val="12"/>
                <w:u w:val="single" w:color="auto"/>
                <w:color w:val="auto"/>
              </w:rPr>
              <w:t>$</w:t>
            </w:r>
          </w:p>
        </w:tc>
        <w:tc>
          <w:tcPr>
            <w:tcW w:w="680" w:type="dxa"/>
            <w:vAlign w:val="bottom"/>
            <w:tcBorders>
              <w:right w:val="single" w:sz="8" w:color="auto"/>
            </w:tcBorders>
          </w:tcPr>
          <w:p>
            <w:pPr>
              <w:jc w:val="right"/>
              <w:spacing w:after="0" w:line="137" w:lineRule="exact"/>
              <w:rPr>
                <w:sz w:val="20"/>
                <w:szCs w:val="20"/>
                <w:color w:val="auto"/>
              </w:rPr>
            </w:pPr>
            <w:r>
              <w:rPr>
                <w:rFonts w:ascii="Arial" w:cs="Arial" w:eastAsia="Arial" w:hAnsi="Arial"/>
                <w:sz w:val="12"/>
                <w:szCs w:val="12"/>
                <w:color w:val="auto"/>
                <w:w w:val="99"/>
              </w:rPr>
              <w:t>57,799,402</w:t>
            </w:r>
          </w:p>
        </w:tc>
        <w:tc>
          <w:tcPr>
            <w:tcW w:w="62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1,897,544</w:t>
            </w:r>
          </w:p>
        </w:tc>
        <w:tc>
          <w:tcPr>
            <w:tcW w:w="220" w:type="dxa"/>
            <w:vAlign w:val="bottom"/>
            <w:gridSpan w:val="2"/>
          </w:tcPr>
          <w:p>
            <w:pPr>
              <w:ind w:left="80"/>
              <w:spacing w:after="0" w:line="137" w:lineRule="exact"/>
              <w:rPr>
                <w:sz w:val="20"/>
                <w:szCs w:val="20"/>
                <w:color w:val="auto"/>
              </w:rPr>
            </w:pPr>
            <w:r>
              <w:rPr>
                <w:rFonts w:ascii="Arial" w:cs="Arial" w:eastAsia="Arial" w:hAnsi="Arial"/>
                <w:sz w:val="12"/>
                <w:szCs w:val="12"/>
                <w:color w:val="auto"/>
              </w:rPr>
              <w:t>$</w:t>
            </w:r>
          </w:p>
        </w:tc>
        <w:tc>
          <w:tcPr>
            <w:tcW w:w="400" w:type="dxa"/>
            <w:vAlign w:val="bottom"/>
          </w:tcPr>
          <w:p>
            <w:pPr>
              <w:jc w:val="right"/>
              <w:spacing w:after="0" w:line="137" w:lineRule="exact"/>
              <w:rPr>
                <w:sz w:val="20"/>
                <w:szCs w:val="20"/>
                <w:color w:val="auto"/>
              </w:rPr>
            </w:pPr>
            <w:r>
              <w:rPr>
                <w:rFonts w:ascii="Arial" w:cs="Arial" w:eastAsia="Arial" w:hAnsi="Arial"/>
                <w:sz w:val="12"/>
                <w:szCs w:val="12"/>
                <w:color w:val="auto"/>
              </w:rPr>
              <w:t>6,167</w:t>
            </w:r>
          </w:p>
        </w:tc>
        <w:tc>
          <w:tcPr>
            <w:tcW w:w="66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5,339,073</w:t>
            </w:r>
          </w:p>
        </w:tc>
        <w:tc>
          <w:tcPr>
            <w:tcW w:w="16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7" w:lineRule="exact"/>
              <w:rPr>
                <w:sz w:val="20"/>
                <w:szCs w:val="20"/>
                <w:color w:val="auto"/>
              </w:rPr>
            </w:pPr>
            <w:r>
              <w:rPr>
                <w:rFonts w:ascii="Arial" w:cs="Arial" w:eastAsia="Arial" w:hAnsi="Arial"/>
                <w:sz w:val="12"/>
                <w:szCs w:val="12"/>
                <w:color w:val="auto"/>
                <w:w w:val="97"/>
              </w:rPr>
              <w:t>2,313,022</w:t>
            </w:r>
          </w:p>
        </w:tc>
        <w:tc>
          <w:tcPr>
            <w:tcW w:w="180" w:type="dxa"/>
            <w:vAlign w:val="bottom"/>
            <w:gridSpan w:val="2"/>
          </w:tcPr>
          <w:p>
            <w:pPr>
              <w:ind w:left="60"/>
              <w:spacing w:after="0" w:line="137" w:lineRule="exact"/>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(160,738,472)</w:t>
            </w:r>
          </w:p>
        </w:tc>
        <w:tc>
          <w:tcPr>
            <w:tcW w:w="120" w:type="dxa"/>
            <w:vAlign w:val="bottom"/>
            <w:gridSpan w:val="2"/>
          </w:tcPr>
          <w:p>
            <w:pPr>
              <w:ind w:left="40"/>
              <w:spacing w:after="0" w:line="137" w:lineRule="exact"/>
              <w:rPr>
                <w:sz w:val="20"/>
                <w:szCs w:val="20"/>
                <w:color w:val="auto"/>
              </w:rPr>
            </w:pPr>
            <w:r>
              <w:rPr>
                <w:rFonts w:ascii="Arial" w:cs="Arial" w:eastAsia="Arial" w:hAnsi="Arial"/>
                <w:sz w:val="12"/>
                <w:szCs w:val="12"/>
                <w:color w:val="auto"/>
                <w:w w:val="89"/>
              </w:rPr>
              <w:t>$</w:t>
            </w:r>
          </w:p>
        </w:tc>
        <w:tc>
          <w:tcPr>
            <w:tcW w:w="104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(96,614)</w:t>
            </w:r>
          </w:p>
        </w:tc>
        <w:tc>
          <w:tcPr>
            <w:tcW w:w="120" w:type="dxa"/>
            <w:vAlign w:val="bottom"/>
            <w:gridSpan w:val="2"/>
          </w:tcPr>
          <w:p>
            <w:pPr>
              <w:jc w:val="right"/>
              <w:spacing w:after="0" w:line="137" w:lineRule="exact"/>
              <w:rPr>
                <w:sz w:val="20"/>
                <w:szCs w:val="20"/>
                <w:color w:val="auto"/>
              </w:rPr>
            </w:pPr>
            <w:r>
              <w:rPr>
                <w:rFonts w:ascii="Arial" w:cs="Arial" w:eastAsia="Arial" w:hAnsi="Arial"/>
                <w:sz w:val="12"/>
                <w:szCs w:val="12"/>
                <w:u w:val="single" w:color="auto"/>
                <w:color w:val="auto"/>
              </w:rPr>
              <w:t>$</w:t>
            </w:r>
          </w:p>
        </w:tc>
        <w:tc>
          <w:tcPr>
            <w:tcW w:w="620" w:type="dxa"/>
            <w:vAlign w:val="bottom"/>
          </w:tcPr>
          <w:p>
            <w:pPr>
              <w:jc w:val="right"/>
              <w:spacing w:after="0" w:line="137" w:lineRule="exact"/>
              <w:rPr>
                <w:sz w:val="20"/>
                <w:szCs w:val="20"/>
                <w:color w:val="auto"/>
              </w:rPr>
            </w:pPr>
            <w:r>
              <w:rPr>
                <w:rFonts w:ascii="Arial" w:cs="Arial" w:eastAsia="Arial" w:hAnsi="Arial"/>
                <w:sz w:val="12"/>
                <w:szCs w:val="12"/>
                <w:color w:val="auto"/>
              </w:rPr>
              <w:t>(158,515,8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See accompanying notes</w:t>
      </w:r>
    </w:p>
    <w:p>
      <w:pPr>
        <w:spacing w:after="0" w:line="16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F-28</w:t>
      </w:r>
    </w:p>
    <w:p>
      <w:pPr>
        <w:sectPr>
          <w:pgSz w:w="11900" w:h="16838" w:orient="portrait"/>
          <w:cols w:equalWidth="0" w:num="1">
            <w:col w:w="11520"/>
          </w:cols>
          <w:pgMar w:left="240" w:top="449" w:right="139" w:bottom="1440" w:gutter="0" w:footer="0" w:header="0"/>
        </w:sectPr>
      </w:pPr>
    </w:p>
    <w:bookmarkStart w:id="229" w:name="page230"/>
    <w:bookmarkEnd w:id="2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ind w:left="3360"/>
        <w:spacing w:after="0"/>
        <w:rPr>
          <w:sz w:val="20"/>
          <w:szCs w:val="20"/>
          <w:color w:val="auto"/>
        </w:rPr>
      </w:pPr>
      <w:r>
        <w:rPr>
          <w:rFonts w:ascii="Arial" w:cs="Arial" w:eastAsia="Arial" w:hAnsi="Arial"/>
          <w:sz w:val="17"/>
          <w:szCs w:val="17"/>
          <w:b w:val="1"/>
          <w:bCs w:val="1"/>
          <w:color w:val="auto"/>
        </w:rPr>
        <w:t>ARVINAS HOLDING COMPANY, LLC AND SUBSIDIARIES</w:t>
      </w:r>
    </w:p>
    <w:p>
      <w:pPr>
        <w:spacing w:after="0" w:line="316" w:lineRule="exact"/>
        <w:rPr>
          <w:sz w:val="20"/>
          <w:szCs w:val="20"/>
          <w:color w:val="auto"/>
        </w:rPr>
      </w:pPr>
    </w:p>
    <w:p>
      <w:pPr>
        <w:ind w:left="3040"/>
        <w:spacing w:after="0"/>
        <w:rPr>
          <w:sz w:val="20"/>
          <w:szCs w:val="20"/>
          <w:color w:val="auto"/>
        </w:rPr>
      </w:pPr>
      <w:r>
        <w:rPr>
          <w:rFonts w:ascii="Arial" w:cs="Arial" w:eastAsia="Arial" w:hAnsi="Arial"/>
          <w:sz w:val="17"/>
          <w:szCs w:val="17"/>
          <w:b w:val="1"/>
          <w:bCs w:val="1"/>
          <w:color w:val="auto"/>
        </w:rPr>
        <w:t>Condensed Consolidated Statements of Cash Flows (unaudited)</w:t>
      </w:r>
    </w:p>
    <w:p>
      <w:pPr>
        <w:spacing w:after="0" w:line="245"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00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34"/>
              <w:spacing w:after="0" w:line="151"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93"/>
              <w:spacing w:after="0" w:line="151"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000" w:type="dxa"/>
            <w:vAlign w:val="bottom"/>
            <w:shd w:val="clear" w:color="auto" w:fill="CCEEFF"/>
          </w:tcPr>
          <w:p>
            <w:pPr>
              <w:spacing w:after="0" w:line="176" w:lineRule="exact"/>
              <w:rPr>
                <w:sz w:val="20"/>
                <w:szCs w:val="20"/>
                <w:color w:val="auto"/>
              </w:rPr>
            </w:pPr>
            <w:r>
              <w:rPr>
                <w:rFonts w:ascii="Arial" w:cs="Arial" w:eastAsia="Arial" w:hAnsi="Arial"/>
                <w:sz w:val="17"/>
                <w:szCs w:val="17"/>
                <w:b w:val="1"/>
                <w:bCs w:val="1"/>
                <w:color w:val="auto"/>
              </w:rPr>
              <w:t>Cash flows from operating activities:</w:t>
            </w: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00" w:type="dxa"/>
            <w:vAlign w:val="bottom"/>
          </w:tcPr>
          <w:p>
            <w:pPr>
              <w:ind w:left="340"/>
              <w:spacing w:after="0"/>
              <w:rPr>
                <w:sz w:val="20"/>
                <w:szCs w:val="20"/>
                <w:color w:val="auto"/>
              </w:rPr>
            </w:pPr>
            <w:r>
              <w:rPr>
                <w:rFonts w:ascii="Arial" w:cs="Arial" w:eastAsia="Arial" w:hAnsi="Arial"/>
                <w:sz w:val="17"/>
                <w:szCs w:val="17"/>
                <w:color w:val="auto"/>
              </w:rPr>
              <w:t>Net loss</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560" w:type="dxa"/>
            <w:vAlign w:val="bottom"/>
            <w:gridSpan w:val="2"/>
          </w:tcPr>
          <w:p>
            <w:pPr>
              <w:jc w:val="right"/>
              <w:ind w:right="460"/>
              <w:spacing w:after="0"/>
              <w:rPr>
                <w:sz w:val="20"/>
                <w:szCs w:val="20"/>
                <w:color w:val="auto"/>
              </w:rPr>
            </w:pPr>
            <w:r>
              <w:rPr>
                <w:rFonts w:ascii="Arial" w:cs="Arial" w:eastAsia="Arial" w:hAnsi="Arial"/>
                <w:sz w:val="17"/>
                <w:szCs w:val="17"/>
                <w:color w:val="auto"/>
              </w:rPr>
              <w:t>(12,004,928)</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(12,923,908)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Adjustments to reconcile net loss to net cash provided by</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(used in) operating activities:</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00" w:type="dxa"/>
            <w:vAlign w:val="bottom"/>
          </w:tcPr>
          <w:p>
            <w:pPr>
              <w:ind w:left="680"/>
              <w:spacing w:after="0"/>
              <w:rPr>
                <w:sz w:val="20"/>
                <w:szCs w:val="20"/>
                <w:color w:val="auto"/>
              </w:rPr>
            </w:pPr>
            <w:r>
              <w:rPr>
                <w:rFonts w:ascii="Arial" w:cs="Arial" w:eastAsia="Arial" w:hAnsi="Arial"/>
                <w:sz w:val="17"/>
                <w:szCs w:val="17"/>
                <w:color w:val="auto"/>
              </w:rPr>
              <w:t>Amortization of debt discount</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4,491</w:t>
            </w: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8,982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Change in fair value of preferred unit warrant</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193,779</w:t>
            </w: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(2,792)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00" w:type="dxa"/>
            <w:vAlign w:val="bottom"/>
          </w:tcPr>
          <w:p>
            <w:pPr>
              <w:ind w:left="680"/>
              <w:spacing w:after="0"/>
              <w:rPr>
                <w:sz w:val="20"/>
                <w:szCs w:val="20"/>
                <w:color w:val="auto"/>
              </w:rPr>
            </w:pPr>
            <w:r>
              <w:rPr>
                <w:rFonts w:ascii="Arial" w:cs="Arial" w:eastAsia="Arial" w:hAnsi="Arial"/>
                <w:sz w:val="17"/>
                <w:szCs w:val="17"/>
                <w:color w:val="auto"/>
              </w:rPr>
              <w:t>Depreciation and amortization</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291,504</w:t>
            </w: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162,555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Net accretion of bond discounts/premiums</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117,583</w:t>
            </w: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245,748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00" w:type="dxa"/>
            <w:vAlign w:val="bottom"/>
          </w:tcPr>
          <w:p>
            <w:pPr>
              <w:ind w:left="680"/>
              <w:spacing w:after="0"/>
              <w:rPr>
                <w:sz w:val="20"/>
                <w:szCs w:val="20"/>
                <w:color w:val="auto"/>
              </w:rPr>
            </w:pPr>
            <w:r>
              <w:rPr>
                <w:rFonts w:ascii="Arial" w:cs="Arial" w:eastAsia="Arial" w:hAnsi="Arial"/>
                <w:sz w:val="17"/>
                <w:szCs w:val="17"/>
                <w:color w:val="auto"/>
              </w:rPr>
              <w:t>Non-cash unit-based compensation</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1,126,603</w:t>
            </w: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83,241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Changes in operating assets and liabilities:</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00" w:type="dxa"/>
            <w:vAlign w:val="bottom"/>
          </w:tcPr>
          <w:p>
            <w:pPr>
              <w:ind w:left="680"/>
              <w:spacing w:after="0"/>
              <w:rPr>
                <w:sz w:val="20"/>
                <w:szCs w:val="20"/>
                <w:color w:val="auto"/>
              </w:rPr>
            </w:pPr>
            <w:r>
              <w:rPr>
                <w:rFonts w:ascii="Arial" w:cs="Arial" w:eastAsia="Arial" w:hAnsi="Arial"/>
                <w:sz w:val="17"/>
                <w:szCs w:val="17"/>
                <w:color w:val="auto"/>
              </w:rPr>
              <w:t>Account receivable</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25,000,000</w:t>
            </w: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Other receivable</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(921,973)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709,861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00" w:type="dxa"/>
            <w:vAlign w:val="bottom"/>
          </w:tcPr>
          <w:p>
            <w:pPr>
              <w:ind w:left="680"/>
              <w:spacing w:after="0"/>
              <w:rPr>
                <w:sz w:val="20"/>
                <w:szCs w:val="20"/>
                <w:color w:val="auto"/>
              </w:rPr>
            </w:pPr>
            <w:r>
              <w:rPr>
                <w:rFonts w:ascii="Arial" w:cs="Arial" w:eastAsia="Arial" w:hAnsi="Arial"/>
                <w:sz w:val="17"/>
                <w:szCs w:val="17"/>
                <w:color w:val="auto"/>
              </w:rPr>
              <w:t>Prepaid expenses and other current assets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7"/>
                <w:szCs w:val="17"/>
                <w:color w:val="auto"/>
              </w:rPr>
              <w:t>(1,674,044)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77,738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Accounts payable</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1,060,051</w:t>
            </w: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(178,446)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00" w:type="dxa"/>
            <w:vAlign w:val="bottom"/>
          </w:tcPr>
          <w:p>
            <w:pPr>
              <w:ind w:left="680"/>
              <w:spacing w:after="0"/>
              <w:rPr>
                <w:sz w:val="20"/>
                <w:szCs w:val="20"/>
                <w:color w:val="auto"/>
              </w:rPr>
            </w:pPr>
            <w:r>
              <w:rPr>
                <w:rFonts w:ascii="Arial" w:cs="Arial" w:eastAsia="Arial" w:hAnsi="Arial"/>
                <w:sz w:val="17"/>
                <w:szCs w:val="17"/>
                <w:color w:val="auto"/>
              </w:rPr>
              <w:t>Accrued expenses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7"/>
                <w:szCs w:val="17"/>
                <w:color w:val="auto"/>
              </w:rPr>
              <w:t>(1,561,132)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(448,760)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Deferred revenue</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(4,508,491)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(3,337,721)</w:t>
            </w:r>
          </w:p>
        </w:tc>
        <w:tc>
          <w:tcPr>
            <w:tcW w:w="0" w:type="dxa"/>
            <w:vAlign w:val="bottom"/>
          </w:tcPr>
          <w:p>
            <w:pPr>
              <w:spacing w:after="0"/>
              <w:rPr>
                <w:sz w:val="1"/>
                <w:szCs w:val="1"/>
                <w:color w:val="auto"/>
              </w:rPr>
            </w:pPr>
          </w:p>
        </w:tc>
      </w:tr>
      <w:tr>
        <w:trPr>
          <w:trHeight w:val="20"/>
        </w:trPr>
        <w:tc>
          <w:tcPr>
            <w:tcW w:w="70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20" w:type="dxa"/>
            <w:vAlign w:val="bottom"/>
            <w:gridSpan w:val="2"/>
          </w:tcPr>
          <w:p>
            <w:pPr>
              <w:spacing w:after="0"/>
              <w:rPr>
                <w:sz w:val="20"/>
                <w:szCs w:val="20"/>
                <w:color w:val="auto"/>
              </w:rPr>
            </w:pPr>
            <w:r>
              <w:rPr>
                <w:rFonts w:ascii="Arial" w:cs="Arial" w:eastAsia="Arial" w:hAnsi="Arial"/>
                <w:sz w:val="17"/>
                <w:szCs w:val="17"/>
                <w:color w:val="auto"/>
              </w:rPr>
              <w:t>Net cash provided by (used in) operating activities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7,123,443</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(15,603,502)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8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00" w:type="dxa"/>
            <w:vAlign w:val="bottom"/>
          </w:tcPr>
          <w:p>
            <w:pPr>
              <w:ind w:left="340"/>
              <w:spacing w:after="0"/>
              <w:rPr>
                <w:sz w:val="20"/>
                <w:szCs w:val="20"/>
                <w:color w:val="auto"/>
              </w:rPr>
            </w:pPr>
            <w:r>
              <w:rPr>
                <w:rFonts w:ascii="Arial" w:cs="Arial" w:eastAsia="Arial" w:hAnsi="Arial"/>
                <w:sz w:val="17"/>
                <w:szCs w:val="17"/>
                <w:color w:val="auto"/>
              </w:rPr>
              <w:t>Purchase of marketable securities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7"/>
                <w:szCs w:val="17"/>
                <w:color w:val="auto"/>
              </w:rPr>
              <w:t>(106,321,225)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Maturities of marketable securities</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17,989,000</w:t>
            </w: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7,130,000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00" w:type="dxa"/>
            <w:vAlign w:val="bottom"/>
          </w:tcPr>
          <w:p>
            <w:pPr>
              <w:ind w:left="340"/>
              <w:spacing w:after="0"/>
              <w:rPr>
                <w:sz w:val="20"/>
                <w:szCs w:val="20"/>
                <w:color w:val="auto"/>
              </w:rPr>
            </w:pPr>
            <w:r>
              <w:rPr>
                <w:rFonts w:ascii="Arial" w:cs="Arial" w:eastAsia="Arial" w:hAnsi="Arial"/>
                <w:sz w:val="17"/>
                <w:szCs w:val="17"/>
                <w:color w:val="auto"/>
              </w:rPr>
              <w:t>Sales of marketable securities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right"/>
              <w:ind w:right="5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7,057,855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Purchase of property, equipment and leasehold improvements</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(1,270,222)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(582,598)</w:t>
            </w:r>
          </w:p>
        </w:tc>
        <w:tc>
          <w:tcPr>
            <w:tcW w:w="0" w:type="dxa"/>
            <w:vAlign w:val="bottom"/>
          </w:tcPr>
          <w:p>
            <w:pPr>
              <w:spacing w:after="0"/>
              <w:rPr>
                <w:sz w:val="1"/>
                <w:szCs w:val="1"/>
                <w:color w:val="auto"/>
              </w:rPr>
            </w:pPr>
          </w:p>
        </w:tc>
      </w:tr>
      <w:tr>
        <w:trPr>
          <w:trHeight w:val="20"/>
        </w:trPr>
        <w:tc>
          <w:tcPr>
            <w:tcW w:w="70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20" w:type="dxa"/>
            <w:vAlign w:val="bottom"/>
            <w:gridSpan w:val="2"/>
          </w:tcPr>
          <w:p>
            <w:pPr>
              <w:spacing w:after="0"/>
              <w:rPr>
                <w:sz w:val="20"/>
                <w:szCs w:val="20"/>
                <w:color w:val="auto"/>
              </w:rPr>
            </w:pPr>
            <w:r>
              <w:rPr>
                <w:rFonts w:ascii="Arial" w:cs="Arial" w:eastAsia="Arial" w:hAnsi="Arial"/>
                <w:sz w:val="17"/>
                <w:szCs w:val="17"/>
                <w:color w:val="auto"/>
              </w:rPr>
              <w:t>Net cash provided by (used in) investing activities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7"/>
                <w:szCs w:val="17"/>
                <w:color w:val="auto"/>
              </w:rPr>
              <w:t>(89,602,447)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13,605,257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8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00" w:type="dxa"/>
            <w:vAlign w:val="bottom"/>
          </w:tcPr>
          <w:p>
            <w:pPr>
              <w:ind w:left="340"/>
              <w:spacing w:after="0"/>
              <w:rPr>
                <w:sz w:val="20"/>
                <w:szCs w:val="20"/>
                <w:color w:val="auto"/>
              </w:rPr>
            </w:pPr>
            <w:r>
              <w:rPr>
                <w:rFonts w:ascii="Arial" w:cs="Arial" w:eastAsia="Arial" w:hAnsi="Arial"/>
                <w:sz w:val="17"/>
                <w:szCs w:val="17"/>
                <w:color w:val="auto"/>
              </w:rPr>
              <w:t>Repayments of long term debt</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7"/>
                <w:szCs w:val="17"/>
                <w:color w:val="auto"/>
              </w:rPr>
              <w:t>(80,829)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(79,175)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Proceeds from issuance of Series C redeemable convertible preferred units</w:t>
            </w:r>
          </w:p>
        </w:tc>
        <w:tc>
          <w:tcPr>
            <w:tcW w:w="8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55,000,001</w:t>
            </w: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20" w:type="dxa"/>
            <w:vAlign w:val="bottom"/>
            <w:gridSpan w:val="2"/>
          </w:tcPr>
          <w:p>
            <w:pPr>
              <w:spacing w:after="0"/>
              <w:rPr>
                <w:sz w:val="20"/>
                <w:szCs w:val="20"/>
                <w:color w:val="auto"/>
              </w:rPr>
            </w:pPr>
            <w:r>
              <w:rPr>
                <w:rFonts w:ascii="Arial" w:cs="Arial" w:eastAsia="Arial" w:hAnsi="Arial"/>
                <w:sz w:val="17"/>
                <w:szCs w:val="17"/>
                <w:color w:val="auto"/>
              </w:rPr>
              <w:t>Net cash provided by (used in) financing activities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54,919,172</w:t>
            </w: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(79,175)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rPr>
              <w:t>Net increase (decrease) in cash and cash equivalents</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(27,559,832)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(2,077,420)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spacing w:after="0"/>
              <w:rPr>
                <w:sz w:val="20"/>
                <w:szCs w:val="20"/>
                <w:color w:val="auto"/>
              </w:rPr>
            </w:pPr>
            <w:r>
              <w:rPr>
                <w:rFonts w:ascii="Arial" w:cs="Arial" w:eastAsia="Arial" w:hAnsi="Arial"/>
                <w:sz w:val="17"/>
                <w:szCs w:val="17"/>
                <w:color w:val="auto"/>
              </w:rPr>
              <w:t>Cash and cash equivalents, beginning of the period</w:t>
            </w:r>
          </w:p>
        </w:tc>
        <w:tc>
          <w:tcPr>
            <w:tcW w:w="8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30,912,391</w:t>
            </w: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5,088,548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end of the period</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3,352,559</w:t>
            </w:r>
          </w:p>
        </w:tc>
        <w:tc>
          <w:tcPr>
            <w:tcW w:w="52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3,011,128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020" w:type="dxa"/>
            <w:vAlign w:val="bottom"/>
            <w:gridSpan w:val="2"/>
            <w:vMerge w:val="continue"/>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Cash paid for interest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11,558</w:t>
            </w:r>
          </w:p>
        </w:tc>
        <w:tc>
          <w:tcPr>
            <w:tcW w:w="52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Arial" w:cs="Arial" w:eastAsia="Arial" w:hAnsi="Arial"/>
                <w:sz w:val="17"/>
                <w:szCs w:val="17"/>
                <w:color w:val="auto"/>
              </w:rPr>
              <w:t>Change in redemption value of preferred units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7"/>
                <w:szCs w:val="17"/>
                <w:color w:val="auto"/>
              </w:rPr>
              <w:t>(86,316,147)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See accompanying notes</w:t>
      </w:r>
    </w:p>
    <w:p>
      <w:pPr>
        <w:spacing w:after="0" w:line="16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F-29</w:t>
      </w:r>
    </w:p>
    <w:p>
      <w:pPr>
        <w:sectPr>
          <w:pgSz w:w="11900" w:h="16838" w:orient="portrait"/>
          <w:cols w:equalWidth="0" w:num="1">
            <w:col w:w="11060"/>
          </w:cols>
          <w:pgMar w:left="240" w:top="450" w:right="599" w:bottom="1440" w:gutter="0" w:footer="0" w:header="0"/>
        </w:sectPr>
      </w:pPr>
    </w:p>
    <w:bookmarkStart w:id="230" w:name="page231"/>
    <w:bookmarkEnd w:id="2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ind w:left="3360"/>
        <w:spacing w:after="0"/>
        <w:rPr>
          <w:sz w:val="20"/>
          <w:szCs w:val="20"/>
          <w:color w:val="auto"/>
        </w:rPr>
      </w:pPr>
      <w:r>
        <w:rPr>
          <w:rFonts w:ascii="Arial" w:cs="Arial" w:eastAsia="Arial" w:hAnsi="Arial"/>
          <w:sz w:val="17"/>
          <w:szCs w:val="17"/>
          <w:b w:val="1"/>
          <w:bCs w:val="1"/>
          <w:color w:val="auto"/>
        </w:rPr>
        <w:t>ARVINAS HOLDING COMPANY, LLC AND SUBSIDIARIES</w:t>
      </w:r>
    </w:p>
    <w:p>
      <w:pPr>
        <w:spacing w:after="0" w:line="316" w:lineRule="exact"/>
        <w:rPr>
          <w:sz w:val="20"/>
          <w:szCs w:val="20"/>
          <w:color w:val="auto"/>
        </w:rPr>
      </w:pPr>
    </w:p>
    <w:p>
      <w:pPr>
        <w:ind w:left="2880"/>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1. Nature of Business</w:t>
      </w:r>
    </w:p>
    <w:p>
      <w:pPr>
        <w:spacing w:after="0" w:line="126" w:lineRule="exact"/>
        <w:rPr>
          <w:sz w:val="20"/>
          <w:szCs w:val="20"/>
          <w:color w:val="auto"/>
        </w:rPr>
      </w:pPr>
    </w:p>
    <w:p>
      <w:pPr>
        <w:ind w:left="360" w:firstLine="535"/>
        <w:spacing w:after="0" w:line="247" w:lineRule="auto"/>
        <w:rPr>
          <w:sz w:val="20"/>
          <w:szCs w:val="20"/>
          <w:color w:val="auto"/>
        </w:rPr>
      </w:pPr>
      <w:r>
        <w:rPr>
          <w:rFonts w:ascii="Arial" w:cs="Arial" w:eastAsia="Arial" w:hAnsi="Arial"/>
          <w:sz w:val="17"/>
          <w:szCs w:val="17"/>
          <w:color w:val="auto"/>
        </w:rPr>
        <w:t>Arvinas Holding Company, LLC (Arvinas LLC) has five wholly owned subsidiaries, Arvinas, Inc., Arvinas Androgen Receptor, Inc., Arvinas Estrogen Receptor, Inc., Arvinas BRD4, Inc. and Arvinas Winchester, Inc. (collectively, the Company). The Company is a biopharmaceutical company dedicated to improving the lives of patients suffering from debilitating and life-threatening diseases throughout the discovery, development and commercialization of therapies to degrade disease-causing proteins.</w:t>
      </w:r>
    </w:p>
    <w:p>
      <w:pPr>
        <w:spacing w:after="0" w:line="276" w:lineRule="exact"/>
        <w:rPr>
          <w:sz w:val="20"/>
          <w:szCs w:val="20"/>
          <w:color w:val="auto"/>
        </w:rPr>
      </w:pPr>
    </w:p>
    <w:p>
      <w:pPr>
        <w:jc w:val="right"/>
        <w:ind w:left="900" w:right="6840" w:hanging="535"/>
        <w:spacing w:after="0" w:line="382" w:lineRule="auto"/>
        <w:tabs>
          <w:tab w:leader="none" w:pos="559" w:val="left"/>
        </w:tabs>
        <w:numPr>
          <w:ilvl w:val="0"/>
          <w:numId w:val="12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Summary of Significant Accounting Policies Unaudited Interim Financial Statements</w:t>
      </w:r>
    </w:p>
    <w:p>
      <w:pPr>
        <w:spacing w:after="0" w:line="1" w:lineRule="exact"/>
        <w:rPr>
          <w:sz w:val="20"/>
          <w:szCs w:val="20"/>
          <w:color w:val="auto"/>
        </w:rPr>
      </w:pPr>
    </w:p>
    <w:p>
      <w:pPr>
        <w:ind w:left="360" w:right="200" w:firstLine="535"/>
        <w:spacing w:after="0" w:line="244" w:lineRule="auto"/>
        <w:rPr>
          <w:sz w:val="20"/>
          <w:szCs w:val="20"/>
          <w:color w:val="auto"/>
        </w:rPr>
      </w:pPr>
      <w:r>
        <w:rPr>
          <w:rFonts w:ascii="Arial" w:cs="Arial" w:eastAsia="Arial" w:hAnsi="Arial"/>
          <w:sz w:val="17"/>
          <w:szCs w:val="17"/>
          <w:color w:val="auto"/>
        </w:rPr>
        <w:t>The accompanying condensed consolidated financial statements are unaudited and have been prepared by the Company in accordance with accounting principles generally accepted in the United States (U.S. GAAP) and pursuant to the rules and regulations of the Securities and Exchange Commission. The year-end condensed consolidated balance sheet data was derived from the Company’s audited financial statements, but does not include all disclosures required by U.S. GAAP. These condensed consolidated financial statements should be read in conjunction with the Company’s audited financial statements for the year ended December 31, 2017 appearing at the end of this prospectus. The condensed consolidated financial statements, in the opinion of management, reflect all normal and recurring adjustments necessary for a fair statement of the Company’s financial position and results of operations.</w:t>
      </w:r>
    </w:p>
    <w:p>
      <w:pPr>
        <w:spacing w:after="0" w:line="195" w:lineRule="exact"/>
        <w:rPr>
          <w:sz w:val="20"/>
          <w:szCs w:val="20"/>
          <w:color w:val="auto"/>
        </w:rPr>
      </w:pPr>
    </w:p>
    <w:p>
      <w:pPr>
        <w:jc w:val="both"/>
        <w:ind w:left="360" w:right="80" w:firstLine="535"/>
        <w:spacing w:after="0" w:line="250" w:lineRule="auto"/>
        <w:rPr>
          <w:sz w:val="20"/>
          <w:szCs w:val="20"/>
          <w:color w:val="auto"/>
        </w:rPr>
      </w:pPr>
      <w:r>
        <w:rPr>
          <w:rFonts w:ascii="Arial" w:cs="Arial" w:eastAsia="Arial" w:hAnsi="Arial"/>
          <w:sz w:val="17"/>
          <w:szCs w:val="17"/>
          <w:color w:val="auto"/>
        </w:rPr>
        <w:t>During the six months ended June 30, 2018, there were no changes to the Company’s significant accounting policies as described in Note 2 to the financial statements included in the Company’s consolidated financial statements as of December 31, 2017 and 2016 and for the years then ended included in this Form S-1.</w:t>
      </w:r>
    </w:p>
    <w:p>
      <w:pPr>
        <w:spacing w:after="0" w:line="274"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Unaudited Pro Forma Information</w:t>
      </w:r>
    </w:p>
    <w:p>
      <w:pPr>
        <w:spacing w:after="0" w:line="126" w:lineRule="exact"/>
        <w:rPr>
          <w:sz w:val="20"/>
          <w:szCs w:val="20"/>
          <w:color w:val="auto"/>
        </w:rPr>
      </w:pPr>
    </w:p>
    <w:p>
      <w:pPr>
        <w:ind w:left="360" w:right="100" w:firstLine="535"/>
        <w:spacing w:after="0" w:line="245" w:lineRule="auto"/>
        <w:rPr>
          <w:sz w:val="20"/>
          <w:szCs w:val="20"/>
          <w:color w:val="auto"/>
        </w:rPr>
      </w:pPr>
      <w:r>
        <w:rPr>
          <w:rFonts w:ascii="Arial" w:cs="Arial" w:eastAsia="Arial" w:hAnsi="Arial"/>
          <w:sz w:val="17"/>
          <w:szCs w:val="17"/>
          <w:color w:val="auto"/>
        </w:rPr>
        <w:t>The accompanying unaudited pro forma consolidated balance sheet as of June 30, 2018 has been prepared to give effect to the conversion of Arvinas LLC to a C-corporation, all holders of common units receiving an equal number of shares of common stock in the corporation, all holders of redeemable preferred units receiving an equal number of redeemable preferred stock, and the conversion of all outstanding shares of redeemable preferred stock into 19,697,928 shares of common stock upon the closing of the Company’s initial public offering (IPO). The shares of common stock and any related estimated proceeds from the IPO are excluded from the pro forma information.</w:t>
      </w:r>
    </w:p>
    <w:p>
      <w:pPr>
        <w:spacing w:after="0" w:line="200" w:lineRule="exact"/>
        <w:rPr>
          <w:sz w:val="20"/>
          <w:szCs w:val="20"/>
          <w:color w:val="auto"/>
        </w:rPr>
      </w:pPr>
    </w:p>
    <w:p>
      <w:pPr>
        <w:spacing w:after="0" w:line="277"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3. Research Collaboration and License Agreements</w:t>
      </w:r>
    </w:p>
    <w:p>
      <w:pPr>
        <w:spacing w:after="0" w:line="126" w:lineRule="exact"/>
        <w:rPr>
          <w:sz w:val="20"/>
          <w:szCs w:val="20"/>
          <w:color w:val="auto"/>
        </w:rPr>
      </w:pPr>
    </w:p>
    <w:p>
      <w:pPr>
        <w:ind w:left="360" w:right="100" w:firstLine="535"/>
        <w:spacing w:after="0" w:line="245" w:lineRule="auto"/>
        <w:rPr>
          <w:sz w:val="20"/>
          <w:szCs w:val="20"/>
          <w:color w:val="auto"/>
        </w:rPr>
      </w:pPr>
      <w:r>
        <w:rPr>
          <w:rFonts w:ascii="Arial" w:cs="Arial" w:eastAsia="Arial" w:hAnsi="Arial"/>
          <w:sz w:val="17"/>
          <w:szCs w:val="17"/>
          <w:color w:val="auto"/>
        </w:rPr>
        <w:t>In December 2017, the Company entered into a Research Collaboration and License Agreement with Pfizer, Inc. Under the terms of the agreement, the Company received an upfront non-refundable payment and certain additional payments totaling $28.0 million in the six months ended June 30, 2018 in exchange for use of the Company’s technology license and to fund Pfizer-related research as defined within the agreement. These payments are being recognized as revenue over the total estimated period of performance. The Company is also eligible to receive up to an additional $37.5 million in option payments if Pfizer exercises its options for all targets under the agreement. The</w:t>
      </w:r>
    </w:p>
    <w:p>
      <w:pPr>
        <w:spacing w:after="0" w:line="32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F-30</w:t>
      </w:r>
    </w:p>
    <w:p>
      <w:pPr>
        <w:sectPr>
          <w:pgSz w:w="11900" w:h="16838" w:orient="portrait"/>
          <w:cols w:equalWidth="0" w:num="1">
            <w:col w:w="11060"/>
          </w:cols>
          <w:pgMar w:left="240" w:top="450" w:right="599" w:bottom="1440" w:gutter="0" w:footer="0" w:header="0"/>
        </w:sectPr>
      </w:pPr>
    </w:p>
    <w:bookmarkStart w:id="231" w:name="page232"/>
    <w:bookmarkEnd w:id="2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spacing w:after="0" w:line="259" w:lineRule="auto"/>
        <w:rPr>
          <w:sz w:val="20"/>
          <w:szCs w:val="20"/>
          <w:color w:val="auto"/>
        </w:rPr>
      </w:pPr>
      <w:r>
        <w:rPr>
          <w:rFonts w:ascii="Arial" w:cs="Arial" w:eastAsia="Arial" w:hAnsi="Arial"/>
          <w:sz w:val="17"/>
          <w:szCs w:val="17"/>
          <w:color w:val="auto"/>
        </w:rPr>
        <w:t>Company is also entitled to receive up to $225 million in development milestone payments and up to $550 million in sales-based milestone payments for all designated targets under the agreement, as well as tiered royalties based on sales.</w:t>
      </w:r>
    </w:p>
    <w:p>
      <w:pPr>
        <w:spacing w:after="0" w:line="18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In September 2015, the Company entered into an Option and License Agreement with Genentech, Inc. and F. Hoffman-La Roche</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Ltd. (the Genentech Agreement). During 2015, the Company received an upfront non-refundable payment of $11.0 million in exchange for</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use of the Company’s technology license and to fund Genentech-related research as defined within the Genentech agreement. In</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November 2017, the Company entered into an Amended and Restated Option, License, and Collaboration Agreement with Genentech,</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Inc. and F. Hoffman-La Roche Ltd. (the Genentech Modification), amending the Genentech Agreement. Under the Genentech</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Modification, the Company received additional upfront non-refundable payments of $34.5 million to fund Genentech-related research and</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Genentech has the right to designate up to ten targets. Upfront non-refundable payments are recognized as revenue over the total</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estimated period of performance. The Company is eligible to receive up to $44.0 million per target in development milestone payments,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$52.5 million per target in regulatory milestone payments and $60.0 million per target in commercial milestones based on sales thresholds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as well as tiered royalties based on sales.</w:t>
      </w:r>
    </w:p>
    <w:p>
      <w:pPr>
        <w:spacing w:after="0" w:line="211" w:lineRule="exact"/>
        <w:rPr>
          <w:sz w:val="20"/>
          <w:szCs w:val="20"/>
          <w:color w:val="auto"/>
        </w:rPr>
      </w:pPr>
    </w:p>
    <w:p>
      <w:pPr>
        <w:ind w:left="360" w:right="160" w:firstLine="535"/>
        <w:spacing w:after="0" w:line="247" w:lineRule="auto"/>
        <w:rPr>
          <w:sz w:val="20"/>
          <w:szCs w:val="20"/>
          <w:color w:val="auto"/>
        </w:rPr>
      </w:pPr>
      <w:r>
        <w:rPr>
          <w:rFonts w:ascii="Arial" w:cs="Arial" w:eastAsia="Arial" w:hAnsi="Arial"/>
          <w:sz w:val="17"/>
          <w:szCs w:val="17"/>
          <w:color w:val="auto"/>
        </w:rPr>
        <w:t>In April 2015, the Company had entered into a Research Collaboration and License Agreement with Merck Sharp &amp; Dohme Corp. (the Merck Agreement). During 2015, the Company received an upfront non-refundable payment of $7 million, which is being recognized as revenue over the total estimated period of performance, in exchange for use of the Company’s technology license. The Merck Agreement also provided for research program funding to support Merck-related research. The Merck Agreement expired in April 2018.</w:t>
      </w:r>
    </w:p>
    <w:p>
      <w:pPr>
        <w:spacing w:after="0" w:line="19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Information about contract liabilities is as follows:</w:t>
      </w:r>
    </w:p>
    <w:p>
      <w:pPr>
        <w:spacing w:after="0" w:line="227" w:lineRule="exact"/>
        <w:rPr>
          <w:sz w:val="20"/>
          <w:szCs w:val="20"/>
          <w:color w:val="auto"/>
        </w:rPr>
      </w:pPr>
    </w:p>
    <w:tbl>
      <w:tblPr>
        <w:tblLayout w:type="fixed"/>
        <w:tblInd w:w="36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161"/>
              <w:spacing w:after="0"/>
              <w:rPr>
                <w:sz w:val="20"/>
                <w:szCs w:val="20"/>
                <w:color w:val="auto"/>
              </w:rPr>
            </w:pPr>
            <w:r>
              <w:rPr>
                <w:rFonts w:ascii="Arial" w:cs="Arial" w:eastAsia="Arial" w:hAnsi="Arial"/>
                <w:sz w:val="14"/>
                <w:szCs w:val="14"/>
                <w:b w:val="1"/>
                <w:bCs w:val="1"/>
                <w:color w:val="auto"/>
              </w:rPr>
              <w:t>June 30,</w:t>
            </w:r>
          </w:p>
        </w:tc>
        <w:tc>
          <w:tcPr>
            <w:tcW w:w="360" w:type="dxa"/>
            <w:vAlign w:val="bottom"/>
          </w:tcPr>
          <w:p>
            <w:pPr>
              <w:spacing w:after="0"/>
              <w:rPr>
                <w:sz w:val="14"/>
                <w:szCs w:val="14"/>
                <w:color w:val="auto"/>
              </w:rPr>
            </w:pP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50"/>
        </w:trPr>
        <w:tc>
          <w:tcPr>
            <w:tcW w:w="20" w:type="dxa"/>
            <w:vAlign w:val="bottom"/>
          </w:tcPr>
          <w:p>
            <w:pPr>
              <w:spacing w:after="0"/>
              <w:rPr>
                <w:sz w:val="13"/>
                <w:szCs w:val="13"/>
                <w:color w:val="auto"/>
              </w:rPr>
            </w:pPr>
          </w:p>
        </w:tc>
        <w:tc>
          <w:tcPr>
            <w:tcW w:w="6320" w:type="dxa"/>
            <w:vAlign w:val="bottom"/>
            <w:tcBorders>
              <w:bottom w:val="single" w:sz="8" w:color="CCEEFF"/>
            </w:tcBorders>
          </w:tcPr>
          <w:p>
            <w:pPr>
              <w:spacing w:after="0"/>
              <w:rPr>
                <w:sz w:val="13"/>
                <w:szCs w:val="13"/>
                <w:color w:val="auto"/>
              </w:rPr>
            </w:pPr>
          </w:p>
        </w:tc>
        <w:tc>
          <w:tcPr>
            <w:tcW w:w="19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81"/>
              <w:spacing w:after="0" w:line="151"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78"/>
              <w:spacing w:after="0" w:line="151"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3"/>
                <w:szCs w:val="13"/>
                <w:color w:val="auto"/>
              </w:rPr>
            </w:pPr>
          </w:p>
        </w:tc>
      </w:tr>
      <w:tr>
        <w:trPr>
          <w:trHeight w:val="190"/>
        </w:trPr>
        <w:tc>
          <w:tcPr>
            <w:tcW w:w="20" w:type="dxa"/>
            <w:vAlign w:val="bottom"/>
          </w:tcPr>
          <w:p>
            <w:pPr>
              <w:spacing w:after="0"/>
              <w:rPr>
                <w:sz w:val="16"/>
                <w:szCs w:val="16"/>
                <w:color w:val="auto"/>
              </w:rPr>
            </w:pPr>
          </w:p>
        </w:tc>
        <w:tc>
          <w:tcPr>
            <w:tcW w:w="6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Contract liabilities</w:t>
            </w:r>
          </w:p>
        </w:tc>
        <w:tc>
          <w:tcPr>
            <w:tcW w:w="19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57,590,270</w:t>
            </w: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62,098,761</w:t>
            </w:r>
          </w:p>
        </w:tc>
        <w:tc>
          <w:tcPr>
            <w:tcW w:w="60" w:type="dxa"/>
            <w:vAlign w:val="bottom"/>
            <w:shd w:val="clear" w:color="auto" w:fill="CCEEFF"/>
          </w:tcPr>
          <w:p>
            <w:pPr>
              <w:spacing w:after="0"/>
              <w:rPr>
                <w:sz w:val="16"/>
                <w:szCs w:val="16"/>
                <w:color w:val="auto"/>
              </w:rPr>
            </w:pPr>
          </w:p>
        </w:tc>
      </w:tr>
      <w:tr>
        <w:trPr>
          <w:trHeight w:val="197"/>
        </w:trPr>
        <w:tc>
          <w:tcPr>
            <w:tcW w:w="2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Arial" w:cs="Arial" w:eastAsia="Arial" w:hAnsi="Arial"/>
                <w:sz w:val="17"/>
                <w:szCs w:val="17"/>
                <w:color w:val="auto"/>
              </w:rPr>
              <w:t>Revenues recognized in the period from:</w:t>
            </w: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Amounts included in deferred revenue in previous periods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7,155,549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6,600,000</w:t>
            </w:r>
          </w:p>
        </w:tc>
        <w:tc>
          <w:tcPr>
            <w:tcW w:w="60" w:type="dxa"/>
            <w:vAlign w:val="bottom"/>
            <w:shd w:val="clear" w:color="auto" w:fill="CCEEFF"/>
          </w:tcPr>
          <w:p>
            <w:pPr>
              <w:spacing w:after="0"/>
              <w:rPr>
                <w:sz w:val="17"/>
                <w:szCs w:val="17"/>
                <w:color w:val="auto"/>
              </w:rPr>
            </w:pPr>
          </w:p>
        </w:tc>
      </w:tr>
    </w:tbl>
    <w:p>
      <w:pPr>
        <w:spacing w:after="0" w:line="209" w:lineRule="exact"/>
        <w:rPr>
          <w:sz w:val="20"/>
          <w:szCs w:val="20"/>
          <w:color w:val="auto"/>
        </w:rPr>
      </w:pPr>
    </w:p>
    <w:p>
      <w:pPr>
        <w:ind w:left="360" w:right="100" w:firstLine="535"/>
        <w:spacing w:after="0" w:line="259" w:lineRule="auto"/>
        <w:rPr>
          <w:sz w:val="20"/>
          <w:szCs w:val="20"/>
          <w:color w:val="auto"/>
        </w:rPr>
      </w:pPr>
      <w:r>
        <w:rPr>
          <w:rFonts w:ascii="Arial" w:cs="Arial" w:eastAsia="Arial" w:hAnsi="Arial"/>
          <w:sz w:val="17"/>
          <w:szCs w:val="17"/>
          <w:color w:val="auto"/>
        </w:rPr>
        <w:t>Changes in deferred revenue from December 31, 2017 to June 30, 2018 were due to billings of $3.0 million under the contract and $7.5 million of revenue recognized on the research collaboration and license agreements.</w:t>
      </w:r>
    </w:p>
    <w:p>
      <w:pPr>
        <w:spacing w:after="0" w:line="181" w:lineRule="exact"/>
        <w:rPr>
          <w:sz w:val="20"/>
          <w:szCs w:val="20"/>
          <w:color w:val="auto"/>
        </w:rPr>
      </w:pPr>
    </w:p>
    <w:p>
      <w:pPr>
        <w:ind w:left="360" w:right="260" w:firstLine="535"/>
        <w:spacing w:after="0" w:line="259" w:lineRule="auto"/>
        <w:rPr>
          <w:sz w:val="20"/>
          <w:szCs w:val="20"/>
          <w:color w:val="auto"/>
        </w:rPr>
      </w:pPr>
      <w:r>
        <w:rPr>
          <w:rFonts w:ascii="Arial" w:cs="Arial" w:eastAsia="Arial" w:hAnsi="Arial"/>
          <w:sz w:val="17"/>
          <w:szCs w:val="17"/>
          <w:color w:val="auto"/>
        </w:rPr>
        <w:t>The aggregate amount of the transaction price allocated to performance obligations that are unsatisfied as of June 30, 2018 was $57.6 million, which is expected to be recognized as revenue in years ending:</w:t>
      </w:r>
    </w:p>
    <w:p>
      <w:pPr>
        <w:spacing w:after="0" w:line="197" w:lineRule="exact"/>
        <w:rPr>
          <w:sz w:val="20"/>
          <w:szCs w:val="20"/>
          <w:color w:val="auto"/>
        </w:rPr>
      </w:pPr>
    </w:p>
    <w:tbl>
      <w:tblPr>
        <w:tblLayout w:type="fixed"/>
        <w:tblInd w:w="36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7360" w:type="dxa"/>
            <w:vAlign w:val="bottom"/>
            <w:gridSpan w:val="4"/>
          </w:tcPr>
          <w:p>
            <w:pPr>
              <w:ind w:left="6440"/>
              <w:spacing w:after="0"/>
              <w:rPr>
                <w:sz w:val="20"/>
                <w:szCs w:val="20"/>
                <w:color w:val="auto"/>
              </w:rPr>
            </w:pPr>
            <w:r>
              <w:rPr>
                <w:rFonts w:ascii="Arial" w:cs="Arial" w:eastAsia="Arial" w:hAnsi="Arial"/>
                <w:sz w:val="14"/>
                <w:szCs w:val="14"/>
                <w:b w:val="1"/>
                <w:bCs w:val="1"/>
                <w:color w:val="auto"/>
              </w:rPr>
              <w:t>December 31</w:t>
            </w:r>
          </w:p>
        </w:tc>
      </w:tr>
      <w:tr>
        <w:trPr>
          <w:trHeight w:val="190"/>
        </w:trPr>
        <w:tc>
          <w:tcPr>
            <w:tcW w:w="20" w:type="dxa"/>
            <w:vAlign w:val="bottom"/>
          </w:tcPr>
          <w:p>
            <w:pPr>
              <w:spacing w:after="0"/>
              <w:rPr>
                <w:sz w:val="16"/>
                <w:szCs w:val="16"/>
                <w:color w:val="auto"/>
              </w:rPr>
            </w:pPr>
          </w:p>
        </w:tc>
        <w:tc>
          <w:tcPr>
            <w:tcW w:w="332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Remainder of 2018</w:t>
            </w:r>
          </w:p>
        </w:tc>
        <w:tc>
          <w:tcPr>
            <w:tcW w:w="64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6.7</w:t>
            </w:r>
          </w:p>
        </w:tc>
        <w:tc>
          <w:tcPr>
            <w:tcW w:w="40" w:type="dxa"/>
            <w:vAlign w:val="bottom"/>
            <w:tcBorders>
              <w:top w:val="single" w:sz="8" w:color="CCEEFF"/>
            </w:tcBorders>
            <w:shd w:val="clear" w:color="auto" w:fill="CCEEFF"/>
          </w:tcPr>
          <w:p>
            <w:pPr>
              <w:spacing w:after="0"/>
              <w:rPr>
                <w:sz w:val="16"/>
                <w:szCs w:val="16"/>
                <w:color w:val="auto"/>
              </w:rPr>
            </w:pPr>
          </w:p>
        </w:tc>
      </w:tr>
      <w:tr>
        <w:trPr>
          <w:trHeight w:val="197"/>
        </w:trPr>
        <w:tc>
          <w:tcPr>
            <w:tcW w:w="20" w:type="dxa"/>
            <w:vAlign w:val="bottom"/>
          </w:tcPr>
          <w:p>
            <w:pPr>
              <w:spacing w:after="0"/>
              <w:rPr>
                <w:sz w:val="17"/>
                <w:szCs w:val="17"/>
                <w:color w:val="auto"/>
              </w:rPr>
            </w:pPr>
          </w:p>
        </w:tc>
        <w:tc>
          <w:tcPr>
            <w:tcW w:w="3320" w:type="dxa"/>
            <w:vAlign w:val="bottom"/>
          </w:tcPr>
          <w:p>
            <w:pPr>
              <w:spacing w:after="0"/>
              <w:rPr>
                <w:sz w:val="20"/>
                <w:szCs w:val="20"/>
                <w:color w:val="auto"/>
              </w:rPr>
            </w:pPr>
            <w:r>
              <w:rPr>
                <w:rFonts w:ascii="Arial" w:cs="Arial" w:eastAsia="Arial" w:hAnsi="Arial"/>
                <w:sz w:val="17"/>
                <w:szCs w:val="17"/>
                <w:color w:val="auto"/>
              </w:rPr>
              <w:t>2019</w:t>
            </w:r>
          </w:p>
        </w:tc>
        <w:tc>
          <w:tcPr>
            <w:tcW w:w="6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13.5</w:t>
            </w:r>
          </w:p>
        </w:tc>
        <w:tc>
          <w:tcPr>
            <w:tcW w:w="4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2020</w:t>
            </w:r>
          </w:p>
        </w:tc>
        <w:tc>
          <w:tcPr>
            <w:tcW w:w="6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4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3320" w:type="dxa"/>
            <w:vAlign w:val="bottom"/>
          </w:tcPr>
          <w:p>
            <w:pPr>
              <w:spacing w:after="0"/>
              <w:rPr>
                <w:sz w:val="20"/>
                <w:szCs w:val="20"/>
                <w:color w:val="auto"/>
              </w:rPr>
            </w:pPr>
            <w:r>
              <w:rPr>
                <w:rFonts w:ascii="Arial" w:cs="Arial" w:eastAsia="Arial" w:hAnsi="Arial"/>
                <w:sz w:val="17"/>
                <w:szCs w:val="17"/>
                <w:color w:val="auto"/>
              </w:rPr>
              <w:t>2021</w:t>
            </w:r>
          </w:p>
        </w:tc>
        <w:tc>
          <w:tcPr>
            <w:tcW w:w="6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13.5</w:t>
            </w:r>
          </w:p>
        </w:tc>
        <w:tc>
          <w:tcPr>
            <w:tcW w:w="4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2022</w:t>
            </w:r>
          </w:p>
        </w:tc>
        <w:tc>
          <w:tcPr>
            <w:tcW w:w="6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20" w:type="dxa"/>
            <w:vAlign w:val="bottom"/>
          </w:tcPr>
          <w:p>
            <w:pPr>
              <w:spacing w:after="0"/>
              <w:rPr>
                <w:sz w:val="20"/>
                <w:szCs w:val="20"/>
                <w:color w:val="auto"/>
              </w:rPr>
            </w:pPr>
            <w:r>
              <w:rPr>
                <w:rFonts w:ascii="Arial" w:cs="Arial" w:eastAsia="Arial" w:hAnsi="Arial"/>
                <w:sz w:val="17"/>
                <w:szCs w:val="17"/>
                <w:color w:val="auto"/>
              </w:rPr>
              <w:t>2023</w:t>
            </w:r>
          </w:p>
        </w:tc>
        <w:tc>
          <w:tcPr>
            <w:tcW w:w="64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4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6740" w:type="dxa"/>
            <w:vAlign w:val="bottom"/>
            <w:gridSpan w:val="2"/>
            <w:shd w:val="clear" w:color="auto" w:fill="CCEEFF"/>
          </w:tcPr>
          <w:p>
            <w:pPr>
              <w:jc w:val="right"/>
              <w:ind w:right="144"/>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57.6</w:t>
            </w:r>
          </w:p>
        </w:tc>
        <w:tc>
          <w:tcPr>
            <w:tcW w:w="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740" w:type="dxa"/>
            <w:vAlign w:val="bottom"/>
            <w:gridSpan w:val="2"/>
          </w:tcPr>
          <w:p>
            <w:pPr>
              <w:jc w:val="right"/>
              <w:ind w:right="4464"/>
              <w:spacing w:after="0"/>
              <w:rPr>
                <w:sz w:val="20"/>
                <w:szCs w:val="20"/>
                <w:color w:val="auto"/>
              </w:rPr>
            </w:pPr>
            <w:r>
              <w:rPr>
                <w:rFonts w:ascii="Arial" w:cs="Arial" w:eastAsia="Arial" w:hAnsi="Arial"/>
                <w:sz w:val="17"/>
                <w:szCs w:val="17"/>
                <w:color w:val="auto"/>
              </w:rPr>
              <w:t>F-31</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60"/>
          </w:cols>
          <w:pgMar w:left="240" w:top="450" w:right="599" w:bottom="1440" w:gutter="0" w:footer="0" w:header="0"/>
        </w:sectPr>
      </w:pPr>
    </w:p>
    <w:bookmarkStart w:id="232" w:name="page233"/>
    <w:bookmarkEnd w:id="2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4. Fair Value Measurements</w:t>
      </w:r>
    </w:p>
    <w:p>
      <w:pPr>
        <w:spacing w:after="0" w:line="108" w:lineRule="exact"/>
        <w:rPr>
          <w:sz w:val="20"/>
          <w:szCs w:val="20"/>
          <w:color w:val="auto"/>
        </w:rPr>
      </w:pPr>
    </w:p>
    <w:p>
      <w:pPr>
        <w:ind w:left="360" w:right="80" w:firstLine="535"/>
        <w:spacing w:after="0" w:line="256" w:lineRule="auto"/>
        <w:rPr>
          <w:sz w:val="20"/>
          <w:szCs w:val="20"/>
          <w:color w:val="auto"/>
        </w:rPr>
      </w:pPr>
      <w:r>
        <w:rPr>
          <w:rFonts w:ascii="Arial" w:cs="Arial" w:eastAsia="Arial" w:hAnsi="Arial"/>
          <w:sz w:val="17"/>
          <w:szCs w:val="17"/>
          <w:color w:val="auto"/>
        </w:rPr>
        <w:t xml:space="preserve">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requires disclosure of the fair value of financial instruments held by the Company. ASC 825, </w:t>
      </w:r>
      <w:r>
        <w:rPr>
          <w:rFonts w:ascii="Arial" w:cs="Arial" w:eastAsia="Arial" w:hAnsi="Arial"/>
          <w:sz w:val="17"/>
          <w:szCs w:val="17"/>
          <w:i w:val="1"/>
          <w:iCs w:val="1"/>
          <w:color w:val="auto"/>
        </w:rPr>
        <w:t>Financial Instruments</w:t>
      </w:r>
      <w:r>
        <w:rPr>
          <w:rFonts w:ascii="Arial" w:cs="Arial" w:eastAsia="Arial" w:hAnsi="Arial"/>
          <w:sz w:val="17"/>
          <w:szCs w:val="17"/>
          <w:color w:val="auto"/>
        </w:rPr>
        <w:t>, defines fair value and establishes a three-level valuation hierarchy for disclosures of fair value measurement that enhances disclosure requirements for fair value measures. The three levels of valuation hierarchy are defined as follows:</w:t>
      </w:r>
    </w:p>
    <w:p>
      <w:pPr>
        <w:spacing w:after="0" w:line="284" w:lineRule="exact"/>
        <w:rPr>
          <w:sz w:val="20"/>
          <w:szCs w:val="20"/>
          <w:color w:val="auto"/>
        </w:rPr>
      </w:pPr>
    </w:p>
    <w:p>
      <w:pPr>
        <w:ind w:left="780"/>
        <w:spacing w:after="0"/>
        <w:rPr>
          <w:sz w:val="20"/>
          <w:szCs w:val="20"/>
          <w:color w:val="auto"/>
        </w:rPr>
      </w:pPr>
      <w:r>
        <w:rPr>
          <w:rFonts w:ascii="Arial" w:cs="Arial" w:eastAsia="Arial" w:hAnsi="Arial"/>
          <w:sz w:val="17"/>
          <w:szCs w:val="17"/>
          <w:color w:val="auto"/>
        </w:rPr>
        <w:t>Level 1—Inputs are based upon observable or quoted prices for identical instruments traded in active markets.</w:t>
      </w:r>
    </w:p>
    <w:p>
      <w:pPr>
        <w:spacing w:after="0" w:line="106" w:lineRule="exact"/>
        <w:rPr>
          <w:sz w:val="20"/>
          <w:szCs w:val="20"/>
          <w:color w:val="auto"/>
        </w:rPr>
      </w:pPr>
    </w:p>
    <w:p>
      <w:pPr>
        <w:ind w:left="580" w:right="160" w:firstLine="210"/>
        <w:spacing w:after="0" w:line="247" w:lineRule="auto"/>
        <w:rPr>
          <w:sz w:val="20"/>
          <w:szCs w:val="20"/>
          <w:color w:val="auto"/>
        </w:rPr>
      </w:pPr>
      <w:r>
        <w:rPr>
          <w:rFonts w:ascii="Arial" w:cs="Arial" w:eastAsia="Arial" w:hAnsi="Arial"/>
          <w:sz w:val="17"/>
          <w:szCs w:val="17"/>
          <w:color w:val="auto"/>
        </w:rPr>
        <w:t>Level 2—Inputs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 Our Level 2 investments consist primarily of corporate notes and bonds and U.S. government and agency securities.</w:t>
      </w:r>
    </w:p>
    <w:p>
      <w:pPr>
        <w:spacing w:after="0" w:line="87" w:lineRule="exact"/>
        <w:rPr>
          <w:sz w:val="20"/>
          <w:szCs w:val="20"/>
          <w:color w:val="auto"/>
        </w:rPr>
      </w:pPr>
    </w:p>
    <w:p>
      <w:pPr>
        <w:jc w:val="both"/>
        <w:ind w:left="580" w:right="300" w:firstLine="210"/>
        <w:spacing w:after="0" w:line="250" w:lineRule="auto"/>
        <w:rPr>
          <w:sz w:val="20"/>
          <w:szCs w:val="20"/>
          <w:color w:val="auto"/>
        </w:rPr>
      </w:pPr>
      <w:r>
        <w:rPr>
          <w:rFonts w:ascii="Arial" w:cs="Arial" w:eastAsia="Arial" w:hAnsi="Arial"/>
          <w:sz w:val="17"/>
          <w:szCs w:val="17"/>
          <w:color w:val="auto"/>
        </w:rPr>
        <w:t>Level 3—Inputs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w:t>
      </w:r>
    </w:p>
    <w:p>
      <w:pPr>
        <w:spacing w:after="0" w:line="189" w:lineRule="exact"/>
        <w:rPr>
          <w:sz w:val="20"/>
          <w:szCs w:val="20"/>
          <w:color w:val="auto"/>
        </w:rPr>
      </w:pPr>
    </w:p>
    <w:p>
      <w:pPr>
        <w:ind w:left="360" w:right="200" w:firstLine="535"/>
        <w:spacing w:after="0" w:line="259" w:lineRule="auto"/>
        <w:rPr>
          <w:sz w:val="20"/>
          <w:szCs w:val="20"/>
          <w:color w:val="auto"/>
        </w:rPr>
      </w:pPr>
      <w:r>
        <w:rPr>
          <w:rFonts w:ascii="Arial" w:cs="Arial" w:eastAsia="Arial" w:hAnsi="Arial"/>
          <w:sz w:val="17"/>
          <w:szCs w:val="17"/>
          <w:color w:val="auto"/>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spacing w:after="0" w:line="181" w:lineRule="exact"/>
        <w:rPr>
          <w:sz w:val="20"/>
          <w:szCs w:val="20"/>
          <w:color w:val="auto"/>
        </w:rPr>
      </w:pPr>
    </w:p>
    <w:p>
      <w:pPr>
        <w:jc w:val="both"/>
        <w:ind w:left="360" w:right="320" w:firstLine="535"/>
        <w:spacing w:after="0" w:line="247" w:lineRule="auto"/>
        <w:rPr>
          <w:sz w:val="20"/>
          <w:szCs w:val="20"/>
          <w:color w:val="auto"/>
        </w:rPr>
      </w:pPr>
      <w:r>
        <w:rPr>
          <w:rFonts w:ascii="Arial" w:cs="Arial" w:eastAsia="Arial" w:hAnsi="Arial"/>
          <w:sz w:val="17"/>
          <w:szCs w:val="17"/>
          <w:color w:val="auto"/>
        </w:rPr>
        <w:t>The Company’s marketable securities consist of corporate bonds and a government bond which are adjusted to fair value each balance sheet date, based on quoted prices, which are considered Level 2 inputs. The fair value of the preferred unit warrant liability is measured on a recurring basis and is considered a Level 3 instrument in the fair value hierarchy. See Note 7 for the valuation method used and significant assumptions used in the valuation.</w:t>
      </w:r>
    </w:p>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following is a summary of the Company’s available-for-sale securities as of June 30, 2018 and December 31, 2017.</w:t>
      </w:r>
    </w:p>
    <w:p>
      <w:pPr>
        <w:spacing w:after="0" w:line="223"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47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June 30, 2018</w:t>
            </w: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8"/>
              </w:rPr>
              <w:t>Gross</w:t>
            </w:r>
          </w:p>
        </w:tc>
        <w:tc>
          <w:tcPr>
            <w:tcW w:w="380" w:type="dxa"/>
            <w:vAlign w:val="bottom"/>
          </w:tcPr>
          <w:p>
            <w:pPr>
              <w:spacing w:after="0"/>
              <w:rPr>
                <w:sz w:val="14"/>
                <w:szCs w:val="14"/>
                <w:color w:val="auto"/>
              </w:rPr>
            </w:pPr>
          </w:p>
        </w:tc>
        <w:tc>
          <w:tcPr>
            <w:tcW w:w="1140" w:type="dxa"/>
            <w:vAlign w:val="bottom"/>
            <w:gridSpan w:val="2"/>
          </w:tcPr>
          <w:p>
            <w:pPr>
              <w:jc w:val="center"/>
              <w:ind w:right="422"/>
              <w:spacing w:after="0"/>
              <w:rPr>
                <w:sz w:val="20"/>
                <w:szCs w:val="20"/>
                <w:color w:val="auto"/>
              </w:rPr>
            </w:pPr>
            <w:r>
              <w:rPr>
                <w:rFonts w:ascii="Arial" w:cs="Arial" w:eastAsia="Arial" w:hAnsi="Arial"/>
                <w:sz w:val="14"/>
                <w:szCs w:val="14"/>
                <w:b w:val="1"/>
                <w:bCs w:val="1"/>
                <w:color w:val="auto"/>
                <w:w w:val="98"/>
              </w:rPr>
              <w:t>Gross</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900" w:type="dxa"/>
            <w:vAlign w:val="bottom"/>
          </w:tcPr>
          <w:p>
            <w:pPr>
              <w:ind w:left="160"/>
              <w:spacing w:after="0" w:line="157" w:lineRule="exact"/>
              <w:rPr>
                <w:sz w:val="20"/>
                <w:szCs w:val="20"/>
                <w:color w:val="auto"/>
              </w:rPr>
            </w:pPr>
            <w:r>
              <w:rPr>
                <w:rFonts w:ascii="Arial" w:cs="Arial" w:eastAsia="Arial" w:hAnsi="Arial"/>
                <w:sz w:val="14"/>
                <w:szCs w:val="14"/>
                <w:b w:val="1"/>
                <w:bCs w:val="1"/>
                <w:color w:val="auto"/>
              </w:rPr>
              <w:t>Effective</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24"/>
              <w:spacing w:after="0" w:line="157" w:lineRule="exact"/>
              <w:rPr>
                <w:sz w:val="20"/>
                <w:szCs w:val="20"/>
                <w:color w:val="auto"/>
              </w:rPr>
            </w:pPr>
            <w:r>
              <w:rPr>
                <w:rFonts w:ascii="Arial" w:cs="Arial" w:eastAsia="Arial" w:hAnsi="Arial"/>
                <w:sz w:val="14"/>
                <w:szCs w:val="14"/>
                <w:b w:val="1"/>
                <w:bCs w:val="1"/>
                <w:color w:val="auto"/>
              </w:rPr>
              <w:t>Amortized</w:t>
            </w:r>
          </w:p>
        </w:tc>
        <w:tc>
          <w:tcPr>
            <w:tcW w:w="380" w:type="dxa"/>
            <w:vAlign w:val="bottom"/>
          </w:tcPr>
          <w:p>
            <w:pPr>
              <w:spacing w:after="0"/>
              <w:rPr>
                <w:sz w:val="13"/>
                <w:szCs w:val="13"/>
                <w:color w:val="auto"/>
              </w:rPr>
            </w:pPr>
          </w:p>
        </w:tc>
        <w:tc>
          <w:tcPr>
            <w:tcW w:w="8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Unrealized</w:t>
            </w:r>
          </w:p>
        </w:tc>
        <w:tc>
          <w:tcPr>
            <w:tcW w:w="380" w:type="dxa"/>
            <w:vAlign w:val="bottom"/>
          </w:tcPr>
          <w:p>
            <w:pPr>
              <w:spacing w:after="0"/>
              <w:rPr>
                <w:sz w:val="13"/>
                <w:szCs w:val="13"/>
                <w:color w:val="auto"/>
              </w:rPr>
            </w:pPr>
          </w:p>
        </w:tc>
        <w:tc>
          <w:tcPr>
            <w:tcW w:w="1140" w:type="dxa"/>
            <w:vAlign w:val="bottom"/>
            <w:gridSpan w:val="2"/>
          </w:tcPr>
          <w:p>
            <w:pPr>
              <w:jc w:val="center"/>
              <w:ind w:right="402"/>
              <w:spacing w:after="0" w:line="157" w:lineRule="exact"/>
              <w:rPr>
                <w:sz w:val="20"/>
                <w:szCs w:val="20"/>
                <w:color w:val="auto"/>
              </w:rPr>
            </w:pPr>
            <w:r>
              <w:rPr>
                <w:rFonts w:ascii="Arial" w:cs="Arial" w:eastAsia="Arial" w:hAnsi="Arial"/>
                <w:sz w:val="14"/>
                <w:szCs w:val="14"/>
                <w:b w:val="1"/>
                <w:bCs w:val="1"/>
                <w:color w:val="auto"/>
                <w:w w:val="98"/>
              </w:rPr>
              <w:t>Unrealized</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00" w:type="dxa"/>
            <w:vAlign w:val="bottom"/>
            <w:gridSpan w:val="3"/>
            <w:vMerge w:val="continue"/>
          </w:tcPr>
          <w:p>
            <w:pPr>
              <w:spacing w:after="0"/>
              <w:rPr>
                <w:sz w:val="13"/>
                <w:szCs w:val="13"/>
                <w:color w:val="auto"/>
              </w:rPr>
            </w:pPr>
          </w:p>
        </w:tc>
        <w:tc>
          <w:tcPr>
            <w:tcW w:w="900" w:type="dxa"/>
            <w:vAlign w:val="bottom"/>
          </w:tcPr>
          <w:p>
            <w:pPr>
              <w:ind w:left="180"/>
              <w:spacing w:after="0" w:line="155" w:lineRule="exact"/>
              <w:rPr>
                <w:sz w:val="20"/>
                <w:szCs w:val="20"/>
                <w:color w:val="auto"/>
              </w:rPr>
            </w:pPr>
            <w:r>
              <w:rPr>
                <w:rFonts w:ascii="Arial" w:cs="Arial" w:eastAsia="Arial" w:hAnsi="Arial"/>
                <w:sz w:val="14"/>
                <w:szCs w:val="14"/>
                <w:b w:val="1"/>
                <w:bCs w:val="1"/>
                <w:color w:val="auto"/>
              </w:rPr>
              <w:t>Maturity</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24"/>
              <w:spacing w:after="0" w:line="155" w:lineRule="exact"/>
              <w:rPr>
                <w:sz w:val="20"/>
                <w:szCs w:val="20"/>
                <w:color w:val="auto"/>
              </w:rPr>
            </w:pPr>
            <w:r>
              <w:rPr>
                <w:rFonts w:ascii="Arial" w:cs="Arial" w:eastAsia="Arial" w:hAnsi="Arial"/>
                <w:sz w:val="14"/>
                <w:szCs w:val="14"/>
                <w:b w:val="1"/>
                <w:bCs w:val="1"/>
                <w:color w:val="auto"/>
                <w:w w:val="96"/>
              </w:rPr>
              <w:t>Cost</w:t>
            </w:r>
          </w:p>
        </w:tc>
        <w:tc>
          <w:tcPr>
            <w:tcW w:w="380" w:type="dxa"/>
            <w:vAlign w:val="bottom"/>
          </w:tcPr>
          <w:p>
            <w:pPr>
              <w:spacing w:after="0"/>
              <w:rPr>
                <w:sz w:val="13"/>
                <w:szCs w:val="13"/>
                <w:color w:val="auto"/>
              </w:rPr>
            </w:pPr>
          </w:p>
        </w:tc>
        <w:tc>
          <w:tcPr>
            <w:tcW w:w="8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7"/>
              </w:rPr>
              <w:t>Gains</w:t>
            </w:r>
          </w:p>
        </w:tc>
        <w:tc>
          <w:tcPr>
            <w:tcW w:w="380" w:type="dxa"/>
            <w:vAlign w:val="bottom"/>
          </w:tcPr>
          <w:p>
            <w:pPr>
              <w:spacing w:after="0"/>
              <w:rPr>
                <w:sz w:val="13"/>
                <w:szCs w:val="13"/>
                <w:color w:val="auto"/>
              </w:rPr>
            </w:pPr>
          </w:p>
        </w:tc>
        <w:tc>
          <w:tcPr>
            <w:tcW w:w="1140" w:type="dxa"/>
            <w:vAlign w:val="bottom"/>
            <w:gridSpan w:val="2"/>
          </w:tcPr>
          <w:p>
            <w:pPr>
              <w:jc w:val="center"/>
              <w:ind w:right="422"/>
              <w:spacing w:after="0" w:line="155" w:lineRule="exact"/>
              <w:rPr>
                <w:sz w:val="20"/>
                <w:szCs w:val="20"/>
                <w:color w:val="auto"/>
              </w:rPr>
            </w:pPr>
            <w:r>
              <w:rPr>
                <w:rFonts w:ascii="Arial" w:cs="Arial" w:eastAsia="Arial" w:hAnsi="Arial"/>
                <w:sz w:val="14"/>
                <w:szCs w:val="14"/>
                <w:b w:val="1"/>
                <w:bCs w:val="1"/>
                <w:color w:val="auto"/>
                <w:w w:val="99"/>
              </w:rPr>
              <w:t>Losses</w:t>
            </w:r>
          </w:p>
        </w:tc>
        <w:tc>
          <w:tcPr>
            <w:tcW w:w="120" w:type="dxa"/>
            <w:vAlign w:val="bottom"/>
          </w:tcPr>
          <w:p>
            <w:pPr>
              <w:spacing w:after="0"/>
              <w:rPr>
                <w:sz w:val="13"/>
                <w:szCs w:val="13"/>
                <w:color w:val="auto"/>
              </w:rPr>
            </w:pPr>
          </w:p>
        </w:tc>
        <w:tc>
          <w:tcPr>
            <w:tcW w:w="94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bottom w:val="single" w:sz="8" w:color="CCEEFF"/>
            </w:tcBorders>
            <w:shd w:val="clear" w:color="auto" w:fill="000000"/>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68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Corporate bonds</w:t>
            </w: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2018-2019</w:t>
            </w:r>
          </w:p>
        </w:tc>
        <w:tc>
          <w:tcPr>
            <w:tcW w:w="3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u w:val="single" w:color="auto"/>
                <w:color w:val="auto"/>
                <w:w w:val="84"/>
              </w:rPr>
              <w:t>$</w:t>
            </w: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96,483,375</w:t>
            </w:r>
          </w:p>
        </w:tc>
        <w:tc>
          <w:tcPr>
            <w:tcW w:w="38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ind w:left="620"/>
              <w:spacing w:after="0" w:line="183" w:lineRule="exact"/>
              <w:rPr>
                <w:sz w:val="20"/>
                <w:szCs w:val="20"/>
                <w:color w:val="auto"/>
              </w:rPr>
            </w:pPr>
            <w:r>
              <w:rPr>
                <w:rFonts w:ascii="Arial" w:cs="Arial" w:eastAsia="Arial" w:hAnsi="Arial"/>
                <w:sz w:val="17"/>
                <w:szCs w:val="17"/>
                <w:color w:val="auto"/>
                <w:w w:val="93"/>
              </w:rPr>
              <w:t>—</w:t>
            </w:r>
          </w:p>
        </w:tc>
        <w:tc>
          <w:tcPr>
            <w:tcW w:w="38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(96,614)</w:t>
            </w:r>
          </w:p>
        </w:tc>
        <w:tc>
          <w:tcPr>
            <w:tcW w:w="4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96,386,761</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0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47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December 31, 2017</w:t>
            </w: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8"/>
              </w:rPr>
              <w:t>Gross</w:t>
            </w:r>
          </w:p>
        </w:tc>
        <w:tc>
          <w:tcPr>
            <w:tcW w:w="380" w:type="dxa"/>
            <w:vAlign w:val="bottom"/>
          </w:tcPr>
          <w:p>
            <w:pPr>
              <w:spacing w:after="0"/>
              <w:rPr>
                <w:sz w:val="24"/>
                <w:szCs w:val="24"/>
                <w:color w:val="auto"/>
              </w:rPr>
            </w:pPr>
          </w:p>
        </w:tc>
        <w:tc>
          <w:tcPr>
            <w:tcW w:w="1140" w:type="dxa"/>
            <w:vAlign w:val="bottom"/>
            <w:gridSpan w:val="2"/>
          </w:tcPr>
          <w:p>
            <w:pPr>
              <w:jc w:val="center"/>
              <w:ind w:right="422"/>
              <w:spacing w:after="0"/>
              <w:rPr>
                <w:sz w:val="20"/>
                <w:szCs w:val="20"/>
                <w:color w:val="auto"/>
              </w:rPr>
            </w:pPr>
            <w:r>
              <w:rPr>
                <w:rFonts w:ascii="Arial" w:cs="Arial" w:eastAsia="Arial" w:hAnsi="Arial"/>
                <w:sz w:val="14"/>
                <w:szCs w:val="14"/>
                <w:b w:val="1"/>
                <w:bCs w:val="1"/>
                <w:color w:val="auto"/>
                <w:w w:val="98"/>
              </w:rPr>
              <w:t>Gross</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4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900" w:type="dxa"/>
            <w:vAlign w:val="bottom"/>
          </w:tcPr>
          <w:p>
            <w:pPr>
              <w:ind w:left="160"/>
              <w:spacing w:after="0" w:line="157" w:lineRule="exact"/>
              <w:rPr>
                <w:sz w:val="20"/>
                <w:szCs w:val="20"/>
                <w:color w:val="auto"/>
              </w:rPr>
            </w:pPr>
            <w:r>
              <w:rPr>
                <w:rFonts w:ascii="Arial" w:cs="Arial" w:eastAsia="Arial" w:hAnsi="Arial"/>
                <w:sz w:val="14"/>
                <w:szCs w:val="14"/>
                <w:b w:val="1"/>
                <w:bCs w:val="1"/>
                <w:color w:val="auto"/>
              </w:rPr>
              <w:t>Effective</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24"/>
              <w:spacing w:after="0" w:line="157" w:lineRule="exact"/>
              <w:rPr>
                <w:sz w:val="20"/>
                <w:szCs w:val="20"/>
                <w:color w:val="auto"/>
              </w:rPr>
            </w:pPr>
            <w:r>
              <w:rPr>
                <w:rFonts w:ascii="Arial" w:cs="Arial" w:eastAsia="Arial" w:hAnsi="Arial"/>
                <w:sz w:val="14"/>
                <w:szCs w:val="14"/>
                <w:b w:val="1"/>
                <w:bCs w:val="1"/>
                <w:color w:val="auto"/>
              </w:rPr>
              <w:t>Amortized</w:t>
            </w:r>
          </w:p>
        </w:tc>
        <w:tc>
          <w:tcPr>
            <w:tcW w:w="380" w:type="dxa"/>
            <w:vAlign w:val="bottom"/>
          </w:tcPr>
          <w:p>
            <w:pPr>
              <w:spacing w:after="0"/>
              <w:rPr>
                <w:sz w:val="13"/>
                <w:szCs w:val="13"/>
                <w:color w:val="auto"/>
              </w:rPr>
            </w:pPr>
          </w:p>
        </w:tc>
        <w:tc>
          <w:tcPr>
            <w:tcW w:w="8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Unrealized</w:t>
            </w:r>
          </w:p>
        </w:tc>
        <w:tc>
          <w:tcPr>
            <w:tcW w:w="380" w:type="dxa"/>
            <w:vAlign w:val="bottom"/>
          </w:tcPr>
          <w:p>
            <w:pPr>
              <w:spacing w:after="0"/>
              <w:rPr>
                <w:sz w:val="13"/>
                <w:szCs w:val="13"/>
                <w:color w:val="auto"/>
              </w:rPr>
            </w:pPr>
          </w:p>
        </w:tc>
        <w:tc>
          <w:tcPr>
            <w:tcW w:w="1140" w:type="dxa"/>
            <w:vAlign w:val="bottom"/>
            <w:gridSpan w:val="2"/>
          </w:tcPr>
          <w:p>
            <w:pPr>
              <w:jc w:val="center"/>
              <w:ind w:right="402"/>
              <w:spacing w:after="0" w:line="157" w:lineRule="exact"/>
              <w:rPr>
                <w:sz w:val="20"/>
                <w:szCs w:val="20"/>
                <w:color w:val="auto"/>
              </w:rPr>
            </w:pPr>
            <w:r>
              <w:rPr>
                <w:rFonts w:ascii="Arial" w:cs="Arial" w:eastAsia="Arial" w:hAnsi="Arial"/>
                <w:sz w:val="14"/>
                <w:szCs w:val="14"/>
                <w:b w:val="1"/>
                <w:bCs w:val="1"/>
                <w:color w:val="auto"/>
                <w:w w:val="98"/>
              </w:rPr>
              <w:t>Unrealized</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00" w:type="dxa"/>
            <w:vAlign w:val="bottom"/>
            <w:gridSpan w:val="3"/>
            <w:vMerge w:val="continue"/>
          </w:tcPr>
          <w:p>
            <w:pPr>
              <w:spacing w:after="0"/>
              <w:rPr>
                <w:sz w:val="13"/>
                <w:szCs w:val="13"/>
                <w:color w:val="auto"/>
              </w:rPr>
            </w:pPr>
          </w:p>
        </w:tc>
        <w:tc>
          <w:tcPr>
            <w:tcW w:w="900" w:type="dxa"/>
            <w:vAlign w:val="bottom"/>
          </w:tcPr>
          <w:p>
            <w:pPr>
              <w:ind w:left="180"/>
              <w:spacing w:after="0" w:line="155" w:lineRule="exact"/>
              <w:rPr>
                <w:sz w:val="20"/>
                <w:szCs w:val="20"/>
                <w:color w:val="auto"/>
              </w:rPr>
            </w:pPr>
            <w:r>
              <w:rPr>
                <w:rFonts w:ascii="Arial" w:cs="Arial" w:eastAsia="Arial" w:hAnsi="Arial"/>
                <w:sz w:val="14"/>
                <w:szCs w:val="14"/>
                <w:b w:val="1"/>
                <w:bCs w:val="1"/>
                <w:color w:val="auto"/>
              </w:rPr>
              <w:t>Maturity</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24"/>
              <w:spacing w:after="0" w:line="155" w:lineRule="exact"/>
              <w:rPr>
                <w:sz w:val="20"/>
                <w:szCs w:val="20"/>
                <w:color w:val="auto"/>
              </w:rPr>
            </w:pPr>
            <w:r>
              <w:rPr>
                <w:rFonts w:ascii="Arial" w:cs="Arial" w:eastAsia="Arial" w:hAnsi="Arial"/>
                <w:sz w:val="14"/>
                <w:szCs w:val="14"/>
                <w:b w:val="1"/>
                <w:bCs w:val="1"/>
                <w:color w:val="auto"/>
                <w:w w:val="96"/>
              </w:rPr>
              <w:t>Cost</w:t>
            </w:r>
          </w:p>
        </w:tc>
        <w:tc>
          <w:tcPr>
            <w:tcW w:w="380" w:type="dxa"/>
            <w:vAlign w:val="bottom"/>
          </w:tcPr>
          <w:p>
            <w:pPr>
              <w:spacing w:after="0"/>
              <w:rPr>
                <w:sz w:val="13"/>
                <w:szCs w:val="13"/>
                <w:color w:val="auto"/>
              </w:rPr>
            </w:pPr>
          </w:p>
        </w:tc>
        <w:tc>
          <w:tcPr>
            <w:tcW w:w="8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7"/>
              </w:rPr>
              <w:t>Gains</w:t>
            </w:r>
          </w:p>
        </w:tc>
        <w:tc>
          <w:tcPr>
            <w:tcW w:w="380" w:type="dxa"/>
            <w:vAlign w:val="bottom"/>
          </w:tcPr>
          <w:p>
            <w:pPr>
              <w:spacing w:after="0"/>
              <w:rPr>
                <w:sz w:val="13"/>
                <w:szCs w:val="13"/>
                <w:color w:val="auto"/>
              </w:rPr>
            </w:pPr>
          </w:p>
        </w:tc>
        <w:tc>
          <w:tcPr>
            <w:tcW w:w="1140" w:type="dxa"/>
            <w:vAlign w:val="bottom"/>
            <w:gridSpan w:val="2"/>
          </w:tcPr>
          <w:p>
            <w:pPr>
              <w:jc w:val="center"/>
              <w:ind w:right="422"/>
              <w:spacing w:after="0" w:line="155" w:lineRule="exact"/>
              <w:rPr>
                <w:sz w:val="20"/>
                <w:szCs w:val="20"/>
                <w:color w:val="auto"/>
              </w:rPr>
            </w:pPr>
            <w:r>
              <w:rPr>
                <w:rFonts w:ascii="Arial" w:cs="Arial" w:eastAsia="Arial" w:hAnsi="Arial"/>
                <w:sz w:val="14"/>
                <w:szCs w:val="14"/>
                <w:b w:val="1"/>
                <w:bCs w:val="1"/>
                <w:color w:val="auto"/>
                <w:w w:val="99"/>
              </w:rPr>
              <w:t>Losses</w:t>
            </w:r>
          </w:p>
        </w:tc>
        <w:tc>
          <w:tcPr>
            <w:tcW w:w="120" w:type="dxa"/>
            <w:vAlign w:val="bottom"/>
          </w:tcPr>
          <w:p>
            <w:pPr>
              <w:spacing w:after="0"/>
              <w:rPr>
                <w:sz w:val="13"/>
                <w:szCs w:val="13"/>
                <w:color w:val="auto"/>
              </w:rPr>
            </w:pPr>
          </w:p>
        </w:tc>
        <w:tc>
          <w:tcPr>
            <w:tcW w:w="94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bottom w:val="single" w:sz="8" w:color="CCEEFF"/>
            </w:tcBorders>
            <w:shd w:val="clear" w:color="auto" w:fill="000000"/>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68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Corporate bonds</w:t>
            </w:r>
          </w:p>
        </w:tc>
        <w:tc>
          <w:tcPr>
            <w:tcW w:w="900" w:type="dxa"/>
            <w:vAlign w:val="bottom"/>
            <w:shd w:val="clear" w:color="auto" w:fill="CCEEFF"/>
          </w:tcPr>
          <w:p>
            <w:pPr>
              <w:jc w:val="right"/>
              <w:ind w:right="163"/>
              <w:spacing w:after="0" w:line="183" w:lineRule="exact"/>
              <w:rPr>
                <w:sz w:val="20"/>
                <w:szCs w:val="20"/>
                <w:color w:val="auto"/>
              </w:rPr>
            </w:pPr>
            <w:r>
              <w:rPr>
                <w:rFonts w:ascii="Arial" w:cs="Arial" w:eastAsia="Arial" w:hAnsi="Arial"/>
                <w:sz w:val="17"/>
                <w:szCs w:val="17"/>
                <w:color w:val="auto"/>
              </w:rPr>
              <w:t>2018</w:t>
            </w:r>
          </w:p>
        </w:tc>
        <w:tc>
          <w:tcPr>
            <w:tcW w:w="3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8,268,732</w:t>
            </w:r>
          </w:p>
        </w:tc>
        <w:tc>
          <w:tcPr>
            <w:tcW w:w="38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ind w:left="620"/>
              <w:spacing w:after="0" w:line="183" w:lineRule="exact"/>
              <w:rPr>
                <w:sz w:val="20"/>
                <w:szCs w:val="20"/>
                <w:color w:val="auto"/>
              </w:rPr>
            </w:pPr>
            <w:r>
              <w:rPr>
                <w:rFonts w:ascii="Arial" w:cs="Arial" w:eastAsia="Arial" w:hAnsi="Arial"/>
                <w:sz w:val="17"/>
                <w:szCs w:val="17"/>
                <w:color w:val="auto"/>
                <w:w w:val="93"/>
              </w:rPr>
              <w:t>—</w:t>
            </w:r>
          </w:p>
        </w:tc>
        <w:tc>
          <w:tcPr>
            <w:tcW w:w="38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  (9,751</w:t>
            </w:r>
          </w:p>
        </w:tc>
        <w:tc>
          <w:tcPr>
            <w:tcW w:w="420" w:type="dxa"/>
            <w:vAlign w:val="bottom"/>
            <w:shd w:val="clear" w:color="auto" w:fill="CCEEFF"/>
          </w:tcPr>
          <w:p>
            <w:pPr>
              <w:jc w:val="right"/>
              <w:ind w:right="342"/>
              <w:spacing w:after="0"/>
              <w:rPr>
                <w:sz w:val="20"/>
                <w:szCs w:val="20"/>
                <w:color w:val="auto"/>
              </w:rPr>
            </w:pPr>
            <w:r>
              <w:rPr>
                <w:rFonts w:ascii="Arial" w:cs="Arial" w:eastAsia="Arial" w:hAnsi="Arial"/>
                <w:sz w:val="8"/>
                <w:szCs w:val="8"/>
                <w:color w:val="auto"/>
                <w:w w:val="73"/>
              </w:rPr>
              <w:t>)</w:t>
            </w:r>
          </w:p>
        </w:tc>
        <w:tc>
          <w:tcPr>
            <w:tcW w:w="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8,258,982</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900" w:type="dxa"/>
            <w:vAlign w:val="bottom"/>
            <w:vMerge w:val="restart"/>
          </w:tcPr>
          <w:p>
            <w:pPr>
              <w:ind w:left="480"/>
              <w:spacing w:after="0"/>
              <w:rPr>
                <w:sz w:val="20"/>
                <w:szCs w:val="20"/>
                <w:color w:val="auto"/>
              </w:rPr>
            </w:pPr>
            <w:r>
              <w:rPr>
                <w:rFonts w:ascii="Arial" w:cs="Arial" w:eastAsia="Arial" w:hAnsi="Arial"/>
                <w:sz w:val="17"/>
                <w:szCs w:val="17"/>
                <w:color w:val="auto"/>
              </w:rPr>
              <w:t>F-32</w:t>
            </w: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240" w:top="450" w:right="599" w:bottom="1440" w:gutter="0" w:footer="0" w:header="0"/>
        </w:sectPr>
      </w:pPr>
    </w:p>
    <w:bookmarkStart w:id="233" w:name="page234"/>
    <w:bookmarkEnd w:id="2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220" w:firstLine="535"/>
        <w:spacing w:after="0" w:line="259" w:lineRule="auto"/>
        <w:rPr>
          <w:sz w:val="20"/>
          <w:szCs w:val="20"/>
          <w:color w:val="auto"/>
        </w:rPr>
      </w:pPr>
      <w:r>
        <w:rPr>
          <w:rFonts w:ascii="Arial" w:cs="Arial" w:eastAsia="Arial" w:hAnsi="Arial"/>
          <w:sz w:val="17"/>
          <w:szCs w:val="17"/>
          <w:color w:val="auto"/>
        </w:rPr>
        <w:t>The following tables summarize the fair values and levels within the fair value hierarchy in which the fair value measurements fall for assets and liabilities measured on a recurring basis as of:</w:t>
      </w:r>
    </w:p>
    <w:p>
      <w:pPr>
        <w:spacing w:after="0" w:line="193"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42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June 30, 2018</w:t>
            </w:r>
          </w:p>
        </w:tc>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26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178"/>
              <w:spacing w:after="0"/>
              <w:rPr>
                <w:sz w:val="20"/>
                <w:szCs w:val="20"/>
                <w:color w:val="auto"/>
              </w:rPr>
            </w:pPr>
            <w:r>
              <w:rPr>
                <w:rFonts w:ascii="Arial" w:cs="Arial" w:eastAsia="Arial" w:hAnsi="Arial"/>
                <w:sz w:val="14"/>
                <w:szCs w:val="14"/>
                <w:b w:val="1"/>
                <w:bCs w:val="1"/>
                <w:color w:val="auto"/>
              </w:rPr>
              <w:t>Level 2</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4"/>
          </w:tcPr>
          <w:p>
            <w:pPr>
              <w:jc w:val="right"/>
              <w:ind w:right="35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6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7"/>
                <w:szCs w:val="17"/>
                <w:color w:val="auto"/>
              </w:rPr>
              <w:t>Assets:</w:t>
            </w:r>
          </w:p>
        </w:tc>
        <w:tc>
          <w:tcPr>
            <w:tcW w:w="3480" w:type="dxa"/>
            <w:vAlign w:val="bottom"/>
            <w:tcBorders>
              <w:top w:val="single" w:sz="8" w:color="CCEEFF"/>
            </w:tcBorders>
            <w:shd w:val="clear" w:color="auto" w:fill="CCEEFF"/>
          </w:tcPr>
          <w:p>
            <w:pPr>
              <w:spacing w:after="0"/>
              <w:rPr>
                <w:sz w:val="14"/>
                <w:szCs w:val="14"/>
                <w:color w:val="auto"/>
              </w:rPr>
            </w:pPr>
          </w:p>
        </w:tc>
        <w:tc>
          <w:tcPr>
            <w:tcW w:w="19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40" w:type="dxa"/>
            <w:vAlign w:val="bottom"/>
            <w:gridSpan w:val="2"/>
          </w:tcPr>
          <w:p>
            <w:pPr>
              <w:ind w:left="340"/>
              <w:spacing w:after="0"/>
              <w:rPr>
                <w:sz w:val="20"/>
                <w:szCs w:val="20"/>
                <w:color w:val="auto"/>
              </w:rPr>
            </w:pPr>
            <w:r>
              <w:rPr>
                <w:rFonts w:ascii="Arial" w:cs="Arial" w:eastAsia="Arial" w:hAnsi="Arial"/>
                <w:sz w:val="17"/>
                <w:szCs w:val="17"/>
                <w:color w:val="auto"/>
              </w:rPr>
              <w:t>Marketable securities</w:t>
            </w:r>
          </w:p>
        </w:tc>
        <w:tc>
          <w:tcPr>
            <w:tcW w:w="20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ind w:left="400"/>
              <w:spacing w:after="0"/>
              <w:rPr>
                <w:sz w:val="20"/>
                <w:szCs w:val="20"/>
                <w:color w:val="auto"/>
              </w:rPr>
            </w:pPr>
            <w:r>
              <w:rPr>
                <w:rFonts w:ascii="Arial" w:cs="Arial" w:eastAsia="Arial" w:hAnsi="Arial"/>
                <w:sz w:val="17"/>
                <w:szCs w:val="17"/>
                <w:color w:val="auto"/>
                <w:w w:val="93"/>
              </w:rPr>
              <w:t>—</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96,386,761</w:t>
            </w: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10"/>
              <w:spacing w:after="0"/>
              <w:rPr>
                <w:sz w:val="20"/>
                <w:szCs w:val="20"/>
                <w:color w:val="auto"/>
              </w:rPr>
            </w:pPr>
            <w:r>
              <w:rPr>
                <w:rFonts w:ascii="Arial" w:cs="Arial" w:eastAsia="Arial" w:hAnsi="Arial"/>
                <w:sz w:val="17"/>
                <w:szCs w:val="17"/>
                <w:color w:val="auto"/>
              </w:rPr>
              <w:t>—</w:t>
            </w:r>
          </w:p>
        </w:tc>
        <w:tc>
          <w:tcPr>
            <w:tcW w:w="1080" w:type="dxa"/>
            <w:vAlign w:val="bottom"/>
            <w:gridSpan w:val="5"/>
          </w:tcPr>
          <w:p>
            <w:pPr>
              <w:jc w:val="right"/>
              <w:spacing w:after="0"/>
              <w:rPr>
                <w:sz w:val="20"/>
                <w:szCs w:val="20"/>
                <w:color w:val="auto"/>
              </w:rPr>
            </w:pPr>
            <w:r>
              <w:rPr>
                <w:rFonts w:ascii="Arial" w:cs="Arial" w:eastAsia="Arial" w:hAnsi="Arial"/>
                <w:sz w:val="17"/>
                <w:szCs w:val="17"/>
                <w:color w:val="auto"/>
              </w:rPr>
              <w:t>$96,386,761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Liabilities:</w:t>
            </w:r>
          </w:p>
        </w:tc>
        <w:tc>
          <w:tcPr>
            <w:tcW w:w="1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gridSpan w:val="2"/>
          </w:tcPr>
          <w:p>
            <w:pPr>
              <w:ind w:left="340"/>
              <w:spacing w:after="0"/>
              <w:rPr>
                <w:sz w:val="20"/>
                <w:szCs w:val="20"/>
                <w:color w:val="auto"/>
              </w:rPr>
            </w:pPr>
            <w:r>
              <w:rPr>
                <w:rFonts w:ascii="Arial" w:cs="Arial" w:eastAsia="Arial" w:hAnsi="Arial"/>
                <w:sz w:val="17"/>
                <w:szCs w:val="17"/>
                <w:color w:val="auto"/>
              </w:rPr>
              <w:t>Preferred unit warrant</w:t>
            </w:r>
          </w:p>
        </w:tc>
        <w:tc>
          <w:tcPr>
            <w:tcW w:w="20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ind w:left="400"/>
              <w:spacing w:after="0"/>
              <w:rPr>
                <w:sz w:val="20"/>
                <w:szCs w:val="20"/>
                <w:color w:val="auto"/>
              </w:rPr>
            </w:pPr>
            <w:r>
              <w:rPr>
                <w:rFonts w:ascii="Arial" w:cs="Arial" w:eastAsia="Arial" w:hAnsi="Arial"/>
                <w:sz w:val="17"/>
                <w:szCs w:val="17"/>
                <w:color w:val="auto"/>
                <w:w w:val="93"/>
              </w:rPr>
              <w:t>—</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5"/>
          </w:tcPr>
          <w:p>
            <w:pPr>
              <w:jc w:val="right"/>
              <w:spacing w:after="0"/>
              <w:rPr>
                <w:sz w:val="20"/>
                <w:szCs w:val="20"/>
                <w:color w:val="auto"/>
              </w:rPr>
            </w:pPr>
            <w:r>
              <w:rPr>
                <w:rFonts w:ascii="Arial" w:cs="Arial" w:eastAsia="Arial" w:hAnsi="Arial"/>
                <w:sz w:val="17"/>
                <w:szCs w:val="17"/>
                <w:color w:val="auto"/>
              </w:rPr>
              <w:t>$244,667</w:t>
            </w:r>
          </w:p>
        </w:tc>
        <w:tc>
          <w:tcPr>
            <w:tcW w:w="280" w:type="dxa"/>
            <w:vAlign w:val="bottom"/>
          </w:tcPr>
          <w:p>
            <w:pPr>
              <w:spacing w:after="0"/>
              <w:rPr>
                <w:sz w:val="18"/>
                <w:szCs w:val="18"/>
                <w:color w:val="auto"/>
              </w:rPr>
            </w:pPr>
          </w:p>
        </w:tc>
        <w:tc>
          <w:tcPr>
            <w:tcW w:w="240" w:type="dxa"/>
            <w:vAlign w:val="bottom"/>
            <w:gridSpan w:val="2"/>
          </w:tcPr>
          <w:p>
            <w:pPr>
              <w:jc w:val="center"/>
              <w:spacing w:after="0"/>
              <w:rPr>
                <w:sz w:val="20"/>
                <w:szCs w:val="20"/>
                <w:color w:val="auto"/>
              </w:rPr>
            </w:pPr>
            <w:r>
              <w:rPr>
                <w:rFonts w:ascii="Arial" w:cs="Arial" w:eastAsia="Arial" w:hAnsi="Arial"/>
                <w:sz w:val="17"/>
                <w:szCs w:val="17"/>
                <w:color w:val="auto"/>
              </w:rPr>
              <w:t>$</w:t>
            </w: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244,667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42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December 31, 2017</w:t>
            </w: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26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178"/>
              <w:spacing w:after="0"/>
              <w:rPr>
                <w:sz w:val="20"/>
                <w:szCs w:val="20"/>
                <w:color w:val="auto"/>
              </w:rPr>
            </w:pPr>
            <w:r>
              <w:rPr>
                <w:rFonts w:ascii="Arial" w:cs="Arial" w:eastAsia="Arial" w:hAnsi="Arial"/>
                <w:sz w:val="14"/>
                <w:szCs w:val="14"/>
                <w:b w:val="1"/>
                <w:bCs w:val="1"/>
                <w:color w:val="auto"/>
              </w:rPr>
              <w:t>Level 2</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4"/>
          </w:tcPr>
          <w:p>
            <w:pPr>
              <w:jc w:val="right"/>
              <w:ind w:right="35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6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7"/>
                <w:szCs w:val="17"/>
                <w:color w:val="auto"/>
              </w:rPr>
              <w:t>Assets:</w:t>
            </w:r>
          </w:p>
        </w:tc>
        <w:tc>
          <w:tcPr>
            <w:tcW w:w="3480" w:type="dxa"/>
            <w:vAlign w:val="bottom"/>
            <w:tcBorders>
              <w:top w:val="single" w:sz="8" w:color="CCEEFF"/>
            </w:tcBorders>
            <w:shd w:val="clear" w:color="auto" w:fill="CCEEFF"/>
          </w:tcPr>
          <w:p>
            <w:pPr>
              <w:spacing w:after="0"/>
              <w:rPr>
                <w:sz w:val="14"/>
                <w:szCs w:val="14"/>
                <w:color w:val="auto"/>
              </w:rPr>
            </w:pPr>
          </w:p>
        </w:tc>
        <w:tc>
          <w:tcPr>
            <w:tcW w:w="19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40" w:type="dxa"/>
            <w:vAlign w:val="bottom"/>
            <w:gridSpan w:val="2"/>
          </w:tcPr>
          <w:p>
            <w:pPr>
              <w:ind w:left="340"/>
              <w:spacing w:after="0"/>
              <w:rPr>
                <w:sz w:val="20"/>
                <w:szCs w:val="20"/>
                <w:color w:val="auto"/>
              </w:rPr>
            </w:pPr>
            <w:r>
              <w:rPr>
                <w:rFonts w:ascii="Arial" w:cs="Arial" w:eastAsia="Arial" w:hAnsi="Arial"/>
                <w:sz w:val="17"/>
                <w:szCs w:val="17"/>
                <w:color w:val="auto"/>
              </w:rPr>
              <w:t>Marketable securities</w:t>
            </w:r>
          </w:p>
        </w:tc>
        <w:tc>
          <w:tcPr>
            <w:tcW w:w="20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ind w:left="400"/>
              <w:spacing w:after="0"/>
              <w:rPr>
                <w:sz w:val="20"/>
                <w:szCs w:val="20"/>
                <w:color w:val="auto"/>
              </w:rPr>
            </w:pPr>
            <w:r>
              <w:rPr>
                <w:rFonts w:ascii="Arial" w:cs="Arial" w:eastAsia="Arial" w:hAnsi="Arial"/>
                <w:sz w:val="17"/>
                <w:szCs w:val="17"/>
                <w:color w:val="auto"/>
                <w:w w:val="93"/>
              </w:rPr>
              <w:t>—</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8,258,982</w:t>
            </w: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10"/>
              <w:spacing w:after="0"/>
              <w:rPr>
                <w:sz w:val="20"/>
                <w:szCs w:val="20"/>
                <w:color w:val="auto"/>
              </w:rPr>
            </w:pPr>
            <w:r>
              <w:rPr>
                <w:rFonts w:ascii="Arial" w:cs="Arial" w:eastAsia="Arial" w:hAnsi="Arial"/>
                <w:sz w:val="17"/>
                <w:szCs w:val="17"/>
                <w:color w:val="auto"/>
              </w:rPr>
              <w:t>—</w:t>
            </w:r>
          </w:p>
        </w:tc>
        <w:tc>
          <w:tcPr>
            <w:tcW w:w="240" w:type="dxa"/>
            <w:vAlign w:val="bottom"/>
            <w:gridSpan w:val="2"/>
          </w:tcPr>
          <w:p>
            <w:pPr>
              <w:jc w:val="center"/>
              <w:spacing w:after="0"/>
              <w:rPr>
                <w:sz w:val="20"/>
                <w:szCs w:val="20"/>
                <w:color w:val="auto"/>
              </w:rPr>
            </w:pPr>
            <w:r>
              <w:rPr>
                <w:rFonts w:ascii="Arial" w:cs="Arial" w:eastAsia="Arial" w:hAnsi="Arial"/>
                <w:sz w:val="17"/>
                <w:szCs w:val="17"/>
                <w:color w:val="auto"/>
              </w:rPr>
              <w:t>$</w:t>
            </w: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8,258,982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Liabilities:</w:t>
            </w:r>
          </w:p>
        </w:tc>
        <w:tc>
          <w:tcPr>
            <w:tcW w:w="1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gridSpan w:val="2"/>
          </w:tcPr>
          <w:p>
            <w:pPr>
              <w:ind w:left="340"/>
              <w:spacing w:after="0"/>
              <w:rPr>
                <w:sz w:val="20"/>
                <w:szCs w:val="20"/>
                <w:color w:val="auto"/>
              </w:rPr>
            </w:pPr>
            <w:r>
              <w:rPr>
                <w:rFonts w:ascii="Arial" w:cs="Arial" w:eastAsia="Arial" w:hAnsi="Arial"/>
                <w:sz w:val="17"/>
                <w:szCs w:val="17"/>
                <w:color w:val="auto"/>
              </w:rPr>
              <w:t>Preferred unit warrant</w:t>
            </w:r>
          </w:p>
        </w:tc>
        <w:tc>
          <w:tcPr>
            <w:tcW w:w="20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ind w:left="400"/>
              <w:spacing w:after="0"/>
              <w:rPr>
                <w:sz w:val="20"/>
                <w:szCs w:val="20"/>
                <w:color w:val="auto"/>
              </w:rPr>
            </w:pPr>
            <w:r>
              <w:rPr>
                <w:rFonts w:ascii="Arial" w:cs="Arial" w:eastAsia="Arial" w:hAnsi="Arial"/>
                <w:sz w:val="17"/>
                <w:szCs w:val="17"/>
                <w:color w:val="auto"/>
                <w:w w:val="93"/>
              </w:rPr>
              <w:t>—</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gridSpan w:val="3"/>
          </w:tcPr>
          <w:p>
            <w:pPr>
              <w:jc w:val="right"/>
              <w:spacing w:after="0"/>
              <w:rPr>
                <w:sz w:val="20"/>
                <w:szCs w:val="20"/>
                <w:color w:val="auto"/>
              </w:rPr>
            </w:pPr>
            <w:r>
              <w:rPr>
                <w:rFonts w:ascii="Arial" w:cs="Arial" w:eastAsia="Arial" w:hAnsi="Arial"/>
                <w:sz w:val="17"/>
                <w:szCs w:val="17"/>
                <w:color w:val="auto"/>
              </w:rPr>
              <w:t>50,888</w:t>
            </w:r>
          </w:p>
        </w:tc>
        <w:tc>
          <w:tcPr>
            <w:tcW w:w="280" w:type="dxa"/>
            <w:vAlign w:val="bottom"/>
          </w:tcPr>
          <w:p>
            <w:pPr>
              <w:spacing w:after="0"/>
              <w:rPr>
                <w:sz w:val="18"/>
                <w:szCs w:val="18"/>
                <w:color w:val="auto"/>
              </w:rPr>
            </w:pPr>
          </w:p>
        </w:tc>
        <w:tc>
          <w:tcPr>
            <w:tcW w:w="240" w:type="dxa"/>
            <w:vAlign w:val="bottom"/>
            <w:gridSpan w:val="2"/>
          </w:tcPr>
          <w:p>
            <w:pPr>
              <w:jc w:val="center"/>
              <w:spacing w:after="0"/>
              <w:rPr>
                <w:sz w:val="20"/>
                <w:szCs w:val="20"/>
                <w:color w:val="auto"/>
              </w:rPr>
            </w:pPr>
            <w:r>
              <w:rPr>
                <w:rFonts w:ascii="Arial" w:cs="Arial" w:eastAsia="Arial" w:hAnsi="Arial"/>
                <w:sz w:val="17"/>
                <w:szCs w:val="17"/>
                <w:color w:val="auto"/>
              </w:rPr>
              <w:t>$</w:t>
            </w: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50,888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0680" w:type="dxa"/>
            <w:vAlign w:val="bottom"/>
            <w:gridSpan w:val="20"/>
          </w:tcPr>
          <w:p>
            <w:pPr>
              <w:ind w:left="520"/>
              <w:spacing w:after="0"/>
              <w:rPr>
                <w:sz w:val="20"/>
                <w:szCs w:val="20"/>
                <w:color w:val="auto"/>
              </w:rPr>
            </w:pPr>
            <w:r>
              <w:rPr>
                <w:rFonts w:ascii="Arial" w:cs="Arial" w:eastAsia="Arial" w:hAnsi="Arial"/>
                <w:sz w:val="17"/>
                <w:szCs w:val="17"/>
                <w:color w:val="auto"/>
              </w:rPr>
              <w:t>The following table presents the changes in Level 3 instruments measured on a recurring basis for the six months ended June 30,</w:t>
            </w:r>
          </w:p>
        </w:tc>
        <w:tc>
          <w:tcPr>
            <w:tcW w:w="0" w:type="dxa"/>
            <w:vAlign w:val="bottom"/>
          </w:tcPr>
          <w:p>
            <w:pPr>
              <w:spacing w:after="0"/>
              <w:rPr>
                <w:sz w:val="1"/>
                <w:szCs w:val="1"/>
                <w:color w:val="auto"/>
              </w:rPr>
            </w:pPr>
          </w:p>
        </w:tc>
      </w:tr>
      <w:tr>
        <w:trPr>
          <w:trHeight w:val="210"/>
        </w:trPr>
        <w:tc>
          <w:tcPr>
            <w:tcW w:w="4260" w:type="dxa"/>
            <w:vAlign w:val="bottom"/>
            <w:gridSpan w:val="3"/>
          </w:tcPr>
          <w:p>
            <w:pPr>
              <w:spacing w:after="0"/>
              <w:rPr>
                <w:sz w:val="20"/>
                <w:szCs w:val="20"/>
                <w:color w:val="auto"/>
              </w:rPr>
            </w:pPr>
            <w:r>
              <w:rPr>
                <w:rFonts w:ascii="Arial" w:cs="Arial" w:eastAsia="Arial" w:hAnsi="Arial"/>
                <w:sz w:val="17"/>
                <w:szCs w:val="17"/>
                <w:color w:val="auto"/>
              </w:rPr>
              <w:t>2018 and 2017:</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9"/>
              </w:rPr>
              <w:t>Preferred Unit Warrant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5"/>
          </w:tcPr>
          <w:p>
            <w:pPr>
              <w:jc w:val="center"/>
              <w:ind w:right="421"/>
              <w:spacing w:after="0" w:line="152" w:lineRule="exact"/>
              <w:rPr>
                <w:sz w:val="20"/>
                <w:szCs w:val="20"/>
                <w:color w:val="auto"/>
              </w:rPr>
            </w:pPr>
            <w:r>
              <w:rPr>
                <w:rFonts w:ascii="Arial" w:cs="Arial" w:eastAsia="Arial" w:hAnsi="Arial"/>
                <w:sz w:val="14"/>
                <w:szCs w:val="14"/>
                <w:b w:val="1"/>
                <w:bCs w:val="1"/>
                <w:color w:val="auto"/>
                <w:w w:val="99"/>
              </w:rPr>
              <w:t>June 30,</w:t>
            </w: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01"/>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7"/>
                <w:szCs w:val="17"/>
                <w:color w:val="auto"/>
              </w:rPr>
              <w:t>Balance at beginning of period</w:t>
            </w:r>
          </w:p>
        </w:tc>
        <w:tc>
          <w:tcPr>
            <w:tcW w:w="19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50,888</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$56,759</w:t>
            </w: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40" w:type="dxa"/>
            <w:vAlign w:val="bottom"/>
            <w:gridSpan w:val="2"/>
          </w:tcPr>
          <w:p>
            <w:pPr>
              <w:spacing w:after="0"/>
              <w:rPr>
                <w:sz w:val="20"/>
                <w:szCs w:val="20"/>
                <w:color w:val="auto"/>
              </w:rPr>
            </w:pPr>
            <w:r>
              <w:rPr>
                <w:rFonts w:ascii="Arial" w:cs="Arial" w:eastAsia="Arial" w:hAnsi="Arial"/>
                <w:sz w:val="17"/>
                <w:szCs w:val="17"/>
                <w:color w:val="auto"/>
              </w:rPr>
              <w:t>Change in fair value</w:t>
            </w:r>
          </w:p>
        </w:tc>
        <w:tc>
          <w:tcPr>
            <w:tcW w:w="1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193,779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(2,792)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at end of period</w:t>
            </w:r>
          </w:p>
        </w:tc>
        <w:tc>
          <w:tcPr>
            <w:tcW w:w="1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244,667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53,967</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360" w:right="20" w:firstLine="535"/>
        <w:spacing w:after="0" w:line="245" w:lineRule="auto"/>
        <w:rPr>
          <w:sz w:val="20"/>
          <w:szCs w:val="20"/>
          <w:color w:val="auto"/>
        </w:rPr>
      </w:pPr>
      <w:r>
        <w:rPr>
          <w:rFonts w:ascii="Arial" w:cs="Arial" w:eastAsia="Arial" w:hAnsi="Arial"/>
          <w:sz w:val="17"/>
          <w:szCs w:val="17"/>
          <w:color w:val="auto"/>
        </w:rPr>
        <w:t>Fluctuation in the fair value of the Company’s Series A redeemable convertible preferred units is the primary driver for the change in the fair value of the Preferred Unit Warrant liability. As the fair value of the Series A redeemable convertible preferred units increase, the value to the holder of the instrument generally increases. Additionally, unit price volatility is one of the significant unobservable inputs used in the fair value measurement of the Company’s Preferred Unit Warrant liability. Decreases in expected volatility would generally result in a lower fair value measurement.</w:t>
      </w:r>
    </w:p>
    <w:p>
      <w:pPr>
        <w:spacing w:after="0" w:line="280"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5. Property, Equipment and Leasehold Improvements</w:t>
      </w:r>
    </w:p>
    <w:p>
      <w:pPr>
        <w:spacing w:after="0" w:line="126" w:lineRule="exact"/>
        <w:rPr>
          <w:sz w:val="20"/>
          <w:szCs w:val="20"/>
          <w:color w:val="auto"/>
        </w:rPr>
      </w:pPr>
    </w:p>
    <w:p>
      <w:pPr>
        <w:ind w:left="900"/>
        <w:spacing w:after="0"/>
        <w:rPr>
          <w:sz w:val="20"/>
          <w:szCs w:val="20"/>
          <w:color w:val="auto"/>
        </w:rPr>
      </w:pPr>
      <w:r>
        <w:rPr>
          <w:rFonts w:ascii="Arial" w:cs="Arial" w:eastAsia="Arial" w:hAnsi="Arial"/>
          <w:sz w:val="17"/>
          <w:szCs w:val="17"/>
          <w:color w:val="auto"/>
        </w:rPr>
        <w:t>Depreciation expense totaled $291,504 and $162,555 for the six months ended June 30, 2018 and 2017, respectively.</w:t>
      </w:r>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6. Accrued Expenses</w:t>
      </w:r>
    </w:p>
    <w:p>
      <w:pPr>
        <w:spacing w:after="0" w:line="126"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Accrued expenses consisted of the following at:</w:t>
      </w:r>
    </w:p>
    <w:p>
      <w:pPr>
        <w:spacing w:after="0" w:line="223"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jc w:val="right"/>
              <w:ind w:right="78"/>
              <w:spacing w:after="0"/>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r>
      <w:tr>
        <w:trPr>
          <w:trHeight w:val="169"/>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900" w:type="dxa"/>
            <w:vAlign w:val="bottom"/>
            <w:gridSpan w:val="2"/>
          </w:tcPr>
          <w:p>
            <w:pPr>
              <w:jc w:val="right"/>
              <w:ind w:right="218"/>
              <w:spacing w:after="0"/>
              <w:rPr>
                <w:sz w:val="20"/>
                <w:szCs w:val="20"/>
                <w:color w:val="auto"/>
              </w:rPr>
            </w:pPr>
            <w:r>
              <w:rPr>
                <w:rFonts w:ascii="Arial" w:cs="Arial" w:eastAsia="Arial" w:hAnsi="Arial"/>
                <w:sz w:val="14"/>
                <w:szCs w:val="14"/>
                <w:b w:val="1"/>
                <w:bCs w:val="1"/>
                <w:color w:val="auto"/>
              </w:rPr>
              <w:t>2018</w:t>
            </w:r>
          </w:p>
        </w:tc>
        <w:tc>
          <w:tcPr>
            <w:tcW w:w="1300" w:type="dxa"/>
            <w:vAlign w:val="bottom"/>
            <w:gridSpan w:val="2"/>
          </w:tcPr>
          <w:p>
            <w:pPr>
              <w:jc w:val="right"/>
              <w:ind w:right="238"/>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190"/>
        </w:trPr>
        <w:tc>
          <w:tcPr>
            <w:tcW w:w="20" w:type="dxa"/>
            <w:vAlign w:val="bottom"/>
          </w:tcPr>
          <w:p>
            <w:pPr>
              <w:spacing w:after="0"/>
              <w:rPr>
                <w:sz w:val="16"/>
                <w:szCs w:val="16"/>
                <w:color w:val="auto"/>
              </w:rPr>
            </w:pPr>
          </w:p>
        </w:tc>
        <w:tc>
          <w:tcPr>
            <w:tcW w:w="842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Employee expenses</w:t>
            </w:r>
          </w:p>
        </w:tc>
        <w:tc>
          <w:tcPr>
            <w:tcW w:w="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$1,184,217</w:t>
            </w:r>
          </w:p>
        </w:tc>
        <w:tc>
          <w:tcPr>
            <w:tcW w:w="38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$ 1,047,022</w:t>
            </w:r>
          </w:p>
        </w:tc>
        <w:tc>
          <w:tcPr>
            <w:tcW w:w="60" w:type="dxa"/>
            <w:vAlign w:val="bottom"/>
            <w:tcBorders>
              <w:top w:val="single" w:sz="8" w:color="CCEEFF"/>
            </w:tcBorders>
            <w:shd w:val="clear" w:color="auto" w:fill="CCEEFF"/>
          </w:tcPr>
          <w:p>
            <w:pPr>
              <w:spacing w:after="0"/>
              <w:rPr>
                <w:sz w:val="16"/>
                <w:szCs w:val="16"/>
                <w:color w:val="auto"/>
              </w:rPr>
            </w:pPr>
          </w:p>
        </w:tc>
      </w:tr>
      <w:tr>
        <w:trPr>
          <w:trHeight w:val="197"/>
        </w:trPr>
        <w:tc>
          <w:tcPr>
            <w:tcW w:w="20" w:type="dxa"/>
            <w:vAlign w:val="bottom"/>
          </w:tcPr>
          <w:p>
            <w:pPr>
              <w:spacing w:after="0"/>
              <w:rPr>
                <w:sz w:val="17"/>
                <w:szCs w:val="17"/>
                <w:color w:val="auto"/>
              </w:rPr>
            </w:pPr>
          </w:p>
        </w:tc>
        <w:tc>
          <w:tcPr>
            <w:tcW w:w="8420" w:type="dxa"/>
            <w:vAlign w:val="bottom"/>
          </w:tcPr>
          <w:p>
            <w:pPr>
              <w:spacing w:after="0"/>
              <w:rPr>
                <w:sz w:val="20"/>
                <w:szCs w:val="20"/>
                <w:color w:val="auto"/>
              </w:rPr>
            </w:pPr>
            <w:r>
              <w:rPr>
                <w:rFonts w:ascii="Arial" w:cs="Arial" w:eastAsia="Arial" w:hAnsi="Arial"/>
                <w:sz w:val="17"/>
                <w:szCs w:val="17"/>
                <w:color w:val="auto"/>
              </w:rPr>
              <w:t>Research and development expenses</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655,517</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1,982,525</w:t>
            </w:r>
          </w:p>
        </w:tc>
        <w:tc>
          <w:tcPr>
            <w:tcW w:w="6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7"/>
                <w:szCs w:val="17"/>
                <w:color w:val="auto"/>
              </w:rPr>
              <w:t>Professional fees and other</w:t>
            </w:r>
          </w:p>
        </w:tc>
        <w:tc>
          <w:tcPr>
            <w:tcW w:w="2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145,070</w:t>
            </w:r>
          </w:p>
        </w:tc>
        <w:tc>
          <w:tcPr>
            <w:tcW w:w="38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516,389</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42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1,984,804</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$ 3,545,936</w:t>
            </w:r>
          </w:p>
        </w:tc>
        <w:tc>
          <w:tcPr>
            <w:tcW w:w="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7"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7. Long-Term Debt</w:t>
      </w:r>
    </w:p>
    <w:p>
      <w:pPr>
        <w:spacing w:after="0" w:line="126" w:lineRule="exact"/>
        <w:rPr>
          <w:sz w:val="20"/>
          <w:szCs w:val="20"/>
          <w:color w:val="auto"/>
        </w:rPr>
      </w:pPr>
    </w:p>
    <w:p>
      <w:pPr>
        <w:ind w:left="360" w:right="900" w:firstLine="535"/>
        <w:spacing w:after="0" w:line="259" w:lineRule="auto"/>
        <w:rPr>
          <w:sz w:val="20"/>
          <w:szCs w:val="20"/>
          <w:color w:val="auto"/>
        </w:rPr>
      </w:pPr>
      <w:r>
        <w:rPr>
          <w:rFonts w:ascii="Arial" w:cs="Arial" w:eastAsia="Arial" w:hAnsi="Arial"/>
          <w:sz w:val="17"/>
          <w:szCs w:val="17"/>
          <w:color w:val="auto"/>
        </w:rPr>
        <w:t>In August 2013, Arvinas, Inc. entered into a Loan Agreement (Loan) and a Stock Subscription Warrant, with Connecticut Innovations, Inc. (CII). Under the Loan, the Company can draw up to</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F-33</w:t>
      </w:r>
    </w:p>
    <w:p>
      <w:pPr>
        <w:sectPr>
          <w:pgSz w:w="11900" w:h="16838" w:orient="portrait"/>
          <w:cols w:equalWidth="0" w:num="1">
            <w:col w:w="11060"/>
          </w:cols>
          <w:pgMar w:left="240" w:top="450" w:right="599" w:bottom="1440" w:gutter="0" w:footer="0" w:header="0"/>
        </w:sectPr>
      </w:pPr>
    </w:p>
    <w:bookmarkStart w:id="234" w:name="page235"/>
    <w:bookmarkEnd w:id="2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40"/>
        <w:spacing w:after="0" w:line="244" w:lineRule="auto"/>
        <w:rPr>
          <w:sz w:val="20"/>
          <w:szCs w:val="20"/>
          <w:color w:val="auto"/>
        </w:rPr>
      </w:pPr>
      <w:r>
        <w:rPr>
          <w:rFonts w:ascii="Arial" w:cs="Arial" w:eastAsia="Arial" w:hAnsi="Arial"/>
          <w:sz w:val="17"/>
          <w:szCs w:val="17"/>
          <w:color w:val="auto"/>
        </w:rPr>
        <w:t>$750,000 for the purpose of purchasing laboratory equipment, information technology equipment and leasehold improvements. Leasehold improvements are limited to $100,000. Interest on the Loan is compounded on a monthly basis at a rate of 7.50% per annum and is required to be paid on a monthly basis beginning on the date of the first draw of funds for 10 months, then with principal payments beginning on June 1, 2015 and payable monthly until the maturity date of July 31, 2019. The Company has the ability to prepay the amount due at any time prior to the maturity date without premium or penalty. The Loan is secured by substantially all of the Company’s assets. As of June 30, 2018, and December 31, 2017, the amount outstanding under the Loan was $258,180 and $343,500, respectively. During the six months ended June 30, 2018 and 2017, interest expense on the Loan was $11,558 and $17,704, respectively.</w:t>
      </w:r>
    </w:p>
    <w:p>
      <w:pPr>
        <w:spacing w:after="0" w:line="195" w:lineRule="exact"/>
        <w:rPr>
          <w:sz w:val="20"/>
          <w:szCs w:val="20"/>
          <w:color w:val="auto"/>
        </w:rPr>
      </w:pPr>
    </w:p>
    <w:p>
      <w:pPr>
        <w:ind w:left="360" w:firstLine="535"/>
        <w:spacing w:after="0" w:line="243" w:lineRule="auto"/>
        <w:rPr>
          <w:sz w:val="20"/>
          <w:szCs w:val="20"/>
          <w:color w:val="auto"/>
        </w:rPr>
      </w:pPr>
      <w:r>
        <w:rPr>
          <w:rFonts w:ascii="Arial" w:cs="Arial" w:eastAsia="Arial" w:hAnsi="Arial"/>
          <w:sz w:val="17"/>
          <w:szCs w:val="17"/>
          <w:color w:val="auto"/>
        </w:rPr>
        <w:t>In connection with the issuance of the Loan, and as additional consideration, Arvinas, Inc. granted CII a warrant to purchase 110,116 shares of Arvinas, Inc. Series A Preferred Stock at a purchase price of $0.6811 per share, with a term of 7 years from the date of issuance (CII Series A Preferred Stock Warrant). Effective January 1, 2015, the CII Series A Preferred Stock Warrant was exchanged for a warrant to purchase 110,116 units of the Company’s Series A redeemable convertible preferred units (CII Series A Preferred Unit Warrant). The fair value of the CII Series A Preferred Unit Warrant of $ 61,796 was determined using the Black-Scholes option pricing model and was recorded as a debt discount and is being amortized as non-cash interest expense over the term of the Loan. At June 30, 2018 and December 31, 2017, the total unamortized debt discount on the Loan totaled $13,389 and $19,569, respectively. Interest expense recorded related to the amortization of the debt discount in each of the six months ended June 30, 2018 and 2017 was $ 6,180. The Company evaluated the CII Series A Preferred Unit Warrant issued under authoritative guidance and determined that the CII Series A Preferred Unit Warrant does not meet the conditions to be classified as equity and has classified the CII Series A Preferred Unit Warrant as a liability at fair value on the accompanying balance sheets.</w:t>
      </w:r>
    </w:p>
    <w:p>
      <w:pPr>
        <w:spacing w:after="0" w:line="196" w:lineRule="exact"/>
        <w:rPr>
          <w:sz w:val="20"/>
          <w:szCs w:val="20"/>
          <w:color w:val="auto"/>
        </w:rPr>
      </w:pPr>
    </w:p>
    <w:p>
      <w:pPr>
        <w:ind w:left="360" w:right="380" w:firstLine="535"/>
        <w:spacing w:after="0" w:line="259" w:lineRule="auto"/>
        <w:rPr>
          <w:sz w:val="20"/>
          <w:szCs w:val="20"/>
          <w:color w:val="auto"/>
        </w:rPr>
      </w:pPr>
      <w:r>
        <w:rPr>
          <w:rFonts w:ascii="Arial" w:cs="Arial" w:eastAsia="Arial" w:hAnsi="Arial"/>
          <w:sz w:val="17"/>
          <w:szCs w:val="17"/>
          <w:color w:val="auto"/>
        </w:rPr>
        <w:t>The fair value of the CII Series A Preferred Unit Warrant was determined using the Black-Scholes option pricing model with the following assumptions:</w:t>
      </w:r>
    </w:p>
    <w:p>
      <w:pPr>
        <w:spacing w:after="0" w:line="193"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3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June 30,</w:t>
            </w:r>
          </w:p>
        </w:tc>
        <w:tc>
          <w:tcPr>
            <w:tcW w:w="1480" w:type="dxa"/>
            <w:vAlign w:val="bottom"/>
            <w:gridSpan w:val="4"/>
          </w:tcPr>
          <w:p>
            <w:pPr>
              <w:ind w:left="360"/>
              <w:spacing w:after="0"/>
              <w:rPr>
                <w:sz w:val="20"/>
                <w:szCs w:val="20"/>
                <w:color w:val="auto"/>
              </w:rPr>
            </w:pPr>
            <w:r>
              <w:rPr>
                <w:rFonts w:ascii="Arial" w:cs="Arial" w:eastAsia="Arial" w:hAnsi="Arial"/>
                <w:sz w:val="14"/>
                <w:szCs w:val="14"/>
                <w:b w:val="1"/>
                <w:bCs w:val="1"/>
                <w:color w:val="auto"/>
              </w:rPr>
              <w:t>December 31,</w:t>
            </w:r>
          </w:p>
        </w:tc>
      </w:tr>
      <w:tr>
        <w:trPr>
          <w:trHeight w:val="169"/>
        </w:trPr>
        <w:tc>
          <w:tcPr>
            <w:tcW w:w="20" w:type="dxa"/>
            <w:vAlign w:val="bottom"/>
          </w:tcPr>
          <w:p>
            <w:pPr>
              <w:spacing w:after="0"/>
              <w:rPr>
                <w:sz w:val="14"/>
                <w:szCs w:val="14"/>
                <w:color w:val="auto"/>
              </w:rPr>
            </w:pPr>
          </w:p>
        </w:tc>
        <w:tc>
          <w:tcPr>
            <w:tcW w:w="684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r>
      <w:tr>
        <w:trPr>
          <w:trHeight w:val="190"/>
        </w:trPr>
        <w:tc>
          <w:tcPr>
            <w:tcW w:w="20" w:type="dxa"/>
            <w:vAlign w:val="bottom"/>
          </w:tcPr>
          <w:p>
            <w:pPr>
              <w:spacing w:after="0"/>
              <w:rPr>
                <w:sz w:val="16"/>
                <w:szCs w:val="16"/>
                <w:color w:val="auto"/>
              </w:rPr>
            </w:pPr>
          </w:p>
        </w:tc>
        <w:tc>
          <w:tcPr>
            <w:tcW w:w="68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Expected volatility</w:t>
            </w:r>
          </w:p>
        </w:tc>
        <w:tc>
          <w:tcPr>
            <w:tcW w:w="13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70%</w:t>
            </w: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100%</w:t>
            </w:r>
          </w:p>
        </w:tc>
      </w:tr>
      <w:tr>
        <w:trPr>
          <w:trHeight w:val="197"/>
        </w:trPr>
        <w:tc>
          <w:tcPr>
            <w:tcW w:w="2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Expected term (years)</w:t>
            </w:r>
          </w:p>
        </w:tc>
        <w:tc>
          <w:tcPr>
            <w:tcW w:w="1860" w:type="dxa"/>
            <w:vAlign w:val="bottom"/>
            <w:gridSpan w:val="2"/>
          </w:tcPr>
          <w:p>
            <w:pPr>
              <w:jc w:val="right"/>
              <w:spacing w:after="0"/>
              <w:rPr>
                <w:sz w:val="20"/>
                <w:szCs w:val="20"/>
                <w:color w:val="auto"/>
              </w:rPr>
            </w:pPr>
            <w:r>
              <w:rPr>
                <w:rFonts w:ascii="Arial" w:cs="Arial" w:eastAsia="Arial" w:hAnsi="Arial"/>
                <w:sz w:val="17"/>
                <w:szCs w:val="17"/>
                <w:color w:val="auto"/>
              </w:rPr>
              <w:t>2.17</w:t>
            </w: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2.67</w:t>
            </w:r>
          </w:p>
        </w:tc>
        <w:tc>
          <w:tcPr>
            <w:tcW w:w="20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Risk free interest rate</w:t>
            </w:r>
          </w:p>
        </w:tc>
        <w:tc>
          <w:tcPr>
            <w:tcW w:w="236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2.53%</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1.91%</w:t>
            </w:r>
          </w:p>
        </w:tc>
      </w:tr>
      <w:tr>
        <w:trPr>
          <w:trHeight w:val="197"/>
        </w:trPr>
        <w:tc>
          <w:tcPr>
            <w:tcW w:w="2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2360" w:type="dxa"/>
            <w:vAlign w:val="bottom"/>
            <w:gridSpan w:val="3"/>
          </w:tcPr>
          <w:p>
            <w:pPr>
              <w:jc w:val="right"/>
              <w:ind w:right="360"/>
              <w:spacing w:after="0"/>
              <w:rPr>
                <w:sz w:val="20"/>
                <w:szCs w:val="20"/>
                <w:color w:val="auto"/>
              </w:rPr>
            </w:pPr>
            <w:r>
              <w:rPr>
                <w:rFonts w:ascii="Arial" w:cs="Arial" w:eastAsia="Arial" w:hAnsi="Arial"/>
                <w:sz w:val="17"/>
                <w:szCs w:val="17"/>
                <w:color w:val="auto"/>
              </w:rPr>
              <w:t>0%</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0%</w:t>
            </w:r>
          </w:p>
        </w:tc>
      </w:tr>
      <w:tr>
        <w:trPr>
          <w:trHeight w:val="197"/>
        </w:trPr>
        <w:tc>
          <w:tcPr>
            <w:tcW w:w="2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Fair value of underlying Series A redeemable convertible preferred units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2.93</w:t>
            </w:r>
          </w:p>
        </w:tc>
        <w:tc>
          <w:tcPr>
            <w:tcW w:w="5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0.98</w:t>
            </w:r>
          </w:p>
        </w:tc>
        <w:tc>
          <w:tcPr>
            <w:tcW w:w="200" w:type="dxa"/>
            <w:vAlign w:val="bottom"/>
            <w:shd w:val="clear" w:color="auto" w:fill="CCEEFF"/>
          </w:tcPr>
          <w:p>
            <w:pPr>
              <w:spacing w:after="0"/>
              <w:rPr>
                <w:sz w:val="17"/>
                <w:szCs w:val="17"/>
                <w:color w:val="auto"/>
              </w:rPr>
            </w:pPr>
          </w:p>
        </w:tc>
      </w:tr>
    </w:tbl>
    <w:p>
      <w:pPr>
        <w:spacing w:after="0" w:line="209" w:lineRule="exact"/>
        <w:rPr>
          <w:sz w:val="20"/>
          <w:szCs w:val="20"/>
          <w:color w:val="auto"/>
        </w:rPr>
      </w:pPr>
    </w:p>
    <w:p>
      <w:pPr>
        <w:ind w:left="360" w:right="100" w:firstLine="535"/>
        <w:spacing w:after="0" w:line="250" w:lineRule="auto"/>
        <w:rPr>
          <w:sz w:val="20"/>
          <w:szCs w:val="20"/>
          <w:color w:val="auto"/>
        </w:rPr>
      </w:pPr>
      <w:r>
        <w:rPr>
          <w:rFonts w:ascii="Arial" w:cs="Arial" w:eastAsia="Arial" w:hAnsi="Arial"/>
          <w:sz w:val="17"/>
          <w:szCs w:val="17"/>
          <w:color w:val="auto"/>
        </w:rPr>
        <w:t>Effective January 1, 2015, the CII Series A Preferred Stock Warrant was exchanged for a warrant to purchase 110,116 units of the Company’s Series A redeemable convertible preferred units (CII Series A Preferred Unit Warrant). In July 2018, CII exercised the CII Series A Preferred Unit Warrant.</w:t>
      </w:r>
    </w:p>
    <w:p>
      <w:pPr>
        <w:spacing w:after="0" w:line="189"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Anticipated future minimum payments on long-term debt, excluding the discount on debt of $13,389, for the years ending</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December 31 are:</w:t>
      </w:r>
    </w:p>
    <w:p>
      <w:pPr>
        <w:spacing w:after="0" w:line="237" w:lineRule="exact"/>
        <w:rPr>
          <w:sz w:val="20"/>
          <w:szCs w:val="20"/>
          <w:color w:val="auto"/>
        </w:rPr>
      </w:pPr>
    </w:p>
    <w:tbl>
      <w:tblPr>
        <w:tblLayout w:type="fixed"/>
        <w:tblInd w:w="3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2018</w:t>
            </w:r>
          </w:p>
        </w:tc>
        <w:tc>
          <w:tcPr>
            <w:tcW w:w="4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88,570</w:t>
            </w:r>
          </w:p>
        </w:tc>
        <w:tc>
          <w:tcPr>
            <w:tcW w:w="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Arial" w:cs="Arial" w:eastAsia="Arial" w:hAnsi="Arial"/>
                <w:sz w:val="17"/>
                <w:szCs w:val="17"/>
                <w:color w:val="auto"/>
              </w:rPr>
              <w:t>2019</w:t>
            </w:r>
          </w:p>
        </w:tc>
        <w:tc>
          <w:tcPr>
            <w:tcW w:w="47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169,610</w:t>
            </w:r>
          </w:p>
        </w:tc>
        <w:tc>
          <w:tcPr>
            <w:tcW w:w="4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48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258,180</w:t>
            </w:r>
          </w:p>
        </w:tc>
        <w:tc>
          <w:tcPr>
            <w:tcW w:w="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2" w:lineRule="exact"/>
        <w:rPr>
          <w:sz w:val="20"/>
          <w:szCs w:val="20"/>
          <w:color w:val="auto"/>
        </w:rPr>
      </w:pPr>
    </w:p>
    <w:p>
      <w:pPr>
        <w:ind w:left="360" w:right="180" w:firstLine="535"/>
        <w:spacing w:after="0" w:line="259" w:lineRule="auto"/>
        <w:rPr>
          <w:sz w:val="20"/>
          <w:szCs w:val="20"/>
          <w:color w:val="auto"/>
        </w:rPr>
      </w:pPr>
      <w:r>
        <w:rPr>
          <w:rFonts w:ascii="Arial" w:cs="Arial" w:eastAsia="Arial" w:hAnsi="Arial"/>
          <w:sz w:val="17"/>
          <w:szCs w:val="17"/>
          <w:color w:val="auto"/>
        </w:rPr>
        <w:t>In January 2014, Arvinas, Inc. entered into an Assistance Agreement with the State of Connecticut (2014 Assistance Agreement). Under the terms of the 2014 Assistance Agreement, the</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F-34</w:t>
      </w:r>
    </w:p>
    <w:p>
      <w:pPr>
        <w:sectPr>
          <w:pgSz w:w="11900" w:h="16838" w:orient="portrait"/>
          <w:cols w:equalWidth="0" w:num="1">
            <w:col w:w="11060"/>
          </w:cols>
          <w:pgMar w:left="240" w:top="450" w:right="599" w:bottom="1440" w:gutter="0" w:footer="0" w:header="0"/>
        </w:sectPr>
      </w:pPr>
    </w:p>
    <w:bookmarkStart w:id="235" w:name="page236"/>
    <w:bookmarkEnd w:id="2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60"/>
        <w:spacing w:after="0" w:line="244" w:lineRule="auto"/>
        <w:rPr>
          <w:sz w:val="20"/>
          <w:szCs w:val="20"/>
          <w:color w:val="auto"/>
        </w:rPr>
      </w:pPr>
      <w:r>
        <w:rPr>
          <w:rFonts w:ascii="Arial" w:cs="Arial" w:eastAsia="Arial" w:hAnsi="Arial"/>
          <w:sz w:val="17"/>
          <w:szCs w:val="17"/>
          <w:color w:val="auto"/>
        </w:rPr>
        <w:t>Company could borrow from the State of Connecticut if it meets minimum financing criteria and creates a minimum number of full time jobs in the State of Connecticut in three separate tranches. Each of the three tranches were forgivable if the Company maintained a minimum number of full time jobs in the State of Connecticut for a minimum period at the minimum annual salary as defined in the 2014 Assistance Agreement. The 2014 Assistance Agreement requires that the Company be located in the State of Connecticut through January 2024 with a default penalty of repayment of the full original funding amount of $2.5 million plus liquidated damages of 7.5%. Each of the three tranches was forgiven and, in the period forgiven, the amount forgiven was recorded as a component of other income, as it is reasonably assured that the Company will comply with the location requirement.</w:t>
      </w:r>
    </w:p>
    <w:p>
      <w:pPr>
        <w:spacing w:after="0" w:line="195" w:lineRule="exact"/>
        <w:rPr>
          <w:sz w:val="20"/>
          <w:szCs w:val="20"/>
          <w:color w:val="auto"/>
        </w:rPr>
      </w:pPr>
    </w:p>
    <w:p>
      <w:pPr>
        <w:ind w:left="360" w:right="20" w:firstLine="535"/>
        <w:spacing w:after="0" w:line="243" w:lineRule="auto"/>
        <w:rPr>
          <w:sz w:val="20"/>
          <w:szCs w:val="20"/>
          <w:color w:val="auto"/>
        </w:rPr>
      </w:pPr>
      <w:r>
        <w:rPr>
          <w:rFonts w:ascii="Arial" w:cs="Arial" w:eastAsia="Arial" w:hAnsi="Arial"/>
          <w:sz w:val="17"/>
          <w:szCs w:val="17"/>
          <w:color w:val="auto"/>
        </w:rPr>
        <w:t>In June 2018, Arvinas, Inc. entered into an Assistance Agreement with the State of Connecticut (2018 Assistance Agreement) to provide funding for the expansion and renovation of laboratory and office space (Project). Under the terms of the 2018 Assistance Agreement, the Company could borrow from the State of Connecticut a maximum of $2.0 million, provided that the funding does not exceed more than 50% of the total Project costs. Borrowings under the 2018 Assistance Agreement bear an interest rate of 3.25% per annum and interest payments will be required for the first 60 months from the funding date. Thereafter, the loan begins to fully amortize through month 120, maturing in June 2028. According to the terms of the 2018 Assistance Agreement, up to $1.0 million of the funding can be forgiven if the Company meets certain employment conditions, as defined in the agreement. The Company may also be required to prepay a portion of the loan if the employment conditions are not met. The 2018 Assistance Agreement requires that the Company be located in the State of Connecticut through June 2028 with a default penalty of repayment of the full original funding amount of $2.0 million plus liquidated damages of 7.5% of the total amount of funding received. There were no outstanding amounts as of June 30, 2018.</w:t>
      </w:r>
    </w:p>
    <w:p>
      <w:pPr>
        <w:spacing w:after="0" w:line="282"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8. Incentive Unit Plan</w:t>
      </w:r>
    </w:p>
    <w:p>
      <w:pPr>
        <w:spacing w:after="0" w:line="126" w:lineRule="exact"/>
        <w:rPr>
          <w:sz w:val="20"/>
          <w:szCs w:val="20"/>
          <w:color w:val="auto"/>
        </w:rPr>
      </w:pPr>
    </w:p>
    <w:p>
      <w:pPr>
        <w:jc w:val="both"/>
        <w:ind w:left="360" w:firstLine="535"/>
        <w:spacing w:after="0" w:line="250" w:lineRule="auto"/>
        <w:rPr>
          <w:sz w:val="20"/>
          <w:szCs w:val="20"/>
          <w:color w:val="auto"/>
        </w:rPr>
      </w:pPr>
      <w:r>
        <w:rPr>
          <w:rFonts w:ascii="Arial" w:cs="Arial" w:eastAsia="Arial" w:hAnsi="Arial"/>
          <w:sz w:val="17"/>
          <w:szCs w:val="17"/>
          <w:color w:val="auto"/>
        </w:rPr>
        <w:t>In the Fourth Amendment to the Company’s Plan adopted in March 2018, the Company is authorized to issue up to an aggregate of 6,199,477 incentive units pursuant to the Plan. Generally, incentive units are granted at no less than fair value as determined by the board of managers and have vesting periods ranging from one to four years.</w:t>
      </w:r>
    </w:p>
    <w:p>
      <w:pPr>
        <w:spacing w:after="0" w:line="189" w:lineRule="exact"/>
        <w:rPr>
          <w:sz w:val="20"/>
          <w:szCs w:val="20"/>
          <w:color w:val="auto"/>
        </w:rPr>
      </w:pPr>
    </w:p>
    <w:p>
      <w:pPr>
        <w:jc w:val="both"/>
        <w:ind w:left="360" w:right="80" w:firstLine="535"/>
        <w:spacing w:after="0" w:line="259" w:lineRule="auto"/>
        <w:rPr>
          <w:sz w:val="20"/>
          <w:szCs w:val="20"/>
          <w:color w:val="auto"/>
        </w:rPr>
      </w:pPr>
      <w:r>
        <w:rPr>
          <w:rFonts w:ascii="Arial" w:cs="Arial" w:eastAsia="Arial" w:hAnsi="Arial"/>
          <w:sz w:val="17"/>
          <w:szCs w:val="17"/>
          <w:color w:val="auto"/>
        </w:rPr>
        <w:t>During the six months ended June 30, 2018, the Company granted 1,669,110 incentive units to employees and directors under the Plan. The weighted average fair value of incentive units granted to employees in the six months ended June 30, 2018 was $4.54 per unit.</w:t>
      </w:r>
    </w:p>
    <w:p>
      <w:pPr>
        <w:spacing w:after="0" w:line="181" w:lineRule="exact"/>
        <w:rPr>
          <w:sz w:val="20"/>
          <w:szCs w:val="20"/>
          <w:color w:val="auto"/>
        </w:rPr>
      </w:pPr>
    </w:p>
    <w:p>
      <w:pPr>
        <w:ind w:left="360" w:right="80" w:firstLine="535"/>
        <w:spacing w:after="0" w:line="250" w:lineRule="auto"/>
        <w:rPr>
          <w:sz w:val="20"/>
          <w:szCs w:val="20"/>
          <w:color w:val="auto"/>
        </w:rPr>
      </w:pPr>
      <w:r>
        <w:rPr>
          <w:rFonts w:ascii="Arial" w:cs="Arial" w:eastAsia="Arial" w:hAnsi="Arial"/>
          <w:sz w:val="17"/>
          <w:szCs w:val="17"/>
          <w:color w:val="auto"/>
        </w:rPr>
        <w:t>During the six months ended June 30, 2018, the Company recognized compensation expense of $563,128 relating to the issuance of employee and director incentive units, and at June 30, 2018, there was $5,086,279 of compensation expense that is expected to be amortized over a weighted average period of approximately two years.</w:t>
      </w:r>
    </w:p>
    <w:p>
      <w:pPr>
        <w:spacing w:after="0" w:line="189" w:lineRule="exact"/>
        <w:rPr>
          <w:sz w:val="20"/>
          <w:szCs w:val="20"/>
          <w:color w:val="auto"/>
        </w:rPr>
      </w:pPr>
    </w:p>
    <w:p>
      <w:pPr>
        <w:ind w:left="360" w:right="80" w:firstLine="535"/>
        <w:spacing w:after="0" w:line="247" w:lineRule="auto"/>
        <w:rPr>
          <w:sz w:val="20"/>
          <w:szCs w:val="20"/>
          <w:color w:val="auto"/>
        </w:rPr>
      </w:pPr>
      <w:r>
        <w:rPr>
          <w:rFonts w:ascii="Arial" w:cs="Arial" w:eastAsia="Arial" w:hAnsi="Arial"/>
          <w:sz w:val="17"/>
          <w:szCs w:val="17"/>
          <w:color w:val="auto"/>
        </w:rPr>
        <w:t>During the six months ended June 30, 2018, the Company did not grant any incentive units to consultants under the Plan. During the six months ended June 30, 2018, the Company recognized compensation expense of $563,475 relating to previously issued consultant incentive units and, at June 30, 2018, there was $47,436 of compensation expense remaining to be amortized over a weighted average period of less than one year.</w:t>
      </w:r>
    </w:p>
    <w:p>
      <w:pPr>
        <w:spacing w:after="0" w:line="12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F-35</w:t>
      </w:r>
    </w:p>
    <w:p>
      <w:pPr>
        <w:sectPr>
          <w:pgSz w:w="11900" w:h="16838" w:orient="portrait"/>
          <w:cols w:equalWidth="0" w:num="1">
            <w:col w:w="11060"/>
          </w:cols>
          <w:pgMar w:left="240" w:top="450" w:right="599" w:bottom="1440" w:gutter="0" w:footer="0" w:header="0"/>
        </w:sectPr>
      </w:pPr>
    </w:p>
    <w:bookmarkStart w:id="236" w:name="page237"/>
    <w:bookmarkEnd w:id="2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180" w:firstLine="535"/>
        <w:spacing w:after="0" w:line="259" w:lineRule="auto"/>
        <w:rPr>
          <w:sz w:val="20"/>
          <w:szCs w:val="20"/>
          <w:color w:val="auto"/>
        </w:rPr>
      </w:pPr>
      <w:r>
        <w:rPr>
          <w:rFonts w:ascii="Arial" w:cs="Arial" w:eastAsia="Arial" w:hAnsi="Arial"/>
          <w:sz w:val="17"/>
          <w:szCs w:val="17"/>
          <w:color w:val="auto"/>
        </w:rPr>
        <w:t>The fair value of the incentive common units granted during the six months ended June 30, 2018 and 2017 was determined using the Black-Scholes option pricing model with the following assumptions:</w:t>
      </w:r>
    </w:p>
    <w:p>
      <w:pPr>
        <w:spacing w:after="0" w:line="193"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11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99"/>
              </w:rPr>
              <w:t>June 30,</w:t>
            </w:r>
          </w:p>
        </w:tc>
        <w:tc>
          <w:tcPr>
            <w:tcW w:w="11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June 30,</w:t>
            </w:r>
          </w:p>
        </w:tc>
      </w:tr>
      <w:tr>
        <w:trPr>
          <w:trHeight w:val="169"/>
        </w:trPr>
        <w:tc>
          <w:tcPr>
            <w:tcW w:w="20" w:type="dxa"/>
            <w:vAlign w:val="bottom"/>
          </w:tcPr>
          <w:p>
            <w:pPr>
              <w:spacing w:after="0"/>
              <w:rPr>
                <w:sz w:val="14"/>
                <w:szCs w:val="14"/>
                <w:color w:val="auto"/>
              </w:rPr>
            </w:pPr>
          </w:p>
        </w:tc>
        <w:tc>
          <w:tcPr>
            <w:tcW w:w="8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r>
      <w:tr>
        <w:trPr>
          <w:trHeight w:val="190"/>
        </w:trPr>
        <w:tc>
          <w:tcPr>
            <w:tcW w:w="20" w:type="dxa"/>
            <w:vAlign w:val="bottom"/>
          </w:tcPr>
          <w:p>
            <w:pPr>
              <w:spacing w:after="0"/>
              <w:rPr>
                <w:sz w:val="16"/>
                <w:szCs w:val="16"/>
                <w:color w:val="auto"/>
              </w:rPr>
            </w:pPr>
          </w:p>
        </w:tc>
        <w:tc>
          <w:tcPr>
            <w:tcW w:w="8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Expected volatility</w:t>
            </w:r>
          </w:p>
        </w:tc>
        <w:tc>
          <w:tcPr>
            <w:tcW w:w="1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66-71%</w:t>
            </w:r>
          </w:p>
        </w:tc>
        <w:tc>
          <w:tcPr>
            <w:tcW w:w="3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76-78%</w:t>
            </w:r>
          </w:p>
        </w:tc>
      </w:tr>
      <w:tr>
        <w:trPr>
          <w:trHeight w:val="196"/>
        </w:trPr>
        <w:tc>
          <w:tcPr>
            <w:tcW w:w="20" w:type="dxa"/>
            <w:vAlign w:val="bottom"/>
          </w:tcPr>
          <w:p>
            <w:pPr>
              <w:spacing w:after="0"/>
              <w:rPr>
                <w:sz w:val="17"/>
                <w:szCs w:val="17"/>
                <w:color w:val="auto"/>
              </w:rPr>
            </w:pPr>
          </w:p>
        </w:tc>
        <w:tc>
          <w:tcPr>
            <w:tcW w:w="8580" w:type="dxa"/>
            <w:vAlign w:val="bottom"/>
            <w:gridSpan w:val="2"/>
          </w:tcPr>
          <w:p>
            <w:pPr>
              <w:spacing w:after="0"/>
              <w:rPr>
                <w:sz w:val="20"/>
                <w:szCs w:val="20"/>
                <w:color w:val="auto"/>
              </w:rPr>
            </w:pPr>
            <w:r>
              <w:rPr>
                <w:rFonts w:ascii="Arial" w:cs="Arial" w:eastAsia="Arial" w:hAnsi="Arial"/>
                <w:sz w:val="17"/>
                <w:szCs w:val="17"/>
                <w:color w:val="auto"/>
              </w:rPr>
              <w:t>Expected term (years)</w:t>
            </w:r>
          </w:p>
        </w:tc>
        <w:tc>
          <w:tcPr>
            <w:tcW w:w="380" w:type="dxa"/>
            <w:vAlign w:val="bottom"/>
          </w:tcPr>
          <w:p>
            <w:pPr>
              <w:jc w:val="right"/>
              <w:spacing w:after="0"/>
              <w:rPr>
                <w:sz w:val="20"/>
                <w:szCs w:val="20"/>
                <w:color w:val="auto"/>
              </w:rPr>
            </w:pPr>
            <w:r>
              <w:rPr>
                <w:rFonts w:ascii="Arial" w:cs="Arial" w:eastAsia="Arial" w:hAnsi="Arial"/>
                <w:sz w:val="17"/>
                <w:szCs w:val="17"/>
                <w:color w:val="auto"/>
              </w:rPr>
              <w:t>5.6</w:t>
            </w:r>
          </w:p>
        </w:tc>
        <w:tc>
          <w:tcPr>
            <w:tcW w:w="62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1.5 –</w:t>
            </w:r>
          </w:p>
        </w:tc>
      </w:tr>
      <w:tr>
        <w:trPr>
          <w:trHeight w:val="197"/>
        </w:trPr>
        <w:tc>
          <w:tcPr>
            <w:tcW w:w="20" w:type="dxa"/>
            <w:vAlign w:val="bottom"/>
          </w:tcPr>
          <w:p>
            <w:pPr>
              <w:spacing w:after="0"/>
              <w:rPr>
                <w:sz w:val="17"/>
                <w:szCs w:val="17"/>
                <w:color w:val="auto"/>
              </w:rPr>
            </w:pPr>
          </w:p>
        </w:tc>
        <w:tc>
          <w:tcPr>
            <w:tcW w:w="8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6.1</w:t>
            </w:r>
          </w:p>
        </w:tc>
        <w:tc>
          <w:tcPr>
            <w:tcW w:w="5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6.1</w:t>
            </w:r>
          </w:p>
        </w:tc>
        <w:tc>
          <w:tcPr>
            <w:tcW w:w="2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Risk free interest rate</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6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 –</w:t>
            </w:r>
          </w:p>
        </w:tc>
      </w:tr>
      <w:tr>
        <w:trPr>
          <w:trHeight w:val="197"/>
        </w:trPr>
        <w:tc>
          <w:tcPr>
            <w:tcW w:w="20" w:type="dxa"/>
            <w:vAlign w:val="bottom"/>
          </w:tcPr>
          <w:p>
            <w:pPr>
              <w:spacing w:after="0"/>
              <w:rPr>
                <w:sz w:val="17"/>
                <w:szCs w:val="17"/>
                <w:color w:val="auto"/>
              </w:rPr>
            </w:pPr>
          </w:p>
        </w:tc>
        <w:tc>
          <w:tcPr>
            <w:tcW w:w="8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2.9%</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2.1%</w:t>
            </w:r>
          </w:p>
        </w:tc>
      </w:tr>
      <w:tr>
        <w:trPr>
          <w:trHeight w:val="197"/>
        </w:trPr>
        <w:tc>
          <w:tcPr>
            <w:tcW w:w="20" w:type="dxa"/>
            <w:vAlign w:val="bottom"/>
          </w:tcPr>
          <w:p>
            <w:pPr>
              <w:spacing w:after="0"/>
              <w:rPr>
                <w:sz w:val="17"/>
                <w:szCs w:val="17"/>
                <w:color w:val="auto"/>
              </w:rPr>
            </w:pPr>
          </w:p>
        </w:tc>
        <w:tc>
          <w:tcPr>
            <w:tcW w:w="8580" w:type="dxa"/>
            <w:vAlign w:val="bottom"/>
            <w:gridSpan w:val="2"/>
          </w:tcPr>
          <w:p>
            <w:pPr>
              <w:spacing w:after="0"/>
              <w:rPr>
                <w:sz w:val="20"/>
                <w:szCs w:val="20"/>
                <w:color w:val="auto"/>
              </w:rPr>
            </w:pPr>
            <w:r>
              <w:rPr>
                <w:rFonts w:ascii="Arial" w:cs="Arial" w:eastAsia="Arial" w:hAnsi="Arial"/>
                <w:sz w:val="17"/>
                <w:szCs w:val="17"/>
                <w:color w:val="auto"/>
              </w:rPr>
              <w:t>Expected dividend yield</w:t>
            </w:r>
          </w:p>
        </w:tc>
        <w:tc>
          <w:tcPr>
            <w:tcW w:w="380" w:type="dxa"/>
            <w:vAlign w:val="bottom"/>
          </w:tcPr>
          <w:p>
            <w:pPr>
              <w:spacing w:after="0"/>
              <w:rPr>
                <w:sz w:val="17"/>
                <w:szCs w:val="17"/>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7"/>
                <w:szCs w:val="17"/>
                <w:color w:val="auto"/>
              </w:rPr>
              <w:t>0%</w:t>
            </w:r>
          </w:p>
        </w:tc>
        <w:tc>
          <w:tcPr>
            <w:tcW w:w="1100" w:type="dxa"/>
            <w:vAlign w:val="bottom"/>
            <w:gridSpan w:val="3"/>
          </w:tcPr>
          <w:p>
            <w:pPr>
              <w:jc w:val="right"/>
              <w:ind w:right="60"/>
              <w:spacing w:after="0"/>
              <w:rPr>
                <w:sz w:val="20"/>
                <w:szCs w:val="20"/>
                <w:color w:val="auto"/>
              </w:rPr>
            </w:pPr>
            <w:r>
              <w:rPr>
                <w:rFonts w:ascii="Arial" w:cs="Arial" w:eastAsia="Arial" w:hAnsi="Arial"/>
                <w:sz w:val="17"/>
                <w:szCs w:val="17"/>
                <w:color w:val="auto"/>
              </w:rPr>
              <w:t>0%</w:t>
            </w:r>
          </w:p>
        </w:tc>
      </w:tr>
      <w:tr>
        <w:trPr>
          <w:trHeight w:val="196"/>
        </w:trPr>
        <w:tc>
          <w:tcPr>
            <w:tcW w:w="20" w:type="dxa"/>
            <w:vAlign w:val="bottom"/>
          </w:tcPr>
          <w:p>
            <w:pPr>
              <w:spacing w:after="0"/>
              <w:rPr>
                <w:sz w:val="17"/>
                <w:szCs w:val="17"/>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Fair value of underlying common units</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6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8580" w:type="dxa"/>
            <w:vAlign w:val="bottom"/>
            <w:gridSpan w:val="2"/>
            <w:shd w:val="clear" w:color="auto" w:fill="CCEEFF"/>
          </w:tcPr>
          <w:p>
            <w:pPr>
              <w:ind w:left="8480"/>
              <w:spacing w:after="0"/>
              <w:rPr>
                <w:sz w:val="20"/>
                <w:szCs w:val="20"/>
                <w:color w:val="auto"/>
              </w:rPr>
            </w:pPr>
            <w:r>
              <w:rPr>
                <w:rFonts w:ascii="Arial" w:cs="Arial" w:eastAsia="Arial" w:hAnsi="Arial"/>
                <w:sz w:val="17"/>
                <w:szCs w:val="17"/>
                <w:color w:val="auto"/>
                <w:w w:val="84"/>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8.48</w:t>
            </w:r>
          </w:p>
        </w:tc>
        <w:tc>
          <w:tcPr>
            <w:tcW w:w="5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0.72</w:t>
            </w:r>
          </w:p>
        </w:tc>
        <w:tc>
          <w:tcPr>
            <w:tcW w:w="200" w:type="dxa"/>
            <w:vAlign w:val="bottom"/>
            <w:shd w:val="clear" w:color="auto" w:fill="CCEEFF"/>
          </w:tcPr>
          <w:p>
            <w:pPr>
              <w:spacing w:after="0"/>
              <w:rPr>
                <w:sz w:val="17"/>
                <w:szCs w:val="17"/>
                <w:color w:val="auto"/>
              </w:rPr>
            </w:pPr>
          </w:p>
        </w:tc>
      </w:tr>
    </w:tbl>
    <w:p>
      <w:pPr>
        <w:spacing w:after="0" w:line="209" w:lineRule="exact"/>
        <w:rPr>
          <w:sz w:val="20"/>
          <w:szCs w:val="20"/>
          <w:color w:val="auto"/>
        </w:rPr>
      </w:pPr>
    </w:p>
    <w:p>
      <w:pPr>
        <w:ind w:left="360" w:right="280" w:firstLine="535"/>
        <w:spacing w:after="0" w:line="259" w:lineRule="auto"/>
        <w:rPr>
          <w:sz w:val="20"/>
          <w:szCs w:val="20"/>
          <w:color w:val="auto"/>
        </w:rPr>
      </w:pPr>
      <w:r>
        <w:rPr>
          <w:rFonts w:ascii="Arial" w:cs="Arial" w:eastAsia="Arial" w:hAnsi="Arial"/>
          <w:sz w:val="17"/>
          <w:szCs w:val="17"/>
          <w:color w:val="auto"/>
        </w:rPr>
        <w:t>The fair value of the underlying common units indicated above was utilized as the exercise price within the Black-Scholes option pricing model.</w:t>
      </w:r>
    </w:p>
    <w:p>
      <w:pPr>
        <w:spacing w:after="0" w:line="181" w:lineRule="exact"/>
        <w:rPr>
          <w:sz w:val="20"/>
          <w:szCs w:val="20"/>
          <w:color w:val="auto"/>
        </w:rPr>
      </w:pPr>
    </w:p>
    <w:p>
      <w:pPr>
        <w:ind w:left="360" w:right="120" w:firstLine="535"/>
        <w:spacing w:after="0" w:line="259" w:lineRule="auto"/>
        <w:rPr>
          <w:sz w:val="20"/>
          <w:szCs w:val="20"/>
          <w:color w:val="auto"/>
        </w:rPr>
      </w:pPr>
      <w:r>
        <w:rPr>
          <w:rFonts w:ascii="Arial" w:cs="Arial" w:eastAsia="Arial" w:hAnsi="Arial"/>
          <w:sz w:val="17"/>
          <w:szCs w:val="17"/>
          <w:color w:val="auto"/>
        </w:rPr>
        <w:t>The following table provides a summary of the incentive unit activity under the Plan in the six months ended June 30, 2018. These amounts include incentive units granted to employees, directors and consultants.</w:t>
      </w:r>
    </w:p>
    <w:p>
      <w:pPr>
        <w:spacing w:after="0" w:line="193"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Weighted Average</w:t>
            </w:r>
          </w:p>
        </w:tc>
      </w:tr>
      <w:tr>
        <w:trPr>
          <w:trHeight w:val="169"/>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840" w:type="dxa"/>
            <w:vAlign w:val="bottom"/>
          </w:tcPr>
          <w:p>
            <w:pPr>
              <w:jc w:val="right"/>
              <w:ind w:right="157"/>
              <w:spacing w:after="0"/>
              <w:rPr>
                <w:sz w:val="20"/>
                <w:szCs w:val="20"/>
                <w:color w:val="auto"/>
              </w:rPr>
            </w:pPr>
            <w:r>
              <w:rPr>
                <w:rFonts w:ascii="Arial" w:cs="Arial" w:eastAsia="Arial" w:hAnsi="Arial"/>
                <w:sz w:val="14"/>
                <w:szCs w:val="14"/>
                <w:b w:val="1"/>
                <w:bCs w:val="1"/>
                <w:color w:val="auto"/>
              </w:rPr>
              <w:t>Units</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r>
      <w:tr>
        <w:trPr>
          <w:trHeight w:val="190"/>
        </w:trPr>
        <w:tc>
          <w:tcPr>
            <w:tcW w:w="20" w:type="dxa"/>
            <w:vAlign w:val="bottom"/>
          </w:tcPr>
          <w:p>
            <w:pPr>
              <w:spacing w:after="0"/>
              <w:rPr>
                <w:sz w:val="16"/>
                <w:szCs w:val="16"/>
                <w:color w:val="auto"/>
              </w:rPr>
            </w:pPr>
          </w:p>
        </w:tc>
        <w:tc>
          <w:tcPr>
            <w:tcW w:w="78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Outstanding at December 31, 2017</w:t>
            </w:r>
          </w:p>
        </w:tc>
        <w:tc>
          <w:tcPr>
            <w:tcW w:w="8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3,669,963</w:t>
            </w:r>
          </w:p>
        </w:tc>
        <w:tc>
          <w:tcPr>
            <w:tcW w:w="7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0.45</w:t>
            </w:r>
          </w:p>
        </w:tc>
        <w:tc>
          <w:tcPr>
            <w:tcW w:w="40" w:type="dxa"/>
            <w:vAlign w:val="bottom"/>
            <w:tcBorders>
              <w:top w:val="single" w:sz="8" w:color="CCEEFF"/>
            </w:tcBorders>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7840" w:type="dxa"/>
            <w:vAlign w:val="bottom"/>
          </w:tcPr>
          <w:p>
            <w:pPr>
              <w:spacing w:after="0"/>
              <w:rPr>
                <w:sz w:val="20"/>
                <w:szCs w:val="20"/>
                <w:color w:val="auto"/>
              </w:rPr>
            </w:pPr>
            <w:r>
              <w:rPr>
                <w:rFonts w:ascii="Arial" w:cs="Arial" w:eastAsia="Arial" w:hAnsi="Arial"/>
                <w:sz w:val="17"/>
                <w:szCs w:val="17"/>
                <w:color w:val="auto"/>
              </w:rPr>
              <w:t>Granted</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1,669,110</w:t>
            </w:r>
          </w:p>
        </w:tc>
        <w:tc>
          <w:tcPr>
            <w:tcW w:w="920" w:type="dxa"/>
            <w:vAlign w:val="bottom"/>
            <w:gridSpan w:val="2"/>
          </w:tcPr>
          <w:p>
            <w:pPr>
              <w:jc w:val="right"/>
              <w:ind w:right="4"/>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4.54</w:t>
            </w:r>
          </w:p>
        </w:tc>
        <w:tc>
          <w:tcPr>
            <w:tcW w:w="4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June 30, 2018</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5,339,073</w:t>
            </w:r>
          </w:p>
        </w:tc>
        <w:tc>
          <w:tcPr>
            <w:tcW w:w="920" w:type="dxa"/>
            <w:vAlign w:val="bottom"/>
            <w:gridSpan w:val="2"/>
            <w:shd w:val="clear" w:color="auto" w:fill="CCEEFF"/>
          </w:tcPr>
          <w:p>
            <w:pPr>
              <w:jc w:val="right"/>
              <w:ind w:right="4"/>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w:t>
            </w:r>
          </w:p>
        </w:tc>
        <w:tc>
          <w:tcPr>
            <w:tcW w:w="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At June 30, 2018, there were 4,644,328 units vested and expected to vest under the Plan.</w:t>
      </w:r>
    </w:p>
    <w:p>
      <w:pPr>
        <w:spacing w:after="0" w:line="296"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9. Income Taxes</w:t>
      </w:r>
    </w:p>
    <w:p>
      <w:pPr>
        <w:spacing w:after="0" w:line="126" w:lineRule="exact"/>
        <w:rPr>
          <w:sz w:val="20"/>
          <w:szCs w:val="20"/>
          <w:color w:val="auto"/>
        </w:rPr>
      </w:pPr>
    </w:p>
    <w:p>
      <w:pPr>
        <w:ind w:left="360" w:right="160" w:firstLine="535"/>
        <w:spacing w:after="0" w:line="248" w:lineRule="auto"/>
        <w:rPr>
          <w:sz w:val="20"/>
          <w:szCs w:val="20"/>
          <w:color w:val="auto"/>
        </w:rPr>
      </w:pPr>
      <w:r>
        <w:rPr>
          <w:rFonts w:ascii="Arial" w:cs="Arial" w:eastAsia="Arial" w:hAnsi="Arial"/>
          <w:sz w:val="17"/>
          <w:szCs w:val="17"/>
          <w:color w:val="auto"/>
        </w:rPr>
        <w:t>The Company’s effective tax rate was 0.0% for the six months ended June 30, 2018 and 2017. The primary reconciling items between the federal statutory rate of 21.0% and 34.0% for the six months ended June 30, 2018 and 2017, respectively, and the Company’s overall effective tax rate of 0.0% was the effect of the valuation allowance recorded against the full amount of its net deferred tax assets.</w:t>
      </w:r>
    </w:p>
    <w:p>
      <w:pPr>
        <w:spacing w:after="0" w:line="390" w:lineRule="exact"/>
        <w:rPr>
          <w:sz w:val="20"/>
          <w:szCs w:val="20"/>
          <w:color w:val="auto"/>
        </w:rPr>
      </w:pPr>
    </w:p>
    <w:p>
      <w:pPr>
        <w:ind w:left="360" w:right="20" w:firstLine="535"/>
        <w:spacing w:after="0" w:line="250" w:lineRule="auto"/>
        <w:rPr>
          <w:sz w:val="20"/>
          <w:szCs w:val="20"/>
          <w:color w:val="auto"/>
        </w:rPr>
      </w:pPr>
      <w:r>
        <w:rPr>
          <w:rFonts w:ascii="Arial" w:cs="Arial" w:eastAsia="Arial" w:hAnsi="Arial"/>
          <w:sz w:val="17"/>
          <w:szCs w:val="17"/>
          <w:color w:val="auto"/>
        </w:rPr>
        <w:t>Valuation allowance is established when it is more likely than not that some portion or all of a deferred tax asset will not be realized. The realization of deferred tax assets depends on the generation of future taxable income during the period in which related temporary differences become deductible.</w:t>
      </w:r>
    </w:p>
    <w:p>
      <w:pPr>
        <w:spacing w:after="0" w:line="189" w:lineRule="exact"/>
        <w:rPr>
          <w:sz w:val="20"/>
          <w:szCs w:val="20"/>
          <w:color w:val="auto"/>
        </w:rPr>
      </w:pPr>
    </w:p>
    <w:p>
      <w:pPr>
        <w:ind w:left="360" w:right="240" w:firstLine="535"/>
        <w:spacing w:after="0" w:line="250" w:lineRule="auto"/>
        <w:rPr>
          <w:sz w:val="20"/>
          <w:szCs w:val="20"/>
          <w:color w:val="auto"/>
        </w:rPr>
      </w:pPr>
      <w:r>
        <w:rPr>
          <w:rFonts w:ascii="Arial" w:cs="Arial" w:eastAsia="Arial" w:hAnsi="Arial"/>
          <w:sz w:val="17"/>
          <w:szCs w:val="17"/>
          <w:color w:val="auto"/>
        </w:rPr>
        <w:t>The Company is subject to tax in the U.S. Federal jurisdiction and the states of Connecticut and Massachusetts. The Company pays franchise tax in the states mentioned above due to its loss position. As a result, there is no state income tax provision recorded for the six months ended June 30, 2018 and 2017.</w:t>
      </w:r>
    </w:p>
    <w:p>
      <w:pPr>
        <w:spacing w:after="0" w:line="189"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federal income tax return for the year ended December 31, 2015 is currently under audit by the Internal Revenue Service.</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Management does not expect any material changes as a result of the audit.</w:t>
      </w:r>
    </w:p>
    <w:p>
      <w:pPr>
        <w:spacing w:after="0" w:line="145"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F-36</w:t>
      </w:r>
    </w:p>
    <w:p>
      <w:pPr>
        <w:sectPr>
          <w:pgSz w:w="11900" w:h="16838" w:orient="portrait"/>
          <w:cols w:equalWidth="0" w:num="1">
            <w:col w:w="11060"/>
          </w:cols>
          <w:pgMar w:left="240" w:top="449" w:right="599" w:bottom="1440" w:gutter="0" w:footer="0" w:header="0"/>
        </w:sectPr>
      </w:pPr>
    </w:p>
    <w:bookmarkStart w:id="237" w:name="page238"/>
    <w:bookmarkEnd w:id="2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10. Net Loss Per Common Unit and Pro Forma Net Loss Per Share</w:t>
      </w:r>
    </w:p>
    <w:p>
      <w:pPr>
        <w:spacing w:after="0" w:line="106"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Net Loss per Common Unit</w:t>
      </w:r>
    </w:p>
    <w:p>
      <w:pPr>
        <w:spacing w:after="0" w:line="126" w:lineRule="exact"/>
        <w:rPr>
          <w:sz w:val="20"/>
          <w:szCs w:val="20"/>
          <w:color w:val="auto"/>
        </w:rPr>
      </w:pPr>
    </w:p>
    <w:p>
      <w:pPr>
        <w:ind w:left="900"/>
        <w:spacing w:after="0"/>
        <w:rPr>
          <w:sz w:val="20"/>
          <w:szCs w:val="20"/>
          <w:color w:val="auto"/>
        </w:rPr>
      </w:pPr>
      <w:r>
        <w:rPr>
          <w:rFonts w:ascii="Arial" w:cs="Arial" w:eastAsia="Arial" w:hAnsi="Arial"/>
          <w:sz w:val="17"/>
          <w:szCs w:val="17"/>
          <w:color w:val="auto"/>
        </w:rPr>
        <w:t>Basic and diluted loss per common unit were calculated as follows:</w:t>
      </w:r>
    </w:p>
    <w:p>
      <w:pPr>
        <w:spacing w:after="0" w:line="227" w:lineRule="exact"/>
        <w:rPr>
          <w:sz w:val="20"/>
          <w:szCs w:val="20"/>
          <w:color w:val="auto"/>
        </w:rPr>
      </w:pPr>
    </w:p>
    <w:tbl>
      <w:tblPr>
        <w:tblLayout w:type="fixed"/>
        <w:tblInd w:w="36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780" w:type="dxa"/>
            <w:vAlign w:val="bottom"/>
            <w:tcBorders>
              <w:bottom w:val="single" w:sz="8" w:color="CCEEFF"/>
            </w:tcBorders>
          </w:tcPr>
          <w:p>
            <w:pPr>
              <w:spacing w:after="0"/>
              <w:rPr>
                <w:sz w:val="13"/>
                <w:szCs w:val="13"/>
                <w:color w:val="auto"/>
              </w:rPr>
            </w:pPr>
          </w:p>
        </w:tc>
        <w:tc>
          <w:tcPr>
            <w:tcW w:w="106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20"/>
              <w:spacing w:after="0" w:line="151"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7"/>
              <w:spacing w:after="0" w:line="151"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loss</w:t>
            </w:r>
          </w:p>
        </w:tc>
        <w:tc>
          <w:tcPr>
            <w:tcW w:w="10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w w:val="97"/>
              </w:rPr>
              <w:t>$ (12,004,928)</w:t>
            </w: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w w:val="97"/>
              </w:rPr>
              <w:t>$ (12,923,908)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780" w:type="dxa"/>
            <w:vAlign w:val="bottom"/>
          </w:tcPr>
          <w:p>
            <w:pPr>
              <w:spacing w:after="0"/>
              <w:rPr>
                <w:sz w:val="20"/>
                <w:szCs w:val="20"/>
                <w:color w:val="auto"/>
              </w:rPr>
            </w:pPr>
            <w:r>
              <w:rPr>
                <w:rFonts w:ascii="Arial" w:cs="Arial" w:eastAsia="Arial" w:hAnsi="Arial"/>
                <w:sz w:val="17"/>
                <w:szCs w:val="17"/>
                <w:color w:val="auto"/>
              </w:rPr>
              <w:t>Change in redemption value of preferred units</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(86,316,147)</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Net loss attributable to common units—basic and diluted</w:t>
            </w:r>
          </w:p>
        </w:tc>
        <w:tc>
          <w:tcPr>
            <w:tcW w:w="2440" w:type="dxa"/>
            <w:vAlign w:val="bottom"/>
            <w:gridSpan w:val="4"/>
            <w:shd w:val="clear" w:color="auto" w:fill="CCEEFF"/>
          </w:tcPr>
          <w:p>
            <w:pPr>
              <w:jc w:val="right"/>
              <w:ind w:right="240"/>
              <w:spacing w:after="0"/>
              <w:rPr>
                <w:sz w:val="20"/>
                <w:szCs w:val="20"/>
                <w:color w:val="auto"/>
              </w:rPr>
            </w:pPr>
            <w:r>
              <w:rPr>
                <w:rFonts w:ascii="Arial" w:cs="Arial" w:eastAsia="Arial" w:hAnsi="Arial"/>
                <w:sz w:val="17"/>
                <w:szCs w:val="17"/>
                <w:color w:val="auto"/>
              </w:rPr>
              <w:t>$ (98,321,075)</w:t>
            </w:r>
          </w:p>
        </w:tc>
        <w:tc>
          <w:tcPr>
            <w:tcW w:w="146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 (12,923,908)</w:t>
            </w:r>
          </w:p>
        </w:tc>
        <w:tc>
          <w:tcPr>
            <w:tcW w:w="0" w:type="dxa"/>
            <w:vAlign w:val="bottom"/>
          </w:tcPr>
          <w:p>
            <w:pPr>
              <w:spacing w:after="0"/>
              <w:rPr>
                <w:sz w:val="1"/>
                <w:szCs w:val="1"/>
                <w:color w:val="auto"/>
              </w:rPr>
            </w:pPr>
          </w:p>
        </w:tc>
      </w:tr>
      <w:tr>
        <w:trPr>
          <w:trHeight w:val="20"/>
        </w:trPr>
        <w:tc>
          <w:tcPr>
            <w:tcW w:w="68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800" w:type="dxa"/>
            <w:vAlign w:val="bottom"/>
            <w:gridSpan w:val="2"/>
          </w:tcPr>
          <w:p>
            <w:pPr>
              <w:spacing w:after="0" w:line="189" w:lineRule="exact"/>
              <w:rPr>
                <w:sz w:val="20"/>
                <w:szCs w:val="20"/>
                <w:color w:val="auto"/>
              </w:rPr>
            </w:pPr>
            <w:r>
              <w:rPr>
                <w:rFonts w:ascii="Arial" w:cs="Arial" w:eastAsia="Arial" w:hAnsi="Arial"/>
                <w:sz w:val="17"/>
                <w:szCs w:val="17"/>
                <w:color w:val="auto"/>
              </w:rPr>
              <w:t>Weighted average number of common units outstanding, basic and diluted</w:t>
            </w:r>
          </w:p>
        </w:tc>
        <w:tc>
          <w:tcPr>
            <w:tcW w:w="1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1,897,554</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1,897,554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loss per common unit</w:t>
            </w:r>
          </w:p>
        </w:tc>
        <w:tc>
          <w:tcPr>
            <w:tcW w:w="12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51.81)</w:t>
            </w:r>
          </w:p>
        </w:tc>
        <w:tc>
          <w:tcPr>
            <w:tcW w:w="4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6.81)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360" w:right="80" w:firstLine="535"/>
        <w:spacing w:after="0" w:line="250" w:lineRule="auto"/>
        <w:rPr>
          <w:sz w:val="20"/>
          <w:szCs w:val="20"/>
          <w:color w:val="auto"/>
        </w:rPr>
      </w:pPr>
      <w:r>
        <w:rPr>
          <w:rFonts w:ascii="Arial" w:cs="Arial" w:eastAsia="Arial" w:hAnsi="Arial"/>
          <w:sz w:val="17"/>
          <w:szCs w:val="17"/>
          <w:color w:val="auto"/>
        </w:rPr>
        <w:t>The Company’s potential dilutive securities have been excluded from the computation of diluted net loss per common unit as the effect would be to reduce the net loss per common unit. The following common unit equivalents have been excluded from the calculations of diluted loss per common unit because their inclusion would have been antidilutive for the six months ended June 30:</w:t>
      </w:r>
    </w:p>
    <w:p>
      <w:pPr>
        <w:spacing w:after="0" w:line="204" w:lineRule="exact"/>
        <w:rPr>
          <w:sz w:val="20"/>
          <w:szCs w:val="20"/>
          <w:color w:val="auto"/>
        </w:rPr>
      </w:pPr>
    </w:p>
    <w:tbl>
      <w:tblPr>
        <w:tblLayout w:type="fixed"/>
        <w:tblInd w:w="36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020" w:type="dxa"/>
            <w:vAlign w:val="bottom"/>
          </w:tcPr>
          <w:p>
            <w:pPr>
              <w:jc w:val="right"/>
              <w:ind w:right="276"/>
              <w:spacing w:after="0"/>
              <w:rPr>
                <w:sz w:val="20"/>
                <w:szCs w:val="20"/>
                <w:color w:val="auto"/>
              </w:rPr>
            </w:pPr>
            <w:r>
              <w:rPr>
                <w:rFonts w:ascii="Arial" w:cs="Arial" w:eastAsia="Arial" w:hAnsi="Arial"/>
                <w:sz w:val="14"/>
                <w:szCs w:val="14"/>
                <w:b w:val="1"/>
                <w:bCs w:val="1"/>
                <w:color w:val="auto"/>
              </w:rPr>
              <w:t>2018</w:t>
            </w:r>
          </w:p>
        </w:tc>
        <w:tc>
          <w:tcPr>
            <w:tcW w:w="1280" w:type="dxa"/>
            <w:vAlign w:val="bottom"/>
            <w:gridSpan w:val="2"/>
          </w:tcPr>
          <w:p>
            <w:pPr>
              <w:jc w:val="right"/>
              <w:ind w:right="273"/>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190"/>
        </w:trPr>
        <w:tc>
          <w:tcPr>
            <w:tcW w:w="20" w:type="dxa"/>
            <w:vAlign w:val="bottom"/>
          </w:tcPr>
          <w:p>
            <w:pPr>
              <w:spacing w:after="0"/>
              <w:rPr>
                <w:sz w:val="16"/>
                <w:szCs w:val="16"/>
                <w:color w:val="auto"/>
              </w:rPr>
            </w:pPr>
          </w:p>
        </w:tc>
        <w:tc>
          <w:tcPr>
            <w:tcW w:w="832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Redeemable convertible preferred units, as if converted to common units</w:t>
            </w:r>
          </w:p>
        </w:tc>
        <w:tc>
          <w:tcPr>
            <w:tcW w:w="10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19,664,047</w:t>
            </w:r>
          </w:p>
        </w:tc>
        <w:tc>
          <w:tcPr>
            <w:tcW w:w="26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14,597,268</w:t>
            </w:r>
          </w:p>
        </w:tc>
        <w:tc>
          <w:tcPr>
            <w:tcW w:w="60" w:type="dxa"/>
            <w:vAlign w:val="bottom"/>
            <w:tcBorders>
              <w:top w:val="single" w:sz="8" w:color="CCEEFF"/>
            </w:tcBorders>
            <w:shd w:val="clear" w:color="auto" w:fill="CCEEFF"/>
          </w:tcPr>
          <w:p>
            <w:pPr>
              <w:spacing w:after="0"/>
              <w:rPr>
                <w:sz w:val="16"/>
                <w:szCs w:val="16"/>
                <w:color w:val="auto"/>
              </w:rPr>
            </w:pPr>
          </w:p>
        </w:tc>
      </w:tr>
      <w:tr>
        <w:trPr>
          <w:trHeight w:val="197"/>
        </w:trPr>
        <w:tc>
          <w:tcPr>
            <w:tcW w:w="20" w:type="dxa"/>
            <w:vAlign w:val="bottom"/>
          </w:tcPr>
          <w:p>
            <w:pPr>
              <w:spacing w:after="0"/>
              <w:rPr>
                <w:sz w:val="17"/>
                <w:szCs w:val="17"/>
                <w:color w:val="auto"/>
              </w:rPr>
            </w:pPr>
          </w:p>
        </w:tc>
        <w:tc>
          <w:tcPr>
            <w:tcW w:w="8320" w:type="dxa"/>
            <w:vAlign w:val="bottom"/>
          </w:tcPr>
          <w:p>
            <w:pPr>
              <w:spacing w:after="0"/>
              <w:rPr>
                <w:sz w:val="20"/>
                <w:szCs w:val="20"/>
                <w:color w:val="auto"/>
              </w:rPr>
            </w:pPr>
            <w:r>
              <w:rPr>
                <w:rFonts w:ascii="Arial" w:cs="Arial" w:eastAsia="Arial" w:hAnsi="Arial"/>
                <w:sz w:val="17"/>
                <w:szCs w:val="17"/>
                <w:color w:val="auto"/>
              </w:rPr>
              <w:t>Incentive units</w:t>
            </w:r>
          </w:p>
        </w:tc>
        <w:tc>
          <w:tcPr>
            <w:tcW w:w="1020" w:type="dxa"/>
            <w:vAlign w:val="bottom"/>
          </w:tcPr>
          <w:p>
            <w:pPr>
              <w:jc w:val="right"/>
              <w:spacing w:after="0"/>
              <w:rPr>
                <w:sz w:val="20"/>
                <w:szCs w:val="20"/>
                <w:color w:val="auto"/>
              </w:rPr>
            </w:pPr>
            <w:r>
              <w:rPr>
                <w:rFonts w:ascii="Arial" w:cs="Arial" w:eastAsia="Arial" w:hAnsi="Arial"/>
                <w:sz w:val="17"/>
                <w:szCs w:val="17"/>
                <w:color w:val="auto"/>
              </w:rPr>
              <w:t>5,339,073</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3,138,220</w:t>
            </w:r>
          </w:p>
        </w:tc>
        <w:tc>
          <w:tcPr>
            <w:tcW w:w="6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7"/>
                <w:szCs w:val="17"/>
                <w:color w:val="auto"/>
              </w:rPr>
              <w:t>Preferred unit warrant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33,881</w:t>
            </w:r>
          </w:p>
        </w:tc>
        <w:tc>
          <w:tcPr>
            <w:tcW w:w="26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33,881</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25,037,001</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17,769,369</w:t>
            </w:r>
          </w:p>
        </w:tc>
        <w:tc>
          <w:tcPr>
            <w:tcW w:w="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7"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Pro Forma Net Loss Per Share</w:t>
      </w:r>
    </w:p>
    <w:p>
      <w:pPr>
        <w:spacing w:after="0" w:line="126" w:lineRule="exact"/>
        <w:rPr>
          <w:sz w:val="20"/>
          <w:szCs w:val="20"/>
          <w:color w:val="auto"/>
        </w:rPr>
      </w:pPr>
    </w:p>
    <w:p>
      <w:pPr>
        <w:ind w:left="360" w:right="40" w:firstLine="535"/>
        <w:spacing w:after="0" w:line="244" w:lineRule="auto"/>
        <w:rPr>
          <w:sz w:val="20"/>
          <w:szCs w:val="20"/>
          <w:color w:val="auto"/>
        </w:rPr>
      </w:pPr>
      <w:r>
        <w:rPr>
          <w:rFonts w:ascii="Arial" w:cs="Arial" w:eastAsia="Arial" w:hAnsi="Arial"/>
          <w:sz w:val="17"/>
          <w:szCs w:val="17"/>
          <w:color w:val="auto"/>
        </w:rPr>
        <w:t>The pro forma basic and diluted net loss per share attributable to common stockholders for the six months ended June 30, 2018 has been prepared to give effect to adjustments arising upon the completion of a qualified initial public offering. The pro forma net loss attributable to common stockholders used in the calculation of pro forma basic and diluted net loss per share attributable to common stockholders does not include the effects of the change in the redemption value of the redeemable convertible preferred units because the calculation gives effect to the automatic conversion of all shares of redeemable convertible preferred units outstanding at June 30, 2018 into shares of common stock as if the proposed qualified initial public offering had occurred on the later of January 1, 2017 or the issuance date of the redeemable convertible preferred unit.</w:t>
      </w:r>
    </w:p>
    <w:p>
      <w:pPr>
        <w:spacing w:after="0" w:line="195" w:lineRule="exact"/>
        <w:rPr>
          <w:sz w:val="20"/>
          <w:szCs w:val="20"/>
          <w:color w:val="auto"/>
        </w:rPr>
      </w:pPr>
    </w:p>
    <w:p>
      <w:pPr>
        <w:ind w:left="360" w:right="20" w:firstLine="535"/>
        <w:spacing w:after="0" w:line="243" w:lineRule="auto"/>
        <w:rPr>
          <w:sz w:val="20"/>
          <w:szCs w:val="20"/>
          <w:color w:val="auto"/>
        </w:rPr>
      </w:pPr>
      <w:r>
        <w:rPr>
          <w:rFonts w:ascii="Arial" w:cs="Arial" w:eastAsia="Arial" w:hAnsi="Arial"/>
          <w:sz w:val="17"/>
          <w:szCs w:val="17"/>
          <w:color w:val="auto"/>
        </w:rPr>
        <w:t>The pro forma basic and diluted weighted average common shares outstanding used in the calculation of pro forma basic and diluted net loss per share attributable to common stockholders for the six months ended June 30, 2018 has been prepared to give effect to the conversion of Arvinas LLC to a C-corporation, the conversion of common units to common stock, the conversion of redeemable preferred units to redeemable preferred stock and, upon a qualified initial public offering, the automatic conversion of all outstanding shares of redeemable preferred stock into common stock as if the proposed initial public offering had occurred on the later of January 1, 2017 or the issuance date of the redeemable preferred units. The pro forma basic and diluted loss per share also gives effect to the expected conversion of incentive units into common and restricted shares, assuming a conversion ratio determined by the Board of Directors and based on the offering price of the Company’s common stock. The incentive units that will convert into common shares have been included within basic pro forma loss per share. The incentive units that convert into restricted shares have been excluded from basic</w:t>
      </w:r>
    </w:p>
    <w:p>
      <w:pPr>
        <w:spacing w:after="0" w:line="13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F-37</w:t>
      </w:r>
    </w:p>
    <w:p>
      <w:pPr>
        <w:sectPr>
          <w:pgSz w:w="11900" w:h="16838" w:orient="portrait"/>
          <w:cols w:equalWidth="0" w:num="1">
            <w:col w:w="11060"/>
          </w:cols>
          <w:pgMar w:left="240" w:top="450" w:right="599" w:bottom="1440" w:gutter="0" w:footer="0" w:header="0"/>
        </w:sectPr>
      </w:pPr>
    </w:p>
    <w:bookmarkStart w:id="238" w:name="page239"/>
    <w:bookmarkEnd w:id="2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360" w:right="40"/>
        <w:spacing w:after="0" w:line="250" w:lineRule="auto"/>
        <w:rPr>
          <w:sz w:val="20"/>
          <w:szCs w:val="20"/>
          <w:color w:val="auto"/>
        </w:rPr>
      </w:pPr>
      <w:r>
        <w:rPr>
          <w:rFonts w:ascii="Arial" w:cs="Arial" w:eastAsia="Arial" w:hAnsi="Arial"/>
          <w:sz w:val="17"/>
          <w:szCs w:val="17"/>
          <w:color w:val="auto"/>
        </w:rPr>
        <w:t>loss per share given that the incentive units have no obligation to share in losses and have been excluded from dilutive loss per share due to anti-dilutive effect. Pro forma basic and diluted net loss per share attributable to common stockholders for the six months ended June 30, 2018 was calculated as follows:</w:t>
      </w:r>
    </w:p>
    <w:p>
      <w:pPr>
        <w:spacing w:after="0" w:line="215" w:lineRule="exact"/>
        <w:rPr>
          <w:sz w:val="20"/>
          <w:szCs w:val="20"/>
          <w:color w:val="auto"/>
        </w:rPr>
      </w:pPr>
    </w:p>
    <w:tbl>
      <w:tblPr>
        <w:tblLayout w:type="fixed"/>
        <w:tblInd w:w="3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7"/>
                <w:szCs w:val="17"/>
                <w:color w:val="auto"/>
              </w:rPr>
              <w:t>Net loss attributable to common units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(98,321,075)</w:t>
            </w:r>
          </w:p>
        </w:tc>
      </w:tr>
      <w:tr>
        <w:trPr>
          <w:trHeight w:val="203"/>
        </w:trPr>
        <w:tc>
          <w:tcPr>
            <w:tcW w:w="20" w:type="dxa"/>
            <w:vAlign w:val="bottom"/>
          </w:tcPr>
          <w:p>
            <w:pPr>
              <w:spacing w:after="0"/>
              <w:rPr>
                <w:sz w:val="17"/>
                <w:szCs w:val="17"/>
                <w:color w:val="auto"/>
              </w:rPr>
            </w:pPr>
          </w:p>
        </w:tc>
        <w:tc>
          <w:tcPr>
            <w:tcW w:w="9080" w:type="dxa"/>
            <w:vAlign w:val="bottom"/>
          </w:tcPr>
          <w:p>
            <w:pPr>
              <w:spacing w:after="0"/>
              <w:rPr>
                <w:sz w:val="20"/>
                <w:szCs w:val="20"/>
                <w:color w:val="auto"/>
              </w:rPr>
            </w:pPr>
            <w:r>
              <w:rPr>
                <w:rFonts w:ascii="Arial" w:cs="Arial" w:eastAsia="Arial" w:hAnsi="Arial"/>
                <w:sz w:val="17"/>
                <w:szCs w:val="17"/>
                <w:color w:val="auto"/>
              </w:rPr>
              <w:t>Change in redemption value of preferred units</w:t>
            </w:r>
          </w:p>
        </w:tc>
        <w:tc>
          <w:tcPr>
            <w:tcW w:w="4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86,316,147</w:t>
            </w:r>
          </w:p>
        </w:tc>
        <w:tc>
          <w:tcPr>
            <w:tcW w:w="12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7"/>
                <w:szCs w:val="17"/>
                <w:color w:val="auto"/>
              </w:rPr>
              <w:t>Net loss attributable to common shares—basic and diluted</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(12,004,928)</w:t>
            </w:r>
          </w:p>
        </w:tc>
      </w:tr>
      <w:tr>
        <w:trPr>
          <w:trHeight w:val="20"/>
        </w:trPr>
        <w:tc>
          <w:tcPr>
            <w:tcW w:w="9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9"/>
        </w:trPr>
        <w:tc>
          <w:tcPr>
            <w:tcW w:w="9100" w:type="dxa"/>
            <w:vAlign w:val="bottom"/>
            <w:gridSpan w:val="2"/>
          </w:tcPr>
          <w:p>
            <w:pPr>
              <w:spacing w:after="0" w:line="189" w:lineRule="exact"/>
              <w:rPr>
                <w:sz w:val="20"/>
                <w:szCs w:val="20"/>
                <w:color w:val="auto"/>
              </w:rPr>
            </w:pPr>
            <w:r>
              <w:rPr>
                <w:rFonts w:ascii="Arial" w:cs="Arial" w:eastAsia="Arial" w:hAnsi="Arial"/>
                <w:sz w:val="17"/>
                <w:szCs w:val="17"/>
                <w:color w:val="auto"/>
              </w:rPr>
              <w:t>Weighted average number of common units outstanding</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7"/>
                <w:szCs w:val="17"/>
                <w:color w:val="auto"/>
              </w:rPr>
              <w:t>1,897,544</w:t>
            </w:r>
          </w:p>
        </w:tc>
        <w:tc>
          <w:tcPr>
            <w:tcW w:w="12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7"/>
                <w:szCs w:val="17"/>
                <w:color w:val="auto"/>
              </w:rPr>
              <w:t>Pro forma adjustment to reflect automatic conversion of redeemable convertible preferred units to common stock</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90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upon the completion of the proposed initial public offering</w:t>
            </w:r>
          </w:p>
        </w:tc>
        <w:tc>
          <w:tcPr>
            <w:tcW w:w="4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18,834,294</w:t>
            </w:r>
          </w:p>
        </w:tc>
        <w:tc>
          <w:tcPr>
            <w:tcW w:w="120" w:type="dxa"/>
            <w:vAlign w:val="bottom"/>
            <w:shd w:val="clear" w:color="auto" w:fill="CCEEFF"/>
          </w:tcPr>
          <w:p>
            <w:pPr>
              <w:spacing w:after="0"/>
              <w:rPr>
                <w:sz w:val="17"/>
                <w:szCs w:val="17"/>
                <w:color w:val="auto"/>
              </w:rPr>
            </w:pPr>
          </w:p>
        </w:tc>
      </w:tr>
      <w:tr>
        <w:trPr>
          <w:trHeight w:val="203"/>
        </w:trPr>
        <w:tc>
          <w:tcPr>
            <w:tcW w:w="9100" w:type="dxa"/>
            <w:vAlign w:val="bottom"/>
            <w:gridSpan w:val="2"/>
          </w:tcPr>
          <w:p>
            <w:pPr>
              <w:spacing w:after="0"/>
              <w:rPr>
                <w:sz w:val="20"/>
                <w:szCs w:val="20"/>
                <w:color w:val="auto"/>
              </w:rPr>
            </w:pPr>
            <w:r>
              <w:rPr>
                <w:rFonts w:ascii="Arial" w:cs="Arial" w:eastAsia="Arial" w:hAnsi="Arial"/>
                <w:sz w:val="17"/>
                <w:szCs w:val="17"/>
                <w:color w:val="auto"/>
              </w:rPr>
              <w:t>Pro forma weighted average number of shares outstanding—basic and diluted</w:t>
            </w:r>
          </w:p>
        </w:tc>
        <w:tc>
          <w:tcPr>
            <w:tcW w:w="4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20,731,838</w:t>
            </w:r>
          </w:p>
        </w:tc>
        <w:tc>
          <w:tcPr>
            <w:tcW w:w="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080" w:type="dxa"/>
            <w:vAlign w:val="bottom"/>
            <w:shd w:val="clear" w:color="auto" w:fill="CCEEFF"/>
          </w:tcPr>
          <w:p>
            <w:pPr>
              <w:ind w:left="340"/>
              <w:spacing w:after="0" w:line="189" w:lineRule="exact"/>
              <w:rPr>
                <w:sz w:val="20"/>
                <w:szCs w:val="20"/>
                <w:color w:val="auto"/>
              </w:rPr>
            </w:pPr>
            <w:r>
              <w:rPr>
                <w:rFonts w:ascii="Arial" w:cs="Arial" w:eastAsia="Arial" w:hAnsi="Arial"/>
                <w:sz w:val="17"/>
                <w:szCs w:val="17"/>
                <w:color w:val="auto"/>
              </w:rPr>
              <w:t>Net loss per common share</w:t>
            </w:r>
          </w:p>
        </w:tc>
        <w:tc>
          <w:tcPr>
            <w:tcW w:w="5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(0.58)</w:t>
            </w: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2" w:lineRule="exact"/>
        <w:rPr>
          <w:sz w:val="20"/>
          <w:szCs w:val="20"/>
          <w:color w:val="auto"/>
        </w:rPr>
      </w:pPr>
    </w:p>
    <w:p>
      <w:pPr>
        <w:ind w:left="360" w:right="220" w:firstLine="535"/>
        <w:spacing w:after="0" w:line="259" w:lineRule="auto"/>
        <w:rPr>
          <w:sz w:val="20"/>
          <w:szCs w:val="20"/>
          <w:color w:val="auto"/>
        </w:rPr>
      </w:pPr>
      <w:r>
        <w:rPr>
          <w:rFonts w:ascii="Arial" w:cs="Arial" w:eastAsia="Arial" w:hAnsi="Arial"/>
          <w:sz w:val="17"/>
          <w:szCs w:val="17"/>
          <w:color w:val="auto"/>
        </w:rPr>
        <w:t>The following common stock equivalents, presented on an as converted basis, were excluded from the calculation of net loss per share for the six months ended June 30, 2018, due to their anti-dilutive effect:</w:t>
      </w:r>
    </w:p>
    <w:p>
      <w:pPr>
        <w:spacing w:after="0" w:line="207" w:lineRule="exact"/>
        <w:rPr>
          <w:sz w:val="20"/>
          <w:szCs w:val="20"/>
          <w:color w:val="auto"/>
        </w:rPr>
      </w:pPr>
    </w:p>
    <w:tbl>
      <w:tblPr>
        <w:tblLayout w:type="fixed"/>
        <w:tblInd w:w="3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7"/>
                <w:szCs w:val="17"/>
                <w:color w:val="auto"/>
              </w:rPr>
              <w:t>Preferred unit warrant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33,881</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720" w:type="dxa"/>
            <w:vAlign w:val="bottom"/>
          </w:tcPr>
          <w:p>
            <w:pPr>
              <w:spacing w:after="0"/>
              <w:rPr>
                <w:sz w:val="20"/>
                <w:szCs w:val="20"/>
                <w:color w:val="auto"/>
              </w:rPr>
            </w:pPr>
            <w:r>
              <w:rPr>
                <w:rFonts w:ascii="Arial" w:cs="Arial" w:eastAsia="Arial" w:hAnsi="Arial"/>
                <w:sz w:val="17"/>
                <w:szCs w:val="17"/>
                <w:color w:val="auto"/>
              </w:rPr>
              <w:t>Unvested common units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1,444,231</w:t>
            </w:r>
          </w:p>
        </w:tc>
        <w:tc>
          <w:tcPr>
            <w:tcW w:w="6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972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1,478,112</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7"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11. Related Parties</w:t>
      </w:r>
    </w:p>
    <w:p>
      <w:pPr>
        <w:spacing w:after="0" w:line="126" w:lineRule="exact"/>
        <w:rPr>
          <w:sz w:val="20"/>
          <w:szCs w:val="20"/>
          <w:color w:val="auto"/>
        </w:rPr>
      </w:pPr>
    </w:p>
    <w:p>
      <w:pPr>
        <w:jc w:val="both"/>
        <w:ind w:left="360" w:right="760" w:firstLine="535"/>
        <w:spacing w:after="0" w:line="250" w:lineRule="auto"/>
        <w:rPr>
          <w:sz w:val="20"/>
          <w:szCs w:val="20"/>
          <w:color w:val="auto"/>
        </w:rPr>
      </w:pPr>
      <w:r>
        <w:rPr>
          <w:rFonts w:ascii="Arial" w:cs="Arial" w:eastAsia="Arial" w:hAnsi="Arial"/>
          <w:sz w:val="17"/>
          <w:szCs w:val="17"/>
          <w:color w:val="auto"/>
        </w:rPr>
        <w:t>Dr. Craig Crews, founder of the Company and the Chief Scientific Advisor to the Company, is a common unit holder in the Company and has a consulting agreement with the Company. During each of the six months ended June 30, 2018 and 2017, the Company paid Professor Crews $75,000 related to his consulting agreement.</w:t>
      </w:r>
    </w:p>
    <w:p>
      <w:pPr>
        <w:spacing w:after="0" w:line="189" w:lineRule="exact"/>
        <w:rPr>
          <w:sz w:val="20"/>
          <w:szCs w:val="20"/>
          <w:color w:val="auto"/>
        </w:rPr>
      </w:pPr>
    </w:p>
    <w:p>
      <w:pPr>
        <w:ind w:left="360" w:right="140" w:firstLine="535"/>
        <w:spacing w:after="0" w:line="244" w:lineRule="auto"/>
        <w:rPr>
          <w:sz w:val="20"/>
          <w:szCs w:val="20"/>
          <w:color w:val="auto"/>
        </w:rPr>
      </w:pPr>
      <w:r>
        <w:rPr>
          <w:rFonts w:ascii="Arial" w:cs="Arial" w:eastAsia="Arial" w:hAnsi="Arial"/>
          <w:sz w:val="17"/>
          <w:szCs w:val="17"/>
          <w:color w:val="auto"/>
        </w:rPr>
        <w:t>During the six months ended June 30, 2018 and 2017, the Company also paid Yale University, a common unit holder in the Company, $37,473 and $102,063, respectively, for reimbursable patent costs. In July 2016, the Company entered into a Corporate Sponsored Research Agreement (SRA) with Yale University, under the direction of Professor Crews, which was amended in April 2018. The SRA requires quarterly payments of $101,161 through April 2018, in exchange for performing the research on the agreed upon program and related research reports. The amended SRA extended the agreement until April 2021 and amended the scope of work. The amended SRA requires quarterly payments of $250,000 through the end of the agreement. The total payments made under the SRA for the six months ended June 30, 2018 and 2017 were $351,161 and $202,322, respectively.</w:t>
      </w:r>
    </w:p>
    <w:p>
      <w:pPr>
        <w:spacing w:after="0" w:line="280" w:lineRule="exact"/>
        <w:rPr>
          <w:sz w:val="20"/>
          <w:szCs w:val="20"/>
          <w:color w:val="auto"/>
        </w:rPr>
      </w:pPr>
    </w:p>
    <w:p>
      <w:pPr>
        <w:ind w:left="360" w:right="8780" w:firstLine="5"/>
        <w:spacing w:after="0" w:line="382" w:lineRule="auto"/>
        <w:tabs>
          <w:tab w:leader="none" w:pos="651" w:val="left"/>
        </w:tabs>
        <w:numPr>
          <w:ilvl w:val="0"/>
          <w:numId w:val="12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Subsequent Events </w:t>
      </w:r>
      <w:r>
        <w:rPr>
          <w:rFonts w:ascii="Arial" w:cs="Arial" w:eastAsia="Arial" w:hAnsi="Arial"/>
          <w:sz w:val="17"/>
          <w:szCs w:val="17"/>
          <w:b w:val="1"/>
          <w:bCs w:val="1"/>
          <w:color w:val="auto"/>
        </w:rPr>
        <w:t>Reverse Unit Split</w:t>
      </w:r>
    </w:p>
    <w:p>
      <w:pPr>
        <w:spacing w:after="0" w:line="1" w:lineRule="exact"/>
        <w:rPr>
          <w:sz w:val="20"/>
          <w:szCs w:val="20"/>
          <w:color w:val="auto"/>
        </w:rPr>
      </w:pPr>
    </w:p>
    <w:p>
      <w:pPr>
        <w:ind w:left="360" w:right="440" w:firstLine="535"/>
        <w:spacing w:after="0" w:line="247" w:lineRule="auto"/>
        <w:rPr>
          <w:sz w:val="20"/>
          <w:szCs w:val="20"/>
          <w:color w:val="auto"/>
        </w:rPr>
      </w:pPr>
      <w:r>
        <w:rPr>
          <w:rFonts w:ascii="Arial" w:cs="Arial" w:eastAsia="Arial" w:hAnsi="Arial"/>
          <w:sz w:val="17"/>
          <w:szCs w:val="17"/>
          <w:color w:val="auto"/>
        </w:rPr>
        <w:t>The Company’s Board of Managers and unitholders approved a one-for-3.25 reverse unit split of its issued and outstanding common units and incentive units and a proportional adjustment to the existing conversion ratios for the Company’s preferred units effective as of September 14, 2018. Accordingly, all unit and per unit amounts for all periods presented in the accompanying financial statements and notes thereto have been retroactively adjusted, where applicable, to reflect the reverse unit split.</w:t>
      </w:r>
    </w:p>
    <w:p>
      <w:pPr>
        <w:spacing w:after="0" w:line="12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F-38</w:t>
      </w:r>
    </w:p>
    <w:p>
      <w:pPr>
        <w:sectPr>
          <w:pgSz w:w="11900" w:h="16838" w:orient="portrait"/>
          <w:cols w:equalWidth="0" w:num="1">
            <w:col w:w="11060"/>
          </w:cols>
          <w:pgMar w:left="240" w:top="450" w:right="599" w:bottom="1440" w:gutter="0" w:footer="0" w:header="0"/>
        </w:sectPr>
      </w:pPr>
    </w:p>
    <w:bookmarkStart w:id="239" w:name="page240"/>
    <w:bookmarkEnd w:id="2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Other Matters</w:t>
      </w:r>
    </w:p>
    <w:p>
      <w:pPr>
        <w:spacing w:after="0" w:line="128" w:lineRule="exact"/>
        <w:rPr>
          <w:sz w:val="20"/>
          <w:szCs w:val="20"/>
          <w:color w:val="auto"/>
        </w:rPr>
      </w:pPr>
    </w:p>
    <w:p>
      <w:pPr>
        <w:ind w:left="360" w:firstLine="535"/>
        <w:spacing w:after="0" w:line="247" w:lineRule="auto"/>
        <w:rPr>
          <w:sz w:val="20"/>
          <w:szCs w:val="20"/>
          <w:color w:val="auto"/>
        </w:rPr>
      </w:pPr>
      <w:r>
        <w:rPr>
          <w:rFonts w:ascii="Arial" w:cs="Arial" w:eastAsia="Arial" w:hAnsi="Arial"/>
          <w:sz w:val="17"/>
          <w:szCs w:val="17"/>
          <w:color w:val="auto"/>
        </w:rPr>
        <w:t>In June 2018, the Company entered into an Assistance Agreement with the State of Connecticut to provide funding for the expansion and renovation of laboratory and office space. Under the agreement, the Company could borrow a maximum of $2.0 million, provided that the funding does not exceed more than 50% of the total project costs. On September 13, 2018, the Company received the full $2.0 million loan from the State of Connecticut.</w:t>
      </w:r>
    </w:p>
    <w:p>
      <w:pPr>
        <w:spacing w:after="0" w:line="192" w:lineRule="exact"/>
        <w:rPr>
          <w:sz w:val="20"/>
          <w:szCs w:val="20"/>
          <w:color w:val="auto"/>
        </w:rPr>
      </w:pPr>
    </w:p>
    <w:p>
      <w:pPr>
        <w:ind w:left="360" w:right="120" w:firstLine="535"/>
        <w:spacing w:after="0" w:line="247" w:lineRule="auto"/>
        <w:rPr>
          <w:sz w:val="20"/>
          <w:szCs w:val="20"/>
          <w:color w:val="auto"/>
        </w:rPr>
      </w:pPr>
      <w:r>
        <w:rPr>
          <w:rFonts w:ascii="Arial" w:cs="Arial" w:eastAsia="Arial" w:hAnsi="Arial"/>
          <w:sz w:val="17"/>
          <w:szCs w:val="17"/>
          <w:color w:val="auto"/>
        </w:rPr>
        <w:t>In August 2018, the Company entered into an amendment to the amended and restated consulting agreement with Professor Crews, which will become effective upon the closing of the initial public offering and continue in effect for three years from such date. Pursuant to the amendment, beginning on the date of the closing of the initial public offering, Professor Crews will be paid $20,833 per month for his services.</w:t>
      </w:r>
    </w:p>
    <w:p>
      <w:pPr>
        <w:spacing w:after="0" w:line="126"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F-39</w:t>
      </w:r>
    </w:p>
    <w:p>
      <w:pPr>
        <w:sectPr>
          <w:pgSz w:w="11900" w:h="16838" w:orient="portrait"/>
          <w:cols w:equalWidth="0" w:num="1">
            <w:col w:w="10840"/>
          </w:cols>
          <w:pgMar w:left="240" w:top="450" w:right="819" w:bottom="1440" w:gutter="0" w:footer="0" w:header="0"/>
        </w:sectPr>
      </w:pPr>
    </w:p>
    <w:bookmarkStart w:id="240" w:name="page241"/>
    <w:bookmarkEnd w:id="24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234950</wp:posOffset>
            </wp:positionV>
            <wp:extent cx="6792595" cy="2476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792595" cy="24765"/>
                    </a:xfrm>
                    <a:prstGeom prst="rect">
                      <a:avLst/>
                    </a:prstGeom>
                    <a:noFill/>
                  </pic:spPr>
                </pic:pic>
              </a:graphicData>
            </a:graphic>
          </wp:anchor>
        </w:drawing>
        <w:drawing>
          <wp:anchor simplePos="0" relativeHeight="251657728" behindDoc="1" locked="0" layoutInCell="0" allowOverlap="1">
            <wp:simplePos x="0" y="0"/>
            <wp:positionH relativeFrom="column">
              <wp:posOffset>236220</wp:posOffset>
            </wp:positionH>
            <wp:positionV relativeFrom="paragraph">
              <wp:posOffset>292735</wp:posOffset>
            </wp:positionV>
            <wp:extent cx="679259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792595" cy="8255"/>
                    </a:xfrm>
                    <a:prstGeom prst="rect">
                      <a:avLst/>
                    </a:prstGeom>
                    <a:noFill/>
                  </pic:spPr>
                </pic:pic>
              </a:graphicData>
            </a:graphic>
          </wp:anchor>
        </w:drawing>
        <w:drawing>
          <wp:anchor simplePos="0" relativeHeight="251657728" behindDoc="1" locked="0" layoutInCell="0" allowOverlap="1">
            <wp:simplePos x="0" y="0"/>
            <wp:positionH relativeFrom="column">
              <wp:posOffset>2292350</wp:posOffset>
            </wp:positionH>
            <wp:positionV relativeFrom="paragraph">
              <wp:posOffset>1217295</wp:posOffset>
            </wp:positionV>
            <wp:extent cx="2680335" cy="7823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680335" cy="782320"/>
                    </a:xfrm>
                    <a:prstGeom prst="rect">
                      <a:avLst/>
                    </a:prstGeom>
                    <a:noFill/>
                  </pic:spPr>
                </pic:pic>
              </a:graphicData>
            </a:graphic>
          </wp:anchor>
        </w:drawing>
      </w:r>
    </w:p>
    <w:p>
      <w:pPr>
        <w:sectPr>
          <w:pgSz w:w="11900" w:h="16838" w:orient="portrait"/>
          <w:cols w:equalWidth="0" w:num="1">
            <w:col w:w="11060"/>
          </w:cols>
          <w:pgMar w:left="240" w:top="450"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380"/>
        <w:spacing w:after="0"/>
        <w:rPr>
          <w:sz w:val="20"/>
          <w:szCs w:val="20"/>
          <w:color w:val="auto"/>
        </w:rPr>
      </w:pPr>
      <w:r>
        <w:rPr>
          <w:rFonts w:ascii="Arial" w:cs="Arial" w:eastAsia="Arial" w:hAnsi="Arial"/>
          <w:sz w:val="24"/>
          <w:szCs w:val="24"/>
          <w:color w:val="auto"/>
        </w:rPr>
        <w:t>7,500,000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2916555</wp:posOffset>
            </wp:positionH>
            <wp:positionV relativeFrom="paragraph">
              <wp:posOffset>3153410</wp:posOffset>
            </wp:positionV>
            <wp:extent cx="142367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423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60"/>
        <w:spacing w:after="0"/>
        <w:tabs>
          <w:tab w:leader="none" w:pos="6440" w:val="left"/>
          <w:tab w:leader="none" w:pos="9460" w:val="left"/>
        </w:tabs>
        <w:rPr>
          <w:sz w:val="20"/>
          <w:szCs w:val="20"/>
          <w:color w:val="auto"/>
        </w:rPr>
      </w:pPr>
      <w:r>
        <w:rPr>
          <w:rFonts w:ascii="Arial" w:cs="Arial" w:eastAsia="Arial" w:hAnsi="Arial"/>
          <w:sz w:val="26"/>
          <w:szCs w:val="26"/>
          <w:b w:val="1"/>
          <w:bCs w:val="1"/>
          <w:color w:val="auto"/>
        </w:rPr>
        <w:t>Goldman Sachs &amp; Co. LLC</w:t>
      </w:r>
      <w:r>
        <w:rPr>
          <w:sz w:val="20"/>
          <w:szCs w:val="20"/>
          <w:color w:val="auto"/>
        </w:rPr>
        <w:tab/>
      </w:r>
      <w:r>
        <w:rPr>
          <w:rFonts w:ascii="Arial" w:cs="Arial" w:eastAsia="Arial" w:hAnsi="Arial"/>
          <w:sz w:val="26"/>
          <w:szCs w:val="26"/>
          <w:b w:val="1"/>
          <w:bCs w:val="1"/>
          <w:color w:val="auto"/>
        </w:rPr>
        <w:t>Citigroup</w:t>
      </w:r>
      <w:r>
        <w:rPr>
          <w:sz w:val="20"/>
          <w:szCs w:val="20"/>
          <w:color w:val="auto"/>
        </w:rPr>
        <w:tab/>
      </w:r>
      <w:r>
        <w:rPr>
          <w:rFonts w:ascii="Arial" w:cs="Arial" w:eastAsia="Arial" w:hAnsi="Arial"/>
          <w:sz w:val="26"/>
          <w:szCs w:val="26"/>
          <w:b w:val="1"/>
          <w:bCs w:val="1"/>
          <w:color w:val="auto"/>
        </w:rPr>
        <w:t>Piper Jaffray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2916555</wp:posOffset>
            </wp:positionH>
            <wp:positionV relativeFrom="paragraph">
              <wp:posOffset>397510</wp:posOffset>
            </wp:positionV>
            <wp:extent cx="142367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423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60" w:right="220" w:firstLine="535"/>
        <w:spacing w:after="0" w:line="250" w:lineRule="auto"/>
        <w:rPr>
          <w:sz w:val="20"/>
          <w:szCs w:val="20"/>
          <w:color w:val="auto"/>
        </w:rPr>
      </w:pPr>
      <w:r>
        <w:rPr>
          <w:rFonts w:ascii="Arial" w:cs="Arial" w:eastAsia="Arial" w:hAnsi="Arial"/>
          <w:sz w:val="17"/>
          <w:szCs w:val="17"/>
          <w:color w:val="auto"/>
        </w:rPr>
        <w:t>Until October 21, 2018 (25 days after commencement of this offering), all dealers that buy, sell or trade shares of our common stock,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386715</wp:posOffset>
            </wp:positionV>
            <wp:extent cx="679259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792595" cy="8255"/>
                    </a:xfrm>
                    <a:prstGeom prst="rect">
                      <a:avLst/>
                    </a:prstGeom>
                    <a:noFill/>
                  </pic:spPr>
                </pic:pic>
              </a:graphicData>
            </a:graphic>
          </wp:anchor>
        </w:drawing>
        <w:drawing>
          <wp:anchor simplePos="0" relativeHeight="251657728" behindDoc="1" locked="0" layoutInCell="0" allowOverlap="1">
            <wp:simplePos x="0" y="0"/>
            <wp:positionH relativeFrom="column">
              <wp:posOffset>236220</wp:posOffset>
            </wp:positionH>
            <wp:positionV relativeFrom="paragraph">
              <wp:posOffset>445135</wp:posOffset>
            </wp:positionV>
            <wp:extent cx="6792595" cy="2476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792595" cy="24765"/>
                    </a:xfrm>
                    <a:prstGeom prst="rect">
                      <a:avLst/>
                    </a:prstGeom>
                    <a:noFill/>
                  </pic:spPr>
                </pic:pic>
              </a:graphicData>
            </a:graphic>
          </wp:anchor>
        </w:drawing>
      </w:r>
    </w:p>
    <w:sectPr>
      <w:pgSz w:w="11900" w:h="16838" w:orient="portrait"/>
      <w:cols w:equalWidth="0" w:num="1">
        <w:col w:w="11060"/>
      </w:cols>
      <w:pgMar w:left="240" w:top="450" w:right="5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10C50B3"/>
    <w:multiLevelType w:val="hybridMultilevel"/>
    <w:lvl w:ilvl="0">
      <w:lvlJc w:val="left"/>
      <w:lvlText w:val="(%1)"/>
      <w:numFmt w:val="decimal"/>
      <w:start w:val="1"/>
    </w:lvl>
  </w:abstractNum>
  <w:abstractNum w:abstractNumId="1">
    <w:nsid w:val="5FF87E05"/>
    <w:multiLevelType w:val="hybridMultilevel"/>
    <w:lvl w:ilvl="0">
      <w:lvlJc w:val="left"/>
      <w:lvlText w:val="•"/>
      <w:numFmt w:val="bullet"/>
      <w:start w:val="1"/>
    </w:lvl>
  </w:abstractNum>
  <w:abstractNum w:abstractNumId="2">
    <w:nsid w:val="2F305DEF"/>
    <w:multiLevelType w:val="hybridMultilevel"/>
    <w:lvl w:ilvl="0">
      <w:lvlJc w:val="left"/>
      <w:lvlText w:val="•"/>
      <w:numFmt w:val="bullet"/>
      <w:start w:val="1"/>
    </w:lvl>
  </w:abstractNum>
  <w:abstractNum w:abstractNumId="3">
    <w:nsid w:val="25A70BF7"/>
    <w:multiLevelType w:val="hybridMultilevel"/>
    <w:lvl w:ilvl="0">
      <w:lvlJc w:val="left"/>
      <w:lvlText w:val="•"/>
      <w:numFmt w:val="bullet"/>
      <w:start w:val="1"/>
    </w:lvl>
  </w:abstractNum>
  <w:abstractNum w:abstractNumId="4">
    <w:nsid w:val="1DBABF00"/>
    <w:multiLevelType w:val="hybridMultilevel"/>
    <w:lvl w:ilvl="0">
      <w:lvlJc w:val="left"/>
      <w:lvlText w:val="•"/>
      <w:numFmt w:val="bullet"/>
      <w:start w:val="1"/>
    </w:lvl>
  </w:abstractNum>
  <w:abstractNum w:abstractNumId="5">
    <w:nsid w:val="4AD084E9"/>
    <w:multiLevelType w:val="hybridMultilevel"/>
    <w:lvl w:ilvl="0">
      <w:lvlJc w:val="left"/>
      <w:lvlText w:val="•"/>
      <w:numFmt w:val="bullet"/>
      <w:start w:val="1"/>
    </w:lvl>
  </w:abstractNum>
  <w:abstractNum w:abstractNumId="6">
    <w:nsid w:val="1F48EAA1"/>
    <w:multiLevelType w:val="hybridMultilevel"/>
    <w:lvl w:ilvl="0">
      <w:lvlJc w:val="left"/>
      <w:lvlText w:val="•"/>
      <w:numFmt w:val="bullet"/>
      <w:start w:val="1"/>
    </w:lvl>
  </w:abstractNum>
  <w:abstractNum w:abstractNumId="7">
    <w:nsid w:val="1381823A"/>
    <w:multiLevelType w:val="hybridMultilevel"/>
    <w:lvl w:ilvl="0">
      <w:lvlJc w:val="left"/>
      <w:lvlText w:val="(%1)"/>
      <w:numFmt w:val="decimal"/>
      <w:start w:val="203"/>
    </w:lvl>
  </w:abstractNum>
  <w:abstractNum w:abstractNumId="8">
    <w:nsid w:val="5DB70AE5"/>
    <w:multiLevelType w:val="hybridMultilevel"/>
    <w:lvl w:ilvl="0">
      <w:lvlJc w:val="left"/>
      <w:lvlText w:val="•"/>
      <w:numFmt w:val="bullet"/>
      <w:start w:val="1"/>
    </w:lvl>
  </w:abstractNum>
  <w:abstractNum w:abstractNumId="9">
    <w:nsid w:val="100F8FCA"/>
    <w:multiLevelType w:val="hybridMultilevel"/>
    <w:lvl w:ilvl="0">
      <w:lvlJc w:val="left"/>
      <w:lvlText w:val="•"/>
      <w:numFmt w:val="bullet"/>
      <w:start w:val="1"/>
    </w:lvl>
  </w:abstractNum>
  <w:abstractNum w:abstractNumId="10">
    <w:nsid w:val="6590700B"/>
    <w:multiLevelType w:val="hybridMultilevel"/>
    <w:lvl w:ilvl="0">
      <w:lvlJc w:val="left"/>
      <w:lvlText w:val="(%1)"/>
      <w:numFmt w:val="decimal"/>
      <w:start w:val="1"/>
    </w:lvl>
  </w:abstractNum>
  <w:abstractNum w:abstractNumId="11">
    <w:nsid w:val="15014ACB"/>
    <w:multiLevelType w:val="hybridMultilevel"/>
    <w:lvl w:ilvl="0">
      <w:lvlJc w:val="left"/>
      <w:lvlText w:val="(%1)"/>
      <w:numFmt w:val="decimal"/>
      <w:start w:val="1"/>
    </w:lvl>
  </w:abstractNum>
  <w:abstractNum w:abstractNumId="12">
    <w:nsid w:val="5F5E7FD0"/>
    <w:multiLevelType w:val="hybridMultilevel"/>
    <w:lvl w:ilvl="0">
      <w:lvlJc w:val="left"/>
      <w:lvlText w:val="•"/>
      <w:numFmt w:val="bullet"/>
      <w:start w:val="1"/>
    </w:lvl>
  </w:abstractNum>
  <w:abstractNum w:abstractNumId="13">
    <w:nsid w:val="98A3148"/>
    <w:multiLevelType w:val="hybridMultilevel"/>
    <w:lvl w:ilvl="0">
      <w:lvlJc w:val="left"/>
      <w:lvlText w:val="•"/>
      <w:numFmt w:val="bullet"/>
      <w:start w:val="1"/>
    </w:lvl>
  </w:abstractNum>
  <w:abstractNum w:abstractNumId="14">
    <w:nsid w:val="799D0247"/>
    <w:multiLevelType w:val="hybridMultilevel"/>
    <w:lvl w:ilvl="0">
      <w:lvlJc w:val="left"/>
      <w:lvlText w:val="•"/>
      <w:numFmt w:val="bullet"/>
      <w:start w:val="1"/>
    </w:lvl>
  </w:abstractNum>
  <w:abstractNum w:abstractNumId="15">
    <w:nsid w:val="6B94764"/>
    <w:multiLevelType w:val="hybridMultilevel"/>
    <w:lvl w:ilvl="0">
      <w:lvlJc w:val="left"/>
      <w:lvlText w:val="•"/>
      <w:numFmt w:val="bullet"/>
      <w:start w:val="1"/>
    </w:lvl>
  </w:abstractNum>
  <w:abstractNum w:abstractNumId="16">
    <w:nsid w:val="42C296BD"/>
    <w:multiLevelType w:val="hybridMultilevel"/>
    <w:lvl w:ilvl="0">
      <w:lvlJc w:val="left"/>
      <w:lvlText w:val="•"/>
      <w:numFmt w:val="bullet"/>
      <w:start w:val="1"/>
    </w:lvl>
  </w:abstractNum>
  <w:abstractNum w:abstractNumId="17">
    <w:nsid w:val="168E121F"/>
    <w:multiLevelType w:val="hybridMultilevel"/>
    <w:lvl w:ilvl="0">
      <w:lvlJc w:val="left"/>
      <w:lvlText w:val="•"/>
      <w:numFmt w:val="bullet"/>
      <w:start w:val="1"/>
    </w:lvl>
  </w:abstractNum>
  <w:abstractNum w:abstractNumId="18">
    <w:nsid w:val="1EBA5D23"/>
    <w:multiLevelType w:val="hybridMultilevel"/>
    <w:lvl w:ilvl="0">
      <w:lvlJc w:val="left"/>
      <w:lvlText w:val="•"/>
      <w:numFmt w:val="bullet"/>
      <w:start w:val="1"/>
    </w:lvl>
  </w:abstractNum>
  <w:abstractNum w:abstractNumId="19">
    <w:nsid w:val="661E3F1E"/>
    <w:multiLevelType w:val="hybridMultilevel"/>
    <w:lvl w:ilvl="0">
      <w:lvlJc w:val="left"/>
      <w:lvlText w:val="•"/>
      <w:numFmt w:val="bullet"/>
      <w:start w:val="1"/>
    </w:lvl>
  </w:abstractNum>
  <w:abstractNum w:abstractNumId="20">
    <w:nsid w:val="5DC79EA8"/>
    <w:multiLevelType w:val="hybridMultilevel"/>
    <w:lvl w:ilvl="0">
      <w:lvlJc w:val="left"/>
      <w:lvlText w:val="•"/>
      <w:numFmt w:val="bullet"/>
      <w:start w:val="1"/>
    </w:lvl>
  </w:abstractNum>
  <w:abstractNum w:abstractNumId="21">
    <w:nsid w:val="540A471C"/>
    <w:multiLevelType w:val="hybridMultilevel"/>
    <w:lvl w:ilvl="0">
      <w:lvlJc w:val="left"/>
      <w:lvlText w:val="•"/>
      <w:numFmt w:val="bullet"/>
      <w:start w:val="1"/>
    </w:lvl>
  </w:abstractNum>
  <w:abstractNum w:abstractNumId="22">
    <w:nsid w:val="7BD3EE7B"/>
    <w:multiLevelType w:val="hybridMultilevel"/>
    <w:lvl w:ilvl="0">
      <w:lvlJc w:val="left"/>
      <w:lvlText w:val="•"/>
      <w:numFmt w:val="bullet"/>
      <w:start w:val="1"/>
    </w:lvl>
  </w:abstractNum>
  <w:abstractNum w:abstractNumId="23">
    <w:nsid w:val="51D9C564"/>
    <w:multiLevelType w:val="hybridMultilevel"/>
    <w:lvl w:ilvl="0">
      <w:lvlJc w:val="left"/>
      <w:lvlText w:val="•"/>
      <w:numFmt w:val="bullet"/>
      <w:start w:val="1"/>
    </w:lvl>
  </w:abstractNum>
  <w:abstractNum w:abstractNumId="24">
    <w:nsid w:val="613EFDC5"/>
    <w:multiLevelType w:val="hybridMultilevel"/>
    <w:lvl w:ilvl="0">
      <w:lvlJc w:val="left"/>
      <w:lvlText w:val="•"/>
      <w:numFmt w:val="bullet"/>
      <w:start w:val="1"/>
    </w:lvl>
  </w:abstractNum>
  <w:abstractNum w:abstractNumId="25">
    <w:nsid w:val="BF72B14"/>
    <w:multiLevelType w:val="hybridMultilevel"/>
    <w:lvl w:ilvl="0">
      <w:lvlJc w:val="left"/>
      <w:lvlText w:val="•"/>
      <w:numFmt w:val="bullet"/>
      <w:start w:val="1"/>
    </w:lvl>
  </w:abstractNum>
  <w:abstractNum w:abstractNumId="26">
    <w:nsid w:val="11447B73"/>
    <w:multiLevelType w:val="hybridMultilevel"/>
    <w:lvl w:ilvl="0">
      <w:lvlJc w:val="left"/>
      <w:lvlText w:val="•"/>
      <w:numFmt w:val="bullet"/>
      <w:start w:val="1"/>
    </w:lvl>
  </w:abstractNum>
  <w:abstractNum w:abstractNumId="27">
    <w:nsid w:val="42963E5A"/>
    <w:multiLevelType w:val="hybridMultilevel"/>
    <w:lvl w:ilvl="0">
      <w:lvlJc w:val="left"/>
      <w:lvlText w:val="•"/>
      <w:numFmt w:val="bullet"/>
      <w:start w:val="1"/>
    </w:lvl>
  </w:abstractNum>
  <w:abstractNum w:abstractNumId="28">
    <w:nsid w:val="A0382C5"/>
    <w:multiLevelType w:val="hybridMultilevel"/>
    <w:lvl w:ilvl="0">
      <w:lvlJc w:val="left"/>
      <w:lvlText w:val="•"/>
      <w:numFmt w:val="bullet"/>
      <w:start w:val="1"/>
    </w:lvl>
  </w:abstractNum>
  <w:abstractNum w:abstractNumId="29">
    <w:nsid w:val="8F2B15E"/>
    <w:multiLevelType w:val="hybridMultilevel"/>
    <w:lvl w:ilvl="0">
      <w:lvlJc w:val="left"/>
      <w:lvlText w:val="•"/>
      <w:numFmt w:val="bullet"/>
      <w:start w:val="1"/>
    </w:lvl>
  </w:abstractNum>
  <w:abstractNum w:abstractNumId="30">
    <w:nsid w:val="1A32234B"/>
    <w:multiLevelType w:val="hybridMultilevel"/>
    <w:lvl w:ilvl="0">
      <w:lvlJc w:val="left"/>
      <w:lvlText w:val="•"/>
      <w:numFmt w:val="bullet"/>
      <w:start w:val="1"/>
    </w:lvl>
  </w:abstractNum>
  <w:abstractNum w:abstractNumId="31">
    <w:nsid w:val="3B0FD379"/>
    <w:multiLevelType w:val="hybridMultilevel"/>
    <w:lvl w:ilvl="0">
      <w:lvlJc w:val="left"/>
      <w:lvlText w:val="•"/>
      <w:numFmt w:val="bullet"/>
      <w:start w:val="1"/>
    </w:lvl>
  </w:abstractNum>
  <w:abstractNum w:abstractNumId="32">
    <w:nsid w:val="68EB2F63"/>
    <w:multiLevelType w:val="hybridMultilevel"/>
    <w:lvl w:ilvl="0">
      <w:lvlJc w:val="left"/>
      <w:lvlText w:val="•"/>
      <w:numFmt w:val="bullet"/>
      <w:start w:val="1"/>
    </w:lvl>
  </w:abstractNum>
  <w:abstractNum w:abstractNumId="33">
    <w:nsid w:val="4962813B"/>
    <w:multiLevelType w:val="hybridMultilevel"/>
    <w:lvl w:ilvl="0">
      <w:lvlJc w:val="left"/>
      <w:lvlText w:val="•"/>
      <w:numFmt w:val="bullet"/>
      <w:start w:val="1"/>
    </w:lvl>
  </w:abstractNum>
  <w:abstractNum w:abstractNumId="34">
    <w:nsid w:val="60B6DF70"/>
    <w:multiLevelType w:val="hybridMultilevel"/>
    <w:lvl w:ilvl="0">
      <w:lvlJc w:val="left"/>
      <w:lvlText w:val="•"/>
      <w:numFmt w:val="bullet"/>
      <w:start w:val="1"/>
    </w:lvl>
  </w:abstractNum>
  <w:abstractNum w:abstractNumId="35">
    <w:nsid w:val="6A5EE64"/>
    <w:multiLevelType w:val="hybridMultilevel"/>
    <w:lvl w:ilvl="0">
      <w:lvlJc w:val="left"/>
      <w:lvlText w:val="•"/>
      <w:numFmt w:val="bullet"/>
      <w:start w:val="1"/>
    </w:lvl>
  </w:abstractNum>
  <w:abstractNum w:abstractNumId="36">
    <w:nsid w:val="14330624"/>
    <w:multiLevelType w:val="hybridMultilevel"/>
    <w:lvl w:ilvl="0">
      <w:lvlJc w:val="left"/>
      <w:lvlText w:val="•"/>
      <w:numFmt w:val="bullet"/>
      <w:start w:val="1"/>
    </w:lvl>
  </w:abstractNum>
  <w:abstractNum w:abstractNumId="37">
    <w:nsid w:val="7FFFCA11"/>
    <w:multiLevelType w:val="hybridMultilevel"/>
    <w:lvl w:ilvl="0">
      <w:lvlJc w:val="left"/>
      <w:lvlText w:val="•"/>
      <w:numFmt w:val="bullet"/>
      <w:start w:val="1"/>
    </w:lvl>
  </w:abstractNum>
  <w:abstractNum w:abstractNumId="38">
    <w:nsid w:val="1A27709E"/>
    <w:multiLevelType w:val="hybridMultilevel"/>
    <w:lvl w:ilvl="0">
      <w:lvlJc w:val="left"/>
      <w:lvlText w:val="•"/>
      <w:numFmt w:val="bullet"/>
      <w:start w:val="1"/>
    </w:lvl>
  </w:abstractNum>
  <w:abstractNum w:abstractNumId="39">
    <w:nsid w:val="71EA1109"/>
    <w:multiLevelType w:val="hybridMultilevel"/>
    <w:lvl w:ilvl="0">
      <w:lvlJc w:val="left"/>
      <w:lvlText w:val="•"/>
      <w:numFmt w:val="bullet"/>
      <w:start w:val="1"/>
    </w:lvl>
  </w:abstractNum>
  <w:abstractNum w:abstractNumId="40">
    <w:nsid w:val="100F59DC"/>
    <w:multiLevelType w:val="hybridMultilevel"/>
    <w:lvl w:ilvl="0">
      <w:lvlJc w:val="left"/>
      <w:lvlText w:val="•"/>
      <w:numFmt w:val="bullet"/>
      <w:start w:val="1"/>
    </w:lvl>
  </w:abstractNum>
  <w:abstractNum w:abstractNumId="41">
    <w:nsid w:val="7FB7E0AA"/>
    <w:multiLevelType w:val="hybridMultilevel"/>
    <w:lvl w:ilvl="0">
      <w:lvlJc w:val="left"/>
      <w:lvlText w:val="•"/>
      <w:numFmt w:val="bullet"/>
      <w:start w:val="1"/>
    </w:lvl>
  </w:abstractNum>
  <w:abstractNum w:abstractNumId="42">
    <w:nsid w:val="6EB5BD4"/>
    <w:multiLevelType w:val="hybridMultilevel"/>
    <w:lvl w:ilvl="0">
      <w:lvlJc w:val="left"/>
      <w:lvlText w:val="•"/>
      <w:numFmt w:val="bullet"/>
      <w:start w:val="1"/>
    </w:lvl>
  </w:abstractNum>
  <w:abstractNum w:abstractNumId="43">
    <w:nsid w:val="6F6DD9AC"/>
    <w:multiLevelType w:val="hybridMultilevel"/>
    <w:lvl w:ilvl="0">
      <w:lvlJc w:val="left"/>
      <w:lvlText w:val="•"/>
      <w:numFmt w:val="bullet"/>
      <w:start w:val="1"/>
    </w:lvl>
  </w:abstractNum>
  <w:abstractNum w:abstractNumId="44">
    <w:nsid w:val="94211F2"/>
    <w:multiLevelType w:val="hybridMultilevel"/>
    <w:lvl w:ilvl="0">
      <w:lvlJc w:val="left"/>
      <w:lvlText w:val="•"/>
      <w:numFmt w:val="bullet"/>
      <w:start w:val="1"/>
    </w:lvl>
  </w:abstractNum>
  <w:abstractNum w:abstractNumId="45">
    <w:nsid w:val="885E1B"/>
    <w:multiLevelType w:val="hybridMultilevel"/>
    <w:lvl w:ilvl="0">
      <w:lvlJc w:val="left"/>
      <w:lvlText w:val="•"/>
      <w:numFmt w:val="bullet"/>
      <w:start w:val="1"/>
    </w:lvl>
  </w:abstractNum>
  <w:abstractNum w:abstractNumId="46">
    <w:nsid w:val="76272110"/>
    <w:multiLevelType w:val="hybridMultilevel"/>
    <w:lvl w:ilvl="0">
      <w:lvlJc w:val="left"/>
      <w:lvlText w:val="•"/>
      <w:numFmt w:val="bullet"/>
      <w:start w:val="1"/>
    </w:lvl>
  </w:abstractNum>
  <w:abstractNum w:abstractNumId="47">
    <w:nsid w:val="4C04A8AF"/>
    <w:multiLevelType w:val="hybridMultilevel"/>
    <w:lvl w:ilvl="0">
      <w:lvlJc w:val="left"/>
      <w:lvlText w:val="(%1)"/>
      <w:numFmt w:val="decimal"/>
      <w:start w:val="1"/>
    </w:lvl>
  </w:abstractNum>
  <w:abstractNum w:abstractNumId="48">
    <w:nsid w:val="1716703B"/>
    <w:multiLevelType w:val="hybridMultilevel"/>
    <w:lvl w:ilvl="0">
      <w:lvlJc w:val="left"/>
      <w:lvlText w:val="•"/>
      <w:numFmt w:val="bullet"/>
      <w:start w:val="1"/>
    </w:lvl>
  </w:abstractNum>
  <w:abstractNum w:abstractNumId="49">
    <w:nsid w:val="14E17E33"/>
    <w:multiLevelType w:val="hybridMultilevel"/>
    <w:lvl w:ilvl="0">
      <w:lvlJc w:val="left"/>
      <w:lvlText w:val="•"/>
      <w:numFmt w:val="bullet"/>
      <w:start w:val="1"/>
    </w:lvl>
  </w:abstractNum>
  <w:abstractNum w:abstractNumId="50">
    <w:nsid w:val="3222E7CD"/>
    <w:multiLevelType w:val="hybridMultilevel"/>
    <w:lvl w:ilvl="0">
      <w:lvlJc w:val="left"/>
      <w:lvlText w:val="•"/>
      <w:numFmt w:val="bullet"/>
      <w:start w:val="1"/>
    </w:lvl>
  </w:abstractNum>
  <w:abstractNum w:abstractNumId="51">
    <w:nsid w:val="74DE0EE3"/>
    <w:multiLevelType w:val="hybridMultilevel"/>
    <w:lvl w:ilvl="0">
      <w:lvlJc w:val="left"/>
      <w:lvlText w:val="(%1)"/>
      <w:numFmt w:val="decimal"/>
      <w:start w:val="1"/>
    </w:lvl>
  </w:abstractNum>
  <w:abstractNum w:abstractNumId="52">
    <w:nsid w:val="68EBC550"/>
    <w:multiLevelType w:val="hybridMultilevel"/>
    <w:lvl w:ilvl="0">
      <w:lvlJc w:val="left"/>
      <w:lvlText w:val="(%1)"/>
      <w:numFmt w:val="decimal"/>
      <w:start w:val="1"/>
    </w:lvl>
  </w:abstractNum>
  <w:abstractNum w:abstractNumId="53">
    <w:nsid w:val="2DF6D648"/>
    <w:multiLevelType w:val="hybridMultilevel"/>
    <w:lvl w:ilvl="0">
      <w:lvlJc w:val="left"/>
      <w:lvlText w:val="•"/>
      <w:numFmt w:val="bullet"/>
      <w:start w:val="1"/>
    </w:lvl>
  </w:abstractNum>
  <w:abstractNum w:abstractNumId="54">
    <w:nsid w:val="46B7D447"/>
    <w:multiLevelType w:val="hybridMultilevel"/>
    <w:lvl w:ilvl="0">
      <w:lvlJc w:val="left"/>
      <w:lvlText w:val="•"/>
      <w:numFmt w:val="bullet"/>
      <w:start w:val="1"/>
    </w:lvl>
  </w:abstractNum>
  <w:abstractNum w:abstractNumId="55">
    <w:nsid w:val="4A2AC315"/>
    <w:multiLevelType w:val="hybridMultilevel"/>
    <w:lvl w:ilvl="0">
      <w:lvlJc w:val="left"/>
      <w:lvlText w:val="•"/>
      <w:numFmt w:val="bullet"/>
      <w:start w:val="1"/>
    </w:lvl>
  </w:abstractNum>
  <w:abstractNum w:abstractNumId="56">
    <w:nsid w:val="39EE015C"/>
    <w:multiLevelType w:val="hybridMultilevel"/>
    <w:lvl w:ilvl="0">
      <w:lvlJc w:val="left"/>
      <w:lvlText w:val="•"/>
      <w:numFmt w:val="bullet"/>
      <w:start w:val="1"/>
    </w:lvl>
  </w:abstractNum>
  <w:abstractNum w:abstractNumId="57">
    <w:nsid w:val="57FC4FBB"/>
    <w:multiLevelType w:val="hybridMultilevel"/>
    <w:lvl w:ilvl="0">
      <w:lvlJc w:val="left"/>
      <w:lvlText w:val="(%1)"/>
      <w:numFmt w:val="decimal"/>
      <w:start w:val="1"/>
    </w:lvl>
  </w:abstractNum>
  <w:abstractNum w:abstractNumId="58">
    <w:nsid w:val="CC1016F"/>
    <w:multiLevelType w:val="hybridMultilevel"/>
    <w:lvl w:ilvl="0">
      <w:lvlJc w:val="left"/>
      <w:lvlText w:val="•"/>
      <w:numFmt w:val="bullet"/>
      <w:start w:val="1"/>
    </w:lvl>
  </w:abstractNum>
  <w:abstractNum w:abstractNumId="59">
    <w:nsid w:val="43F18422"/>
    <w:multiLevelType w:val="hybridMultilevel"/>
    <w:lvl w:ilvl="0">
      <w:lvlJc w:val="left"/>
      <w:lvlText w:val="•"/>
      <w:numFmt w:val="bullet"/>
      <w:start w:val="1"/>
    </w:lvl>
  </w:abstractNum>
  <w:abstractNum w:abstractNumId="60">
    <w:nsid w:val="60EF0119"/>
    <w:multiLevelType w:val="hybridMultilevel"/>
    <w:lvl w:ilvl="0">
      <w:lvlJc w:val="left"/>
      <w:lvlText w:val="•"/>
      <w:numFmt w:val="bullet"/>
      <w:start w:val="1"/>
    </w:lvl>
  </w:abstractNum>
  <w:abstractNum w:abstractNumId="61">
    <w:nsid w:val="26F324BA"/>
    <w:multiLevelType w:val="hybridMultilevel"/>
    <w:lvl w:ilvl="0">
      <w:lvlJc w:val="left"/>
      <w:lvlText w:val="(%1)"/>
      <w:numFmt w:val="decimal"/>
      <w:start w:val="1"/>
    </w:lvl>
  </w:abstractNum>
  <w:abstractNum w:abstractNumId="62">
    <w:nsid w:val="7F01579B"/>
    <w:multiLevelType w:val="hybridMultilevel"/>
    <w:lvl w:ilvl="0">
      <w:lvlJc w:val="left"/>
      <w:lvlText w:val="(%1)"/>
      <w:numFmt w:val="decimal"/>
      <w:start w:val="3"/>
    </w:lvl>
  </w:abstractNum>
  <w:abstractNum w:abstractNumId="63">
    <w:nsid w:val="49DA307D"/>
    <w:multiLevelType w:val="hybridMultilevel"/>
    <w:lvl w:ilvl="0">
      <w:lvlJc w:val="left"/>
      <w:lvlText w:val="•"/>
      <w:numFmt w:val="bullet"/>
      <w:start w:val="1"/>
    </w:lvl>
  </w:abstractNum>
  <w:abstractNum w:abstractNumId="64">
    <w:nsid w:val="7055A5F5"/>
    <w:multiLevelType w:val="hybridMultilevel"/>
    <w:lvl w:ilvl="0">
      <w:lvlJc w:val="left"/>
      <w:lvlText w:val="•"/>
      <w:numFmt w:val="bullet"/>
      <w:start w:val="1"/>
    </w:lvl>
  </w:abstractNum>
  <w:abstractNum w:abstractNumId="65">
    <w:nsid w:val="5FB8370B"/>
    <w:multiLevelType w:val="hybridMultilevel"/>
    <w:lvl w:ilvl="0">
      <w:lvlJc w:val="left"/>
      <w:lvlText w:val="•"/>
      <w:numFmt w:val="bullet"/>
      <w:start w:val="1"/>
    </w:lvl>
  </w:abstractNum>
  <w:abstractNum w:abstractNumId="66">
    <w:nsid w:val="50801EE1"/>
    <w:multiLevelType w:val="hybridMultilevel"/>
    <w:lvl w:ilvl="0">
      <w:lvlJc w:val="left"/>
      <w:lvlText w:val="•"/>
      <w:numFmt w:val="bullet"/>
      <w:start w:val="1"/>
    </w:lvl>
  </w:abstractNum>
  <w:abstractNum w:abstractNumId="67">
    <w:nsid w:val="488AC1A"/>
    <w:multiLevelType w:val="hybridMultilevel"/>
    <w:lvl w:ilvl="0">
      <w:lvlJc w:val="left"/>
      <w:lvlText w:val="•"/>
      <w:numFmt w:val="bullet"/>
      <w:start w:val="1"/>
    </w:lvl>
  </w:abstractNum>
  <w:abstractNum w:abstractNumId="68">
    <w:nsid w:val="5FB8011C"/>
    <w:multiLevelType w:val="hybridMultilevel"/>
    <w:lvl w:ilvl="0">
      <w:lvlJc w:val="left"/>
      <w:lvlText w:val="•"/>
      <w:numFmt w:val="bullet"/>
      <w:start w:val="1"/>
    </w:lvl>
  </w:abstractNum>
  <w:abstractNum w:abstractNumId="69">
    <w:nsid w:val="6AA78F7F"/>
    <w:multiLevelType w:val="hybridMultilevel"/>
    <w:lvl w:ilvl="0">
      <w:lvlJc w:val="left"/>
      <w:lvlText w:val="(%1)"/>
      <w:numFmt w:val="decimal"/>
      <w:start w:val="8"/>
    </w:lvl>
  </w:abstractNum>
  <w:abstractNum w:abstractNumId="70">
    <w:nsid w:val="7672BD23"/>
    <w:multiLevelType w:val="hybridMultilevel"/>
    <w:lvl w:ilvl="0">
      <w:lvlJc w:val="left"/>
      <w:lvlText w:val="•"/>
      <w:numFmt w:val="bullet"/>
      <w:start w:val="1"/>
    </w:lvl>
  </w:abstractNum>
  <w:abstractNum w:abstractNumId="71">
    <w:nsid w:val="6FC75AF8"/>
    <w:multiLevelType w:val="hybridMultilevel"/>
    <w:lvl w:ilvl="0">
      <w:lvlJc w:val="left"/>
      <w:lvlText w:val="•"/>
      <w:numFmt w:val="bullet"/>
      <w:start w:val="1"/>
    </w:lvl>
  </w:abstractNum>
  <w:abstractNum w:abstractNumId="72">
    <w:nsid w:val="6A5F7029"/>
    <w:multiLevelType w:val="hybridMultilevel"/>
    <w:lvl w:ilvl="0">
      <w:lvlJc w:val="left"/>
      <w:lvlText w:val="•"/>
      <w:numFmt w:val="bullet"/>
      <w:start w:val="1"/>
    </w:lvl>
  </w:abstractNum>
  <w:abstractNum w:abstractNumId="73">
    <w:nsid w:val="7D5E18F8"/>
    <w:multiLevelType w:val="hybridMultilevel"/>
    <w:lvl w:ilvl="0">
      <w:lvlJc w:val="left"/>
      <w:lvlText w:val="•"/>
      <w:numFmt w:val="bullet"/>
      <w:start w:val="1"/>
    </w:lvl>
  </w:abstractNum>
  <w:abstractNum w:abstractNumId="74">
    <w:nsid w:val="5F3534A4"/>
    <w:multiLevelType w:val="hybridMultilevel"/>
    <w:lvl w:ilvl="0">
      <w:lvlJc w:val="left"/>
      <w:lvlText w:val="•"/>
      <w:numFmt w:val="bullet"/>
      <w:start w:val="1"/>
    </w:lvl>
  </w:abstractNum>
  <w:abstractNum w:abstractNumId="75">
    <w:nsid w:val="73A1821B"/>
    <w:multiLevelType w:val="hybridMultilevel"/>
    <w:lvl w:ilvl="0">
      <w:lvlJc w:val="left"/>
      <w:lvlText w:val="•"/>
      <w:numFmt w:val="bullet"/>
      <w:start w:val="1"/>
    </w:lvl>
  </w:abstractNum>
  <w:abstractNum w:abstractNumId="76">
    <w:nsid w:val="7DE67713"/>
    <w:multiLevelType w:val="hybridMultilevel"/>
    <w:lvl w:ilvl="0">
      <w:lvlJc w:val="left"/>
      <w:lvlText w:val="•"/>
      <w:numFmt w:val="bullet"/>
      <w:start w:val="1"/>
    </w:lvl>
  </w:abstractNum>
  <w:abstractNum w:abstractNumId="77">
    <w:nsid w:val="555C55B5"/>
    <w:multiLevelType w:val="hybridMultilevel"/>
    <w:lvl w:ilvl="0">
      <w:lvlJc w:val="left"/>
      <w:lvlText w:val="•"/>
      <w:numFmt w:val="bullet"/>
      <w:start w:val="1"/>
    </w:lvl>
  </w:abstractNum>
  <w:abstractNum w:abstractNumId="78">
    <w:nsid w:val="3FA62ACA"/>
    <w:multiLevelType w:val="hybridMultilevel"/>
    <w:lvl w:ilvl="0">
      <w:lvlJc w:val="left"/>
      <w:lvlText w:val="(%1)"/>
      <w:numFmt w:val="decimal"/>
      <w:start w:val="1"/>
    </w:lvl>
  </w:abstractNum>
  <w:abstractNum w:abstractNumId="79">
    <w:nsid w:val="14FCE74E"/>
    <w:multiLevelType w:val="hybridMultilevel"/>
    <w:lvl w:ilvl="0">
      <w:lvlJc w:val="left"/>
      <w:lvlText w:val="*"/>
      <w:numFmt w:val="bullet"/>
      <w:start w:val="1"/>
    </w:lvl>
  </w:abstractNum>
  <w:abstractNum w:abstractNumId="80">
    <w:nsid w:val="6A3DD3E8"/>
    <w:multiLevelType w:val="hybridMultilevel"/>
    <w:lvl w:ilvl="0">
      <w:lvlJc w:val="left"/>
      <w:lvlText w:val="•"/>
      <w:numFmt w:val="bullet"/>
      <w:start w:val="1"/>
    </w:lvl>
  </w:abstractNum>
  <w:abstractNum w:abstractNumId="81">
    <w:nsid w:val="71C91298"/>
    <w:multiLevelType w:val="hybridMultilevel"/>
    <w:lvl w:ilvl="0">
      <w:lvlJc w:val="left"/>
      <w:lvlText w:val="•"/>
      <w:numFmt w:val="bullet"/>
      <w:start w:val="1"/>
    </w:lvl>
  </w:abstractNum>
  <w:abstractNum w:abstractNumId="82">
    <w:nsid w:val="9DAF632"/>
    <w:multiLevelType w:val="hybridMultilevel"/>
    <w:lvl w:ilvl="0">
      <w:lvlJc w:val="left"/>
      <w:lvlText w:val="•"/>
      <w:numFmt w:val="bullet"/>
      <w:start w:val="1"/>
    </w:lvl>
  </w:abstractNum>
  <w:abstractNum w:abstractNumId="83">
    <w:nsid w:val="53299938"/>
    <w:multiLevelType w:val="hybridMultilevel"/>
    <w:lvl w:ilvl="0">
      <w:lvlJc w:val="left"/>
      <w:lvlText w:val="•"/>
      <w:numFmt w:val="bullet"/>
      <w:start w:val="1"/>
    </w:lvl>
  </w:abstractNum>
  <w:abstractNum w:abstractNumId="84">
    <w:nsid w:val="1FBFE8E0"/>
    <w:multiLevelType w:val="hybridMultilevel"/>
    <w:lvl w:ilvl="0">
      <w:lvlJc w:val="left"/>
      <w:lvlText w:val="•"/>
      <w:numFmt w:val="bullet"/>
      <w:start w:val="1"/>
    </w:lvl>
  </w:abstractNum>
  <w:abstractNum w:abstractNumId="85">
    <w:nsid w:val="5092CA79"/>
    <w:multiLevelType w:val="hybridMultilevel"/>
    <w:lvl w:ilvl="0">
      <w:lvlJc w:val="left"/>
      <w:lvlText w:val="(%1)"/>
      <w:numFmt w:val="decimal"/>
      <w:start w:val="1"/>
    </w:lvl>
  </w:abstractNum>
  <w:abstractNum w:abstractNumId="86">
    <w:nsid w:val="1D545C4D"/>
    <w:multiLevelType w:val="hybridMultilevel"/>
    <w:lvl w:ilvl="0">
      <w:lvlJc w:val="left"/>
      <w:lvlText w:val="(%1)"/>
      <w:numFmt w:val="decimal"/>
      <w:start w:val="1"/>
    </w:lvl>
  </w:abstractNum>
  <w:abstractNum w:abstractNumId="87">
    <w:nsid w:val="59ADEA3D"/>
    <w:multiLevelType w:val="hybridMultilevel"/>
    <w:lvl w:ilvl="0">
      <w:lvlJc w:val="left"/>
      <w:lvlText w:val="(%1)"/>
      <w:numFmt w:val="decimal"/>
      <w:start w:val="1"/>
    </w:lvl>
  </w:abstractNum>
  <w:abstractNum w:abstractNumId="88">
    <w:nsid w:val="288F1A34"/>
    <w:multiLevelType w:val="hybridMultilevel"/>
    <w:lvl w:ilvl="0">
      <w:lvlJc w:val="left"/>
      <w:lvlText w:val="(%1)"/>
      <w:numFmt w:val="decimal"/>
      <w:start w:val="1"/>
    </w:lvl>
  </w:abstractNum>
  <w:abstractNum w:abstractNumId="89">
    <w:nsid w:val="2A155DBC"/>
    <w:multiLevelType w:val="hybridMultilevel"/>
    <w:lvl w:ilvl="0">
      <w:lvlJc w:val="left"/>
      <w:lvlText w:val="(%1)"/>
      <w:numFmt w:val="decimal"/>
      <w:start w:val="1"/>
    </w:lvl>
  </w:abstractNum>
  <w:abstractNum w:abstractNumId="90">
    <w:nsid w:val="1D9F6E5F"/>
    <w:multiLevelType w:val="hybridMultilevel"/>
    <w:lvl w:ilvl="0">
      <w:lvlJc w:val="left"/>
      <w:lvlText w:val="(%1)"/>
      <w:numFmt w:val="decimal"/>
      <w:start w:val="2"/>
    </w:lvl>
  </w:abstractNum>
  <w:abstractNum w:abstractNumId="91">
    <w:nsid w:val="97E1B4E"/>
    <w:multiLevelType w:val="hybridMultilevel"/>
    <w:lvl w:ilvl="0">
      <w:lvlJc w:val="left"/>
      <w:lvlText w:val="•"/>
      <w:numFmt w:val="bullet"/>
      <w:start w:val="1"/>
    </w:lvl>
  </w:abstractNum>
  <w:abstractNum w:abstractNumId="92">
    <w:nsid w:val="51088277"/>
    <w:multiLevelType w:val="hybridMultilevel"/>
    <w:lvl w:ilvl="0">
      <w:lvlJc w:val="left"/>
      <w:lvlText w:val="•"/>
      <w:numFmt w:val="bullet"/>
      <w:start w:val="1"/>
    </w:lvl>
  </w:abstractNum>
  <w:abstractNum w:abstractNumId="93">
    <w:nsid w:val="1CA0C5FA"/>
    <w:multiLevelType w:val="hybridMultilevel"/>
    <w:lvl w:ilvl="0">
      <w:lvlJc w:val="left"/>
      <w:lvlText w:val="•"/>
      <w:numFmt w:val="bullet"/>
      <w:start w:val="1"/>
    </w:lvl>
  </w:abstractNum>
  <w:abstractNum w:abstractNumId="94">
    <w:nsid w:val="53584BCB"/>
    <w:multiLevelType w:val="hybridMultilevel"/>
    <w:lvl w:ilvl="0">
      <w:lvlJc w:val="left"/>
      <w:lvlText w:val="•"/>
      <w:numFmt w:val="bullet"/>
      <w:start w:val="1"/>
    </w:lvl>
  </w:abstractNum>
  <w:abstractNum w:abstractNumId="95">
    <w:nsid w:val="415E286C"/>
    <w:multiLevelType w:val="hybridMultilevel"/>
    <w:lvl w:ilvl="0">
      <w:lvlJc w:val="left"/>
      <w:lvlText w:val="•"/>
      <w:numFmt w:val="bullet"/>
      <w:start w:val="1"/>
    </w:lvl>
  </w:abstractNum>
  <w:abstractNum w:abstractNumId="96">
    <w:nsid w:val="7C58FD05"/>
    <w:multiLevelType w:val="hybridMultilevel"/>
    <w:lvl w:ilvl="0">
      <w:lvlJc w:val="left"/>
      <w:lvlText w:val="•"/>
      <w:numFmt w:val="bullet"/>
      <w:start w:val="1"/>
    </w:lvl>
  </w:abstractNum>
  <w:abstractNum w:abstractNumId="97">
    <w:nsid w:val="23D86AAC"/>
    <w:multiLevelType w:val="hybridMultilevel"/>
    <w:lvl w:ilvl="0">
      <w:lvlJc w:val="left"/>
      <w:lvlText w:val="•"/>
      <w:numFmt w:val="bullet"/>
      <w:start w:val="1"/>
    </w:lvl>
  </w:abstractNum>
  <w:abstractNum w:abstractNumId="98">
    <w:nsid w:val="45E6D486"/>
    <w:multiLevelType w:val="hybridMultilevel"/>
    <w:lvl w:ilvl="0">
      <w:lvlJc w:val="left"/>
      <w:lvlText w:val="•"/>
      <w:numFmt w:val="bullet"/>
      <w:start w:val="1"/>
    </w:lvl>
  </w:abstractNum>
  <w:abstractNum w:abstractNumId="99">
    <w:nsid w:val="5C10FE21"/>
    <w:multiLevelType w:val="hybridMultilevel"/>
    <w:lvl w:ilvl="0">
      <w:lvlJc w:val="left"/>
      <w:lvlText w:val="•"/>
      <w:numFmt w:val="bullet"/>
      <w:start w:val="1"/>
    </w:lvl>
  </w:abstractNum>
  <w:abstractNum w:abstractNumId="100">
    <w:nsid w:val="E7FFA2B"/>
    <w:multiLevelType w:val="hybridMultilevel"/>
    <w:lvl w:ilvl="0">
      <w:lvlJc w:val="left"/>
      <w:lvlText w:val="•"/>
      <w:numFmt w:val="bullet"/>
      <w:start w:val="1"/>
    </w:lvl>
  </w:abstractNum>
  <w:abstractNum w:abstractNumId="101">
    <w:nsid w:val="3C5991AA"/>
    <w:multiLevelType w:val="hybridMultilevel"/>
    <w:lvl w:ilvl="0">
      <w:lvlJc w:val="left"/>
      <w:lvlText w:val="•"/>
      <w:numFmt w:val="bullet"/>
      <w:start w:val="1"/>
    </w:lvl>
  </w:abstractNum>
  <w:abstractNum w:abstractNumId="102">
    <w:nsid w:val="4BD8591A"/>
    <w:multiLevelType w:val="hybridMultilevel"/>
    <w:lvl w:ilvl="0">
      <w:lvlJc w:val="left"/>
      <w:lvlText w:val="(%1)"/>
      <w:numFmt w:val="decimal"/>
      <w:start w:val="1"/>
    </w:lvl>
  </w:abstractNum>
  <w:abstractNum w:abstractNumId="103">
    <w:nsid w:val="78DF6A55"/>
    <w:multiLevelType w:val="hybridMultilevel"/>
    <w:lvl w:ilvl="0">
      <w:lvlJc w:val="left"/>
      <w:lvlText w:val="(%1)"/>
      <w:numFmt w:val="decimal"/>
      <w:start w:val="1"/>
    </w:lvl>
  </w:abstractNum>
  <w:abstractNum w:abstractNumId="104">
    <w:nsid w:val="39B7AAA2"/>
    <w:multiLevelType w:val="hybridMultilevel"/>
    <w:lvl w:ilvl="0">
      <w:lvlJc w:val="left"/>
      <w:lvlText w:val="•"/>
      <w:numFmt w:val="bullet"/>
      <w:start w:val="1"/>
    </w:lvl>
  </w:abstractNum>
  <w:abstractNum w:abstractNumId="105">
    <w:nsid w:val="2B0D8DBE"/>
    <w:multiLevelType w:val="hybridMultilevel"/>
    <w:lvl w:ilvl="0">
      <w:lvlJc w:val="left"/>
      <w:lvlText w:val="•"/>
      <w:numFmt w:val="bullet"/>
      <w:start w:val="1"/>
    </w:lvl>
  </w:abstractNum>
  <w:abstractNum w:abstractNumId="106">
    <w:nsid w:val="6C80EC70"/>
    <w:multiLevelType w:val="hybridMultilevel"/>
    <w:lvl w:ilvl="0">
      <w:lvlJc w:val="left"/>
      <w:lvlText w:val="•"/>
      <w:numFmt w:val="bullet"/>
      <w:start w:val="1"/>
    </w:lvl>
  </w:abstractNum>
  <w:abstractNum w:abstractNumId="107">
    <w:nsid w:val="379E21B5"/>
    <w:multiLevelType w:val="hybridMultilevel"/>
    <w:lvl w:ilvl="0">
      <w:lvlJc w:val="left"/>
      <w:lvlText w:val="•"/>
      <w:numFmt w:val="bullet"/>
      <w:start w:val="1"/>
    </w:lvl>
  </w:abstractNum>
  <w:abstractNum w:abstractNumId="108">
    <w:nsid w:val="69E373"/>
    <w:multiLevelType w:val="hybridMultilevel"/>
    <w:lvl w:ilvl="0">
      <w:lvlJc w:val="left"/>
      <w:lvlText w:val="(%1)"/>
      <w:numFmt w:val="decimal"/>
      <w:start w:val="1"/>
    </w:lvl>
  </w:abstractNum>
  <w:abstractNum w:abstractNumId="109">
    <w:nsid w:val="2C27173B"/>
    <w:multiLevelType w:val="hybridMultilevel"/>
    <w:lvl w:ilvl="0">
      <w:lvlJc w:val="left"/>
      <w:lvlText w:val="(%1)"/>
      <w:numFmt w:val="decimal"/>
      <w:start w:val="3"/>
    </w:lvl>
  </w:abstractNum>
  <w:abstractNum w:abstractNumId="110">
    <w:nsid w:val="4C9B0904"/>
    <w:multiLevelType w:val="hybridMultilevel"/>
    <w:lvl w:ilvl="0">
      <w:lvlJc w:val="left"/>
      <w:lvlText w:val="(%1)"/>
      <w:numFmt w:val="decimal"/>
      <w:start w:val="7"/>
    </w:lvl>
  </w:abstractNum>
  <w:abstractNum w:abstractNumId="111">
    <w:nsid w:val="6AA7B75C"/>
    <w:multiLevelType w:val="hybridMultilevel"/>
    <w:lvl w:ilvl="0">
      <w:lvlJc w:val="left"/>
      <w:lvlText w:val="(%1)"/>
      <w:numFmt w:val="decimal"/>
      <w:start w:val="16"/>
    </w:lvl>
  </w:abstractNum>
  <w:abstractNum w:abstractNumId="112">
    <w:nsid w:val="1DF029D3"/>
    <w:multiLevelType w:val="hybridMultilevel"/>
    <w:lvl w:ilvl="0">
      <w:lvlJc w:val="left"/>
      <w:lvlText w:val="•"/>
      <w:numFmt w:val="bullet"/>
      <w:start w:val="1"/>
    </w:lvl>
  </w:abstractNum>
  <w:abstractNum w:abstractNumId="113">
    <w:nsid w:val="5675FF36"/>
    <w:multiLevelType w:val="hybridMultilevel"/>
    <w:lvl w:ilvl="0">
      <w:lvlJc w:val="left"/>
      <w:lvlText w:val="•"/>
      <w:numFmt w:val="bullet"/>
      <w:start w:val="1"/>
    </w:lvl>
  </w:abstractNum>
  <w:abstractNum w:abstractNumId="114">
    <w:nsid w:val="3DD15094"/>
    <w:multiLevelType w:val="hybridMultilevel"/>
    <w:lvl w:ilvl="0">
      <w:lvlJc w:val="left"/>
      <w:lvlText w:val="•"/>
      <w:numFmt w:val="bullet"/>
      <w:start w:val="1"/>
    </w:lvl>
  </w:abstractNum>
  <w:abstractNum w:abstractNumId="115">
    <w:nsid w:val="3DB012B3"/>
    <w:multiLevelType w:val="hybridMultilevel"/>
    <w:lvl w:ilvl="0">
      <w:lvlJc w:val="left"/>
      <w:lvlText w:val="•"/>
      <w:numFmt w:val="bullet"/>
      <w:start w:val="1"/>
    </w:lvl>
  </w:abstractNum>
  <w:abstractNum w:abstractNumId="116">
    <w:nsid w:val="2708C9AF"/>
    <w:multiLevelType w:val="hybridMultilevel"/>
    <w:lvl w:ilvl="0">
      <w:lvlJc w:val="left"/>
      <w:lvlText w:val="•"/>
      <w:numFmt w:val="bullet"/>
      <w:start w:val="1"/>
    </w:lvl>
  </w:abstractNum>
  <w:abstractNum w:abstractNumId="117">
    <w:nsid w:val="5B25ACE2"/>
    <w:multiLevelType w:val="hybridMultilevel"/>
    <w:lvl w:ilvl="0">
      <w:lvlJc w:val="left"/>
      <w:lvlText w:val="•"/>
      <w:numFmt w:val="bullet"/>
      <w:start w:val="1"/>
    </w:lvl>
  </w:abstractNum>
  <w:abstractNum w:abstractNumId="118">
    <w:nsid w:val="175DFCF0"/>
    <w:multiLevelType w:val="hybridMultilevel"/>
    <w:lvl w:ilvl="0">
      <w:lvlJc w:val="left"/>
      <w:lvlText w:val="•"/>
      <w:numFmt w:val="bullet"/>
      <w:start w:val="1"/>
    </w:lvl>
  </w:abstractNum>
  <w:abstractNum w:abstractNumId="119">
    <w:nsid w:val="4F97E3E4"/>
    <w:multiLevelType w:val="hybridMultilevel"/>
    <w:lvl w:ilvl="0">
      <w:lvlJc w:val="left"/>
      <w:lvlText w:val="(%1)"/>
      <w:numFmt w:val="decimal"/>
      <w:start w:val="1"/>
    </w:lvl>
  </w:abstractNum>
  <w:abstractNum w:abstractNumId="120">
    <w:nsid w:val="53B0A9E"/>
    <w:multiLevelType w:val="hybridMultilevel"/>
    <w:lvl w:ilvl="0">
      <w:lvlJc w:val="left"/>
      <w:lvlText w:val="•"/>
      <w:numFmt w:val="bullet"/>
      <w:start w:val="1"/>
    </w:lvl>
  </w:abstractNum>
  <w:abstractNum w:abstractNumId="121">
    <w:nsid w:val="34FD6B4F"/>
    <w:multiLevelType w:val="hybridMultilevel"/>
    <w:lvl w:ilvl="0">
      <w:lvlJc w:val="left"/>
      <w:lvlText w:val="%1."/>
      <w:numFmt w:val="decimal"/>
      <w:start w:val="2"/>
    </w:lvl>
  </w:abstractNum>
  <w:abstractNum w:abstractNumId="122">
    <w:nsid w:val="5915FF32"/>
    <w:multiLevelType w:val="hybridMultilevel"/>
    <w:lvl w:ilvl="0">
      <w:lvlJc w:val="left"/>
      <w:lvlText w:val="%1."/>
      <w:numFmt w:val="decimal"/>
      <w:start w:val="9"/>
    </w:lvl>
  </w:abstractNum>
  <w:abstractNum w:abstractNumId="123">
    <w:nsid w:val="56438D15"/>
    <w:multiLevelType w:val="hybridMultilevel"/>
    <w:lvl w:ilvl="0">
      <w:lvlJc w:val="left"/>
      <w:lvlText w:val="%1."/>
      <w:numFmt w:val="decimal"/>
      <w:start w:val="12"/>
    </w:lvl>
  </w:abstractNum>
  <w:abstractNum w:abstractNumId="124">
    <w:nsid w:val="519E3149"/>
    <w:multiLevelType w:val="hybridMultilevel"/>
    <w:lvl w:ilvl="0">
      <w:lvlJc w:val="left"/>
      <w:lvlText w:val="%1."/>
      <w:numFmt w:val="decimal"/>
      <w:start w:val="15"/>
    </w:lvl>
  </w:abstractNum>
  <w:abstractNum w:abstractNumId="125">
    <w:nsid w:val="2C6E4AFD"/>
    <w:multiLevelType w:val="hybridMultilevel"/>
    <w:lvl w:ilvl="0">
      <w:lvlJc w:val="left"/>
      <w:lvlText w:val="%1."/>
      <w:numFmt w:val="decimal"/>
      <w:start w:val="2"/>
    </w:lvl>
  </w:abstractNum>
  <w:abstractNum w:abstractNumId="126">
    <w:nsid w:val="17A1B582"/>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2019-12-08T14:40:16Z</dcterms:created>
  <dcterms:modified xsi:type="dcterms:W3CDTF">2019-12-08T14:40:16Z</dcterms:modified>
</cp:coreProperties>
</file>