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480918.xml.htm"/>
      <w:bookmarkStart w:id="1" w:name="kswkform4_17794809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Teel Randy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ARVINAS,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SCIENCE PARK, 395 WINCHESTER AVE.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HAVEN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06511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ARVINAS,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ARVN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9.0365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285,009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made automatically by the Issuer to cover tax withholding obligations in connection with the vesting and settlement of one-half of the reporting person's restricted stock units (RSUs) granted on May 21, 2024. The sale does not represent a discretionary trade.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Freedberg, as attorney-in-fact for Randy Teel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5998" TargetMode="External"/><Relationship Id="rId5" Type="http://schemas.openxmlformats.org/officeDocument/2006/relationships/hyperlink" Target="http://www.sec.gov/cgi-bin/browse-edgar?action=getcompany&amp;CIK=00016557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613</Words>
  <Characters>3322</Characters>
  <CharactersWithSpaces>3874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