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440055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6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5" w:lineRule="exact"/>
        <w:rPr>
          <w:sz w:val="24"/>
          <w:szCs w:val="24"/>
          <w:color w:val="auto"/>
        </w:rPr>
      </w:pPr>
    </w:p>
    <w:p>
      <w:pPr>
        <w:ind w:left="4720"/>
        <w:spacing w:after="0"/>
        <w:rPr>
          <w:sz w:val="20"/>
          <w:szCs w:val="20"/>
          <w:color w:val="auto"/>
        </w:rPr>
      </w:pPr>
      <w:r>
        <w:rPr>
          <w:rFonts w:ascii="Arial" w:cs="Arial" w:eastAsia="Arial" w:hAnsi="Arial"/>
          <w:sz w:val="18"/>
          <w:szCs w:val="18"/>
          <w:color w:val="auto"/>
        </w:rPr>
        <w:t>__________________</w:t>
      </w:r>
    </w:p>
    <w:p>
      <w:pPr>
        <w:spacing w:after="0" w:line="5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56" w:lineRule="exact"/>
        <w:rPr>
          <w:sz w:val="24"/>
          <w:szCs w:val="24"/>
          <w:color w:val="auto"/>
        </w:rPr>
      </w:pPr>
    </w:p>
    <w:p>
      <w:pPr>
        <w:ind w:left="4720"/>
        <w:spacing w:after="0"/>
        <w:rPr>
          <w:sz w:val="20"/>
          <w:szCs w:val="20"/>
          <w:color w:val="auto"/>
        </w:rPr>
      </w:pPr>
      <w:r>
        <w:rPr>
          <w:rFonts w:ascii="Arial" w:cs="Arial" w:eastAsia="Arial" w:hAnsi="Arial"/>
          <w:sz w:val="18"/>
          <w:szCs w:val="18"/>
          <w:color w:val="auto"/>
        </w:rPr>
        <w:t>__________________</w:t>
      </w:r>
    </w:p>
    <w:p>
      <w:pPr>
        <w:spacing w:after="0" w:line="16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5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24, 2026</w:t>
      </w:r>
    </w:p>
    <w:p>
      <w:pPr>
        <w:spacing w:after="0" w:line="21" w:lineRule="exact"/>
        <w:rPr>
          <w:sz w:val="24"/>
          <w:szCs w:val="24"/>
          <w:color w:val="auto"/>
        </w:rPr>
      </w:pPr>
    </w:p>
    <w:p>
      <w:pPr>
        <w:ind w:left="4720"/>
        <w:spacing w:after="0"/>
        <w:rPr>
          <w:sz w:val="20"/>
          <w:szCs w:val="20"/>
          <w:color w:val="auto"/>
        </w:rPr>
      </w:pPr>
      <w:r>
        <w:rPr>
          <w:rFonts w:ascii="Arial" w:cs="Arial" w:eastAsia="Arial" w:hAnsi="Arial"/>
          <w:sz w:val="18"/>
          <w:szCs w:val="18"/>
          <w:color w:val="auto"/>
        </w:rPr>
        <w:t>__________________</w:t>
      </w:r>
    </w:p>
    <w:p>
      <w:pPr>
        <w:spacing w:after="0" w:line="6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3"/>
          <w:szCs w:val="43"/>
          <w:b w:val="1"/>
          <w:bCs w:val="1"/>
          <w:color w:val="auto"/>
        </w:rPr>
        <w:t>Arvinas, Inc.</w:t>
      </w:r>
    </w:p>
    <w:p>
      <w:pPr>
        <w:spacing w:after="0" w:line="5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6" w:lineRule="exact"/>
        <w:rPr>
          <w:sz w:val="24"/>
          <w:szCs w:val="24"/>
          <w:color w:val="auto"/>
        </w:rPr>
      </w:pPr>
    </w:p>
    <w:p>
      <w:pPr>
        <w:ind w:left="4720"/>
        <w:spacing w:after="0"/>
        <w:rPr>
          <w:sz w:val="20"/>
          <w:szCs w:val="20"/>
          <w:color w:val="auto"/>
        </w:rPr>
      </w:pPr>
      <w:r>
        <w:rPr>
          <w:rFonts w:ascii="Arial" w:cs="Arial" w:eastAsia="Arial" w:hAnsi="Arial"/>
          <w:sz w:val="18"/>
          <w:szCs w:val="18"/>
          <w:color w:val="auto"/>
        </w:rPr>
        <w:t>__________________</w:t>
      </w:r>
    </w:p>
    <w:p>
      <w:pPr>
        <w:sectPr>
          <w:pgSz w:w="11900" w:h="16838" w:orient="portrait"/>
          <w:cols w:equalWidth="0" w:num="1">
            <w:col w:w="11220"/>
          </w:cols>
          <w:pgMar w:left="320" w:top="821" w:right="359" w:bottom="1440" w:gutter="0" w:footer="0" w:header="0"/>
        </w:sectPr>
      </w:pPr>
    </w:p>
    <w:p>
      <w:pPr>
        <w:spacing w:after="0" w:line="231"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211" w:lineRule="exact"/>
        <w:rPr>
          <w:sz w:val="24"/>
          <w:szCs w:val="24"/>
          <w:color w:val="auto"/>
        </w:rPr>
      </w:pPr>
    </w:p>
    <w:p>
      <w:pPr>
        <w:jc w:val="center"/>
        <w:ind w:right="2200"/>
        <w:spacing w:after="0"/>
        <w:rPr>
          <w:sz w:val="20"/>
          <w:szCs w:val="20"/>
          <w:color w:val="auto"/>
        </w:rPr>
      </w:pPr>
      <w:r>
        <w:rPr>
          <w:rFonts w:ascii="Times New Roman" w:cs="Times New Roman" w:eastAsia="Times New Roman" w:hAnsi="Times New Roman"/>
          <w:sz w:val="17"/>
          <w:szCs w:val="17"/>
          <w:b w:val="1"/>
          <w:bCs w:val="1"/>
          <w:color w:val="auto"/>
        </w:rPr>
        <w:t>001-38672</w:t>
      </w:r>
    </w:p>
    <w:p>
      <w:pPr>
        <w:spacing w:after="0" w:line="20" w:lineRule="exact"/>
        <w:rPr>
          <w:sz w:val="24"/>
          <w:szCs w:val="24"/>
          <w:color w:val="auto"/>
        </w:rPr>
      </w:pPr>
      <w:r>
        <w:rPr>
          <w:sz w:val="24"/>
          <w:szCs w:val="24"/>
          <w:color w:val="auto"/>
        </w:rPr>
        <w:br w:type="column"/>
      </w:r>
    </w:p>
    <w:p>
      <w:pPr>
        <w:spacing w:after="0" w:line="21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47-2566120</w:t>
      </w:r>
    </w:p>
    <w:p>
      <w:pPr>
        <w:spacing w:after="0" w:line="26" w:lineRule="exact"/>
        <w:rPr>
          <w:sz w:val="24"/>
          <w:szCs w:val="24"/>
          <w:color w:val="auto"/>
        </w:rPr>
      </w:pPr>
    </w:p>
    <w:p>
      <w:pPr>
        <w:sectPr>
          <w:pgSz w:w="11900" w:h="16838" w:orient="portrait"/>
          <w:cols w:equalWidth="0" w:num="3">
            <w:col w:w="4500" w:space="720"/>
            <w:col w:w="2980" w:space="720"/>
            <w:col w:w="2300"/>
          </w:cols>
          <w:pgMar w:left="320" w:top="821" w:right="359" w:bottom="1440" w:gutter="0" w:footer="0" w:header="0"/>
          <w:type w:val="continuous"/>
        </w:sectPr>
      </w:pPr>
    </w:p>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3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3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0" w:space="720"/>
            <w:col w:w="2880" w:space="720"/>
            <w:col w:w="2420"/>
          </w:cols>
          <w:pgMar w:left="320" w:top="821" w:right="359" w:bottom="1440" w:gutter="0" w:footer="0" w:header="0"/>
          <w:type w:val="continuous"/>
        </w:sectPr>
      </w:pPr>
    </w:p>
    <w:p>
      <w:pPr>
        <w:spacing w:after="0" w:line="136"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8"/>
          <w:szCs w:val="18"/>
          <w:b w:val="1"/>
          <w:bCs w:val="1"/>
          <w:color w:val="auto"/>
        </w:rPr>
        <w:t>5 Science Park</w:t>
      </w:r>
    </w:p>
    <w:p>
      <w:pPr>
        <w:spacing w:after="0" w:line="15"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8"/>
          <w:szCs w:val="18"/>
          <w:b w:val="1"/>
          <w:bCs w:val="1"/>
          <w:color w:val="auto"/>
        </w:rPr>
        <w:t>395 Winchester Ave.</w:t>
      </w:r>
    </w:p>
    <w:p>
      <w:pPr>
        <w:jc w:val="center"/>
        <w:ind w:right="1880"/>
        <w:spacing w:after="0"/>
        <w:rPr>
          <w:sz w:val="20"/>
          <w:szCs w:val="20"/>
          <w:color w:val="auto"/>
        </w:rPr>
      </w:pPr>
      <w:r>
        <w:rPr>
          <w:rFonts w:ascii="Times New Roman" w:cs="Times New Roman" w:eastAsia="Times New Roman" w:hAnsi="Times New Roman"/>
          <w:sz w:val="17"/>
          <w:szCs w:val="17"/>
          <w:b w:val="1"/>
          <w:bCs w:val="1"/>
          <w:color w:val="auto"/>
        </w:rPr>
        <w:t>New Haven, Connecticut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4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06511</w:t>
      </w:r>
    </w:p>
    <w:p>
      <w:pPr>
        <w:spacing w:after="0" w:line="59" w:lineRule="exact"/>
        <w:rPr>
          <w:sz w:val="24"/>
          <w:szCs w:val="24"/>
          <w:color w:val="auto"/>
        </w:rPr>
      </w:pPr>
    </w:p>
    <w:p>
      <w:pPr>
        <w:sectPr>
          <w:pgSz w:w="11900" w:h="16838" w:orient="portrait"/>
          <w:cols w:equalWidth="0" w:num="2">
            <w:col w:w="7500" w:space="720"/>
            <w:col w:w="3000"/>
          </w:cols>
          <w:pgMar w:left="320" w:top="821" w:right="359" w:bottom="1440" w:gutter="0" w:footer="0" w:header="0"/>
          <w:type w:val="continuous"/>
        </w:sectPr>
      </w:pPr>
    </w:p>
    <w:p>
      <w:pPr>
        <w:ind w:left="16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200" w:lineRule="exact"/>
        <w:rPr>
          <w:sz w:val="24"/>
          <w:szCs w:val="24"/>
          <w:color w:val="auto"/>
        </w:rPr>
      </w:pPr>
    </w:p>
    <w:p>
      <w:pPr>
        <w:sectPr>
          <w:pgSz w:w="11900" w:h="16838" w:orient="portrait"/>
          <w:cols w:equalWidth="0" w:num="2">
            <w:col w:w="7380" w:space="720"/>
            <w:col w:w="3120"/>
          </w:cols>
          <w:pgMar w:left="320" w:top="821" w:right="359" w:bottom="1440" w:gutter="0" w:footer="0" w:header="0"/>
          <w:type w:val="continuous"/>
        </w:sectPr>
      </w:pPr>
    </w:p>
    <w:p>
      <w:pPr>
        <w:spacing w:after="0" w:line="1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(203) 535-1456</w:t>
      </w:r>
    </w:p>
    <w:p>
      <w:pPr>
        <w:spacing w:after="0" w:line="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11" w:lineRule="exact"/>
        <w:rPr>
          <w:sz w:val="24"/>
          <w:szCs w:val="24"/>
          <w:color w:val="auto"/>
        </w:rPr>
      </w:pPr>
    </w:p>
    <w:p>
      <w:pPr>
        <w:ind w:left="4720"/>
        <w:spacing w:after="0"/>
        <w:rPr>
          <w:sz w:val="20"/>
          <w:szCs w:val="20"/>
          <w:color w:val="auto"/>
        </w:rPr>
      </w:pPr>
      <w:r>
        <w:rPr>
          <w:rFonts w:ascii="Arial" w:cs="Arial" w:eastAsia="Arial" w:hAnsi="Arial"/>
          <w:sz w:val="18"/>
          <w:szCs w:val="18"/>
          <w:color w:val="auto"/>
        </w:rPr>
        <w:t>__________________</w:t>
      </w:r>
    </w:p>
    <w:p>
      <w:pPr>
        <w:spacing w:after="0" w:line="95" w:lineRule="exact"/>
        <w:rPr>
          <w:sz w:val="24"/>
          <w:szCs w:val="24"/>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162" w:lineRule="exact"/>
        <w:rPr>
          <w:sz w:val="24"/>
          <w:szCs w:val="24"/>
          <w:color w:val="auto"/>
        </w:rPr>
      </w:pPr>
    </w:p>
    <w:p>
      <w:pPr>
        <w:ind w:left="480" w:hanging="454"/>
        <w:spacing w:after="0"/>
        <w:tabs>
          <w:tab w:leader="none" w:pos="4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76" w:lineRule="exact"/>
        <w:rPr>
          <w:rFonts w:ascii="Wingdings" w:cs="Wingdings" w:eastAsia="Wingdings" w:hAnsi="Wingdings"/>
          <w:sz w:val="18"/>
          <w:szCs w:val="18"/>
          <w:b w:val="1"/>
          <w:bCs w:val="1"/>
          <w:color w:val="auto"/>
        </w:rPr>
      </w:pPr>
    </w:p>
    <w:p>
      <w:pPr>
        <w:ind w:left="480" w:hanging="454"/>
        <w:spacing w:after="0"/>
        <w:tabs>
          <w:tab w:leader="none" w:pos="4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Wingdings" w:cs="Wingdings" w:eastAsia="Wingdings" w:hAnsi="Wingdings"/>
          <w:sz w:val="18"/>
          <w:szCs w:val="18"/>
          <w:b w:val="1"/>
          <w:bCs w:val="1"/>
          <w:color w:val="auto"/>
        </w:rPr>
      </w:pPr>
    </w:p>
    <w:p>
      <w:pPr>
        <w:ind w:left="480" w:hanging="454"/>
        <w:spacing w:after="0"/>
        <w:tabs>
          <w:tab w:leader="none" w:pos="4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Wingdings" w:cs="Wingdings" w:eastAsia="Wingdings" w:hAnsi="Wingdings"/>
          <w:sz w:val="18"/>
          <w:szCs w:val="18"/>
          <w:b w:val="1"/>
          <w:bCs w:val="1"/>
          <w:color w:val="auto"/>
        </w:rPr>
      </w:pPr>
    </w:p>
    <w:p>
      <w:pPr>
        <w:ind w:left="480" w:hanging="454"/>
        <w:spacing w:after="0"/>
        <w:tabs>
          <w:tab w:leader="none" w:pos="4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2" w:lineRule="exact"/>
        <w:rPr>
          <w:sz w:val="24"/>
          <w:szCs w:val="24"/>
          <w:color w:val="auto"/>
        </w:rPr>
      </w:pPr>
    </w:p>
    <w:tbl>
      <w:tblPr>
        <w:tblLayout w:type="fixed"/>
        <w:tblInd w:w="20" w:type="dxa"/>
        <w:tblCellMar>
          <w:top w:w="0" w:type="dxa"/>
          <w:left w:w="0" w:type="dxa"/>
          <w:bottom w:w="0" w:type="dxa"/>
          <w:right w:w="0" w:type="dxa"/>
        </w:tblCellMar>
      </w:tblPr>
      <w:tr>
        <w:trPr>
          <w:trHeight w:val="175"/>
        </w:trPr>
        <w:tc>
          <w:tcPr>
            <w:tcW w:w="4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4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r>
      <w:tr>
        <w:trPr>
          <w:trHeight w:val="217"/>
        </w:trPr>
        <w:tc>
          <w:tcPr>
            <w:tcW w:w="4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2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4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r>
      <w:tr>
        <w:trPr>
          <w:trHeight w:val="23"/>
        </w:trPr>
        <w:tc>
          <w:tcPr>
            <w:tcW w:w="4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r>
      <w:tr>
        <w:trPr>
          <w:trHeight w:val="236"/>
        </w:trPr>
        <w:tc>
          <w:tcPr>
            <w:tcW w:w="4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$0.001 per share</w:t>
            </w:r>
          </w:p>
        </w:tc>
        <w:tc>
          <w:tcPr>
            <w:tcW w:w="2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ARVN</w:t>
            </w:r>
          </w:p>
        </w:tc>
        <w:tc>
          <w:tcPr>
            <w:tcW w:w="4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265" w:lineRule="exact"/>
        <w:rPr>
          <w:sz w:val="24"/>
          <w:szCs w:val="24"/>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o</w:t>
      </w:r>
    </w:p>
    <w:p>
      <w:pPr>
        <w:spacing w:after="0" w:line="198" w:lineRule="exact"/>
        <w:rPr>
          <w:sz w:val="24"/>
          <w:szCs w:val="24"/>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521335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122555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821" w:right="35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56" w:lineRule="exact"/>
        <w:rPr>
          <w:sz w:val="20"/>
          <w:szCs w:val="20"/>
          <w:color w:val="auto"/>
        </w:rPr>
      </w:pPr>
    </w:p>
    <w:p>
      <w:pPr>
        <w:jc w:val="both"/>
        <w:ind w:right="460"/>
        <w:spacing w:after="0" w:line="257" w:lineRule="auto"/>
        <w:rPr>
          <w:sz w:val="20"/>
          <w:szCs w:val="20"/>
          <w:color w:val="auto"/>
        </w:rPr>
      </w:pPr>
      <w:r>
        <w:rPr>
          <w:rFonts w:ascii="Times New Roman" w:cs="Times New Roman" w:eastAsia="Times New Roman" w:hAnsi="Times New Roman"/>
          <w:sz w:val="18"/>
          <w:szCs w:val="18"/>
          <w:color w:val="auto"/>
        </w:rPr>
        <w:t>On June 24, 2026, Arvinas, Inc. (the "Company") held its annual meeting of stockholders (the “Annual Meeting”) to consider and vote upon the three proposals set forth below, each of which is described in greater detail in the Company's Proxy Statement, filed with the U.S. Securities and Exchange Commission on April 29, 2026. The final voting results are set forth below.</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1. Proposal No. 1 - Election of Two Class II Directors</w:t>
      </w:r>
    </w:p>
    <w:p>
      <w:pPr>
        <w:spacing w:after="0" w:line="234"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Company's stockholders elected Leslie V. Norwalk, Esq. and Randy Teel, Ph.D. as Class II directors, each to serve until the 2029 annual meeting of stockholders. The results of the vote with respect to election of the Class II directors were as follows: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280" w:type="dxa"/>
            <w:vAlign w:val="bottom"/>
          </w:tcPr>
          <w:p>
            <w:pPr>
              <w:spacing w:after="0"/>
              <w:rPr>
                <w:sz w:val="16"/>
                <w:szCs w:val="16"/>
                <w:color w:val="auto"/>
              </w:rPr>
            </w:pPr>
          </w:p>
        </w:tc>
        <w:tc>
          <w:tcPr>
            <w:tcW w:w="168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For</w:t>
            </w:r>
          </w:p>
        </w:tc>
        <w:tc>
          <w:tcPr>
            <w:tcW w:w="168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Withheld</w:t>
            </w:r>
          </w:p>
        </w:tc>
        <w:tc>
          <w:tcPr>
            <w:tcW w:w="1600" w:type="dxa"/>
            <w:vAlign w:val="bottom"/>
          </w:tcPr>
          <w:p>
            <w:pPr>
              <w:jc w:val="right"/>
              <w:ind w:right="196"/>
              <w:spacing w:after="0"/>
              <w:rPr>
                <w:sz w:val="20"/>
                <w:szCs w:val="20"/>
                <w:color w:val="auto"/>
              </w:rPr>
            </w:pPr>
            <w:r>
              <w:rPr>
                <w:rFonts w:ascii="Times New Roman" w:cs="Times New Roman" w:eastAsia="Times New Roman" w:hAnsi="Times New Roman"/>
                <w:sz w:val="14"/>
                <w:szCs w:val="14"/>
                <w:color w:val="auto"/>
              </w:rPr>
              <w:t>Broker Non-Votes</w:t>
            </w:r>
          </w:p>
        </w:tc>
      </w:tr>
      <w:tr>
        <w:trPr>
          <w:trHeight w:val="23"/>
        </w:trPr>
        <w:tc>
          <w:tcPr>
            <w:tcW w:w="628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30"/>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Leslie V. Norwalk, Esq.</w:t>
            </w:r>
          </w:p>
        </w:tc>
        <w:tc>
          <w:tcPr>
            <w:tcW w:w="158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33,199,341</w:t>
            </w:r>
          </w:p>
        </w:tc>
        <w:tc>
          <w:tcPr>
            <w:tcW w:w="1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10,607,126</w:t>
            </w:r>
          </w:p>
        </w:tc>
        <w:tc>
          <w:tcPr>
            <w:tcW w:w="8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7,338,245</w:t>
            </w:r>
          </w:p>
        </w:tc>
      </w:tr>
      <w:tr>
        <w:trPr>
          <w:trHeight w:val="234"/>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Randy Teel, Ph.D.</w:t>
            </w:r>
          </w:p>
        </w:tc>
        <w:tc>
          <w:tcPr>
            <w:tcW w:w="15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43,413,337</w:t>
            </w:r>
          </w:p>
        </w:tc>
        <w:tc>
          <w:tcPr>
            <w:tcW w:w="1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393,130</w:t>
            </w:r>
          </w:p>
        </w:tc>
        <w:tc>
          <w:tcPr>
            <w:tcW w:w="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7,338,245</w:t>
            </w:r>
          </w:p>
        </w:tc>
      </w:tr>
    </w:tbl>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2. Proposal 2 - Advisory Vote on Compensation of the Company's Named Executive Officers</w:t>
      </w:r>
    </w:p>
    <w:p>
      <w:pPr>
        <w:spacing w:after="0" w:line="25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stockholders of the Company approved, on a non-binding, advisory basis, the compensation of the Company’s named executive officers. The results of the non-biding, advisory vote with respect to such approval were as follows: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w:t>
            </w:r>
          </w:p>
        </w:tc>
        <w:tc>
          <w:tcPr>
            <w:tcW w:w="5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41,191,614</w:t>
            </w:r>
          </w:p>
        </w:tc>
      </w:tr>
      <w:tr>
        <w:trPr>
          <w:trHeight w:val="234"/>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Against:</w:t>
            </w:r>
          </w:p>
        </w:tc>
        <w:tc>
          <w:tcPr>
            <w:tcW w:w="5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2,490,293</w:t>
            </w:r>
          </w:p>
        </w:tc>
      </w:tr>
      <w:tr>
        <w:trPr>
          <w:trHeight w:val="22"/>
        </w:trPr>
        <w:tc>
          <w:tcPr>
            <w:tcW w:w="590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r>
      <w:tr>
        <w:trPr>
          <w:trHeight w:val="237"/>
        </w:trPr>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Abstain:</w:t>
            </w:r>
          </w:p>
        </w:tc>
        <w:tc>
          <w:tcPr>
            <w:tcW w:w="5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124,560</w:t>
            </w:r>
          </w:p>
        </w:tc>
      </w:tr>
      <w:tr>
        <w:trPr>
          <w:trHeight w:val="234"/>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Broker Non-Votes:</w:t>
            </w:r>
          </w:p>
        </w:tc>
        <w:tc>
          <w:tcPr>
            <w:tcW w:w="5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7,338,245</w:t>
            </w:r>
          </w:p>
        </w:tc>
      </w:tr>
    </w:tbl>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3. Proposal 3 - Ratification of Appointment of the Company's Independent Registered Public Accounting Firm</w:t>
      </w:r>
    </w:p>
    <w:p>
      <w:pPr>
        <w:spacing w:after="0" w:line="25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Company's stockholders ratified the appointment of Deloitte &amp; Touche LLP as the independent registered public accounting firm for the Company for the fiscal year ending December 31, 2026. The results of the vote with respect to such ratification were as follows: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w:t>
            </w:r>
          </w:p>
        </w:tc>
        <w:tc>
          <w:tcPr>
            <w:tcW w:w="5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50,597,706</w:t>
            </w:r>
          </w:p>
        </w:tc>
      </w:tr>
      <w:tr>
        <w:trPr>
          <w:trHeight w:val="234"/>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Against:</w:t>
            </w:r>
          </w:p>
        </w:tc>
        <w:tc>
          <w:tcPr>
            <w:tcW w:w="5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291,446</w:t>
            </w:r>
          </w:p>
        </w:tc>
      </w:tr>
      <w:tr>
        <w:trPr>
          <w:trHeight w:val="22"/>
        </w:trPr>
        <w:tc>
          <w:tcPr>
            <w:tcW w:w="588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r>
      <w:tr>
        <w:trPr>
          <w:trHeight w:val="237"/>
        </w:trPr>
        <w:tc>
          <w:tcPr>
            <w:tcW w:w="5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Abstain:</w:t>
            </w:r>
          </w:p>
        </w:tc>
        <w:tc>
          <w:tcPr>
            <w:tcW w:w="5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255,560</w:t>
            </w:r>
          </w:p>
        </w:tc>
      </w:tr>
      <w:tr>
        <w:trPr>
          <w:trHeight w:val="234"/>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Broker Non-Votes:</w:t>
            </w:r>
          </w:p>
        </w:tc>
        <w:tc>
          <w:tcPr>
            <w:tcW w:w="5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other matters were submitted to or voted on by the Company’s stockholders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12"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b w:val="1"/>
          <w:bCs w:val="1"/>
          <w:color w:val="auto"/>
        </w:rPr>
        <w:t>ARVINAS, INC.</w:t>
      </w:r>
    </w:p>
    <w:p>
      <w:pPr>
        <w:spacing w:after="0" w:line="324" w:lineRule="exact"/>
        <w:rPr>
          <w:sz w:val="20"/>
          <w:szCs w:val="20"/>
          <w:color w:val="auto"/>
        </w:rPr>
      </w:pPr>
    </w:p>
    <w:p>
      <w:pPr>
        <w:ind w:left="20"/>
        <w:spacing w:after="0"/>
        <w:tabs>
          <w:tab w:leader="none" w:pos="5380" w:val="left"/>
          <w:tab w:leader="none" w:pos="5840" w:val="left"/>
        </w:tabs>
        <w:rPr>
          <w:sz w:val="20"/>
          <w:szCs w:val="20"/>
          <w:color w:val="auto"/>
        </w:rPr>
      </w:pPr>
      <w:r>
        <w:rPr>
          <w:rFonts w:ascii="Times New Roman" w:cs="Times New Roman" w:eastAsia="Times New Roman" w:hAnsi="Times New Roman"/>
          <w:sz w:val="18"/>
          <w:szCs w:val="18"/>
          <w:color w:val="auto"/>
        </w:rPr>
        <w:t>Date: June 25,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Jared Freedberg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26035</wp:posOffset>
            </wp:positionV>
            <wp:extent cx="34118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4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Jared Freedberg</w:t>
      </w:r>
    </w:p>
    <w:p>
      <w:pPr>
        <w:spacing w:after="0" w:line="1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General Counsel</w:t>
      </w:r>
    </w:p>
    <w:sectPr>
      <w:pgSz w:w="11900" w:h="16838" w:orient="portrait"/>
      <w:cols w:equalWidth="0" w:num="1">
        <w:col w:w="11200"/>
      </w:cols>
      <w:pgMar w:left="320" w:top="92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2026-06-25T16:06:10Z</dcterms:created>
  <dcterms:modified xsi:type="dcterms:W3CDTF">2026-06-25T16:06:10Z</dcterms:modified>
</cp:coreProperties>
</file>