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2" w:lineRule="exact"/>
        <w:rPr>
          <w:sz w:val="24"/>
          <w:szCs w:val="24"/>
          <w:color w:val="auto"/>
        </w:rPr>
      </w:pPr>
    </w:p>
    <w:p>
      <w:pPr>
        <w:ind w:left="3460"/>
        <w:spacing w:after="0"/>
        <w:rPr>
          <w:sz w:val="20"/>
          <w:szCs w:val="20"/>
          <w:color w:val="auto"/>
        </w:rPr>
      </w:pPr>
      <w:r>
        <w:rPr>
          <w:rFonts w:ascii="Arial" w:cs="Arial" w:eastAsia="Arial" w:hAnsi="Arial"/>
          <w:sz w:val="22"/>
          <w:szCs w:val="22"/>
          <w:color w:val="auto"/>
        </w:rPr>
        <w:t>____________________________________</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(Rule 14a-101)</w:t>
      </w:r>
    </w:p>
    <w:p>
      <w:pPr>
        <w:spacing w:after="0" w:line="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INFORMATION REQUIRED IN PROXY STATEMENT</w:t>
      </w:r>
    </w:p>
    <w:p>
      <w:pPr>
        <w:spacing w:after="0" w:line="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ectPr>
          <w:pgSz w:w="11900" w:h="16838" w:orient="portrait"/>
          <w:cols w:equalWidth="0" w:num="1">
            <w:col w:w="10139"/>
          </w:cols>
          <w:pgMar w:left="320" w:top="234" w:right="1440" w:bottom="1440" w:gutter="0" w:footer="0" w:header="0"/>
        </w:sectPr>
      </w:pPr>
    </w:p>
    <w:p>
      <w:pPr>
        <w:spacing w:after="0" w:line="10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8" w:lineRule="exact"/>
        <w:rPr>
          <w:sz w:val="24"/>
          <w:szCs w:val="24"/>
          <w:color w:val="auto"/>
        </w:rPr>
      </w:pPr>
    </w:p>
    <w:p>
      <w:pPr>
        <w:sectPr>
          <w:pgSz w:w="11900" w:h="16838" w:orient="portrait"/>
          <w:cols w:equalWidth="0" w:num="2">
            <w:col w:w="7340" w:space="200"/>
            <w:col w:w="2599"/>
          </w:cols>
          <w:pgMar w:left="320" w:top="234" w:right="1440" w:bottom="1440" w:gutter="0" w:footer="0" w:header="0"/>
          <w:type w:val="continuous"/>
        </w:sectPr>
      </w:pPr>
    </w:p>
    <w:p>
      <w:pPr>
        <w:ind w:left="3460"/>
        <w:spacing w:after="0"/>
        <w:rPr>
          <w:sz w:val="20"/>
          <w:szCs w:val="20"/>
          <w:color w:val="auto"/>
        </w:rPr>
      </w:pPr>
      <w:r>
        <w:rPr>
          <w:rFonts w:ascii="Arial" w:cs="Arial" w:eastAsia="Arial" w:hAnsi="Arial"/>
          <w:sz w:val="21"/>
          <w:szCs w:val="21"/>
          <w:color w:val="auto"/>
        </w:rPr>
        <w:t>____________________________________</w:t>
      </w:r>
    </w:p>
    <w:p>
      <w:pPr>
        <w:sectPr>
          <w:pgSz w:w="11900" w:h="16838" w:orient="portrait"/>
          <w:cols w:equalWidth="0" w:num="1">
            <w:col w:w="10139"/>
          </w:cols>
          <w:pgMar w:left="320" w:top="234" w:right="1440" w:bottom="1440" w:gutter="0" w:footer="0" w:header="0"/>
          <w:type w:val="continuous"/>
        </w:sectPr>
      </w:pPr>
    </w:p>
    <w:p>
      <w:pPr>
        <w:spacing w:after="0" w:line="115" w:lineRule="exact"/>
        <w:rPr>
          <w:sz w:val="24"/>
          <w:szCs w:val="24"/>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16"/>
          <w:szCs w:val="16"/>
          <w:color w:val="auto"/>
        </w:rPr>
        <w:t>Filed by the Registrant</w:t>
      </w:r>
      <w:r>
        <w:rPr>
          <w:sz w:val="20"/>
          <w:szCs w:val="20"/>
          <w:color w:val="auto"/>
        </w:rPr>
        <w:tab/>
      </w:r>
      <w:r>
        <w:rPr>
          <w:rFonts w:ascii="Wingdings" w:cs="Wingdings" w:eastAsia="Wingdings" w:hAnsi="Wingdings"/>
          <w:sz w:val="15"/>
          <w:szCs w:val="15"/>
          <w:b w:val="1"/>
          <w:bCs w:val="1"/>
          <w:color w:val="auto"/>
        </w:rPr>
        <w:t>x</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532" w:lineRule="exact"/>
        <w:rPr>
          <w:sz w:val="24"/>
          <w:szCs w:val="24"/>
          <w:color w:val="auto"/>
        </w:rPr>
      </w:pPr>
    </w:p>
    <w:p>
      <w:pPr>
        <w:sectPr>
          <w:pgSz w:w="11900" w:h="16838" w:orient="portrait"/>
          <w:cols w:equalWidth="0" w:num="3">
            <w:col w:w="4160" w:space="720"/>
            <w:col w:w="2780" w:space="720"/>
            <w:col w:w="1759"/>
          </w:cols>
          <w:pgMar w:left="320" w:top="234" w:right="1440" w:bottom="1440" w:gutter="0" w:footer="0" w:header="0"/>
          <w:type w:val="continuous"/>
        </w:sect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Preliminary Proxy Statement</w:t>
      </w:r>
    </w:p>
    <w:p>
      <w:pPr>
        <w:spacing w:after="0" w:line="124"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29"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Definitive Proxy Statement</w:t>
      </w:r>
    </w:p>
    <w:p>
      <w:pPr>
        <w:spacing w:after="0" w:line="127" w:lineRule="exact"/>
        <w:rPr>
          <w:sz w:val="24"/>
          <w:szCs w:val="24"/>
          <w:color w:val="auto"/>
        </w:rPr>
      </w:pPr>
    </w:p>
    <w:p>
      <w:pPr>
        <w:ind w:left="360" w:hanging="334"/>
        <w:spacing w:after="0"/>
        <w:tabs>
          <w:tab w:leader="none" w:pos="36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Definitive Additional Materials</w:t>
      </w:r>
    </w:p>
    <w:p>
      <w:pPr>
        <w:spacing w:after="0" w:line="126"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under §240.14a-12</w:t>
      </w:r>
    </w:p>
    <w:p>
      <w:pPr>
        <w:spacing w:after="0" w:line="15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ARVINAS, INC.</w:t>
      </w:r>
    </w:p>
    <w:p>
      <w:pPr>
        <w:spacing w:after="0" w:line="5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color w:val="auto"/>
        </w:rPr>
        <w:t>n/a</w:t>
      </w:r>
    </w:p>
    <w:p>
      <w:pPr>
        <w:spacing w:after="0" w:line="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00" w:lineRule="exact"/>
        <w:rPr>
          <w:sz w:val="24"/>
          <w:szCs w:val="24"/>
          <w:color w:val="auto"/>
        </w:rPr>
      </w:pPr>
    </w:p>
    <w:p>
      <w:pPr>
        <w:ind w:left="360" w:hanging="334"/>
        <w:spacing w:after="0"/>
        <w:tabs>
          <w:tab w:leader="none" w:pos="360" w:val="left"/>
        </w:tabs>
        <w:numPr>
          <w:ilvl w:val="0"/>
          <w:numId w:val="4"/>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No fee required.</w:t>
      </w:r>
    </w:p>
    <w:p>
      <w:pPr>
        <w:spacing w:after="0" w:line="127" w:lineRule="exact"/>
        <w:rPr>
          <w:sz w:val="24"/>
          <w:szCs w:val="24"/>
          <w:color w:val="auto"/>
        </w:rPr>
      </w:pPr>
    </w:p>
    <w:p>
      <w:pPr>
        <w:ind w:left="360" w:hanging="334"/>
        <w:spacing w:after="0"/>
        <w:tabs>
          <w:tab w:leader="none" w:pos="360" w:val="left"/>
        </w:tabs>
        <w:numPr>
          <w:ilvl w:val="0"/>
          <w:numId w:val="5"/>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Fee paid previously with preliminary materials.</w:t>
      </w:r>
    </w:p>
    <w:p>
      <w:pPr>
        <w:spacing w:after="0" w:line="140"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5"/>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Fee computed on table in exhibit required by Item 25 (b) per Exchange Act Rules 14a-6 (i)(1)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916305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34"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406400</wp:posOffset>
            </wp:positionV>
            <wp:extent cx="214312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5 Science Park</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395 Winchester Ave.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Haven, CT 06511</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24, 2026</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Arvinas, Inc., which is scheduled to be held on Wednesday, June 24, 2026 at 8:00 a.m. Eastern Time. The Annual Meeting will be held as a virtual meeting only, via live audio webcast. You will not be able to attend the Annual Meeting in person. We believe that hosting a “virtual meeting” will enable greater stockholder attendance and participation from any location around the world.</w:t>
      </w:r>
    </w:p>
    <w:p>
      <w:pPr>
        <w:spacing w:after="0" w:line="7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Only stockholders who owned common stock at the close of business on April 27, 2026 can vote at the Annual Meeting or any adjournment or postponement that may take place. At the Annual Meeting, the stockholders will consider and vote on the following matters:</w:t>
      </w:r>
    </w:p>
    <w:p>
      <w:pPr>
        <w:spacing w:after="0" w:line="54" w:lineRule="exact"/>
        <w:rPr>
          <w:sz w:val="20"/>
          <w:szCs w:val="20"/>
          <w:color w:val="auto"/>
        </w:rPr>
      </w:pPr>
    </w:p>
    <w:p>
      <w:pPr>
        <w:ind w:left="2120" w:hanging="654"/>
        <w:spacing w:after="0"/>
        <w:tabs>
          <w:tab w:leader="none" w:pos="2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II directors to our board of directors, each to serve until the 2029 annual meeting of stockholders;</w:t>
      </w:r>
    </w:p>
    <w:p>
      <w:pPr>
        <w:spacing w:after="0" w:line="117"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 non-binding advisory vote on executive compensation;</w:t>
      </w:r>
    </w:p>
    <w:p>
      <w:pPr>
        <w:spacing w:after="0" w:line="117" w:lineRule="exact"/>
        <w:rPr>
          <w:rFonts w:ascii="Times New Roman" w:cs="Times New Roman" w:eastAsia="Times New Roman" w:hAnsi="Times New Roman"/>
          <w:sz w:val="18"/>
          <w:szCs w:val="18"/>
          <w:color w:val="auto"/>
        </w:rPr>
      </w:pPr>
    </w:p>
    <w:p>
      <w:pPr>
        <w:ind w:left="2120" w:right="100" w:hanging="654"/>
        <w:spacing w:after="0" w:line="282" w:lineRule="auto"/>
        <w:tabs>
          <w:tab w:leader="none" w:pos="2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Deloitte &amp; Touche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2120" w:right="260" w:hanging="654"/>
        <w:spacing w:after="0" w:line="282" w:lineRule="auto"/>
        <w:tabs>
          <w:tab w:leader="none" w:pos="2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of any other business properly brought before the Annual Meeting or any adjournment or postponement of the Annual Meeting.</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You can find more information, including the nominees for directors, in the attached Proxy Statement. The board of directors recommends that you vote “FOR” each of the Class II director nominees (Proposal 1), and “FOR” each of Proposals 2 and 3.</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Instead of mailing a printed copy of our proxy materials to all of our stockholders, we provide access to these materials via the Internet. This reduces the amount of paper necessary to produce these materials as well as the costs associated with mailing these materials to all stockholders. Accordingly, on or about April 29, 2026, we will begin mailing a Notice of Internet Availability of Proxy Materials, or Notice, to all stockholders of record on our books at the close of business on April 27, 2026, the record date for the Annual Meeting, and we will post our proxy materials on the website referenced in the Notice. As more fully described in the Notice, stockholders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the following ways:</w:t>
      </w:r>
    </w:p>
    <w:p>
      <w:pPr>
        <w:spacing w:after="0" w:line="113" w:lineRule="exact"/>
        <w:rPr>
          <w:sz w:val="20"/>
          <w:szCs w:val="20"/>
          <w:color w:val="auto"/>
        </w:rPr>
      </w:pPr>
    </w:p>
    <w:p>
      <w:pPr>
        <w:ind w:left="2120" w:right="400" w:hanging="654"/>
        <w:spacing w:after="0" w:line="286" w:lineRule="auto"/>
        <w:tabs>
          <w:tab w:leader="none" w:pos="21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Submit a Proxy over the Internet, </w:t>
      </w:r>
      <w:r>
        <w:rPr>
          <w:rFonts w:ascii="Times New Roman" w:cs="Times New Roman" w:eastAsia="Times New Roman" w:hAnsi="Times New Roman"/>
          <w:sz w:val="18"/>
          <w:szCs w:val="18"/>
          <w:color w:val="auto"/>
        </w:rPr>
        <w:t>by going to www.proxyvote.com (have your Notice or proxy card in hand when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the website);</w:t>
      </w:r>
    </w:p>
    <w:p>
      <w:pPr>
        <w:spacing w:after="0" w:line="46" w:lineRule="exact"/>
        <w:rPr>
          <w:rFonts w:ascii="Times New Roman" w:cs="Times New Roman" w:eastAsia="Times New Roman" w:hAnsi="Times New Roman"/>
          <w:sz w:val="18"/>
          <w:szCs w:val="18"/>
          <w:color w:val="auto"/>
        </w:rPr>
      </w:pPr>
    </w:p>
    <w:p>
      <w:pPr>
        <w:ind w:left="2120" w:right="400" w:hanging="654"/>
        <w:spacing w:after="0" w:line="286" w:lineRule="auto"/>
        <w:tabs>
          <w:tab w:leader="none" w:pos="21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Submit a Proxy by Telephone, </w:t>
      </w:r>
      <w:r>
        <w:rPr>
          <w:rFonts w:ascii="Times New Roman" w:cs="Times New Roman" w:eastAsia="Times New Roman" w:hAnsi="Times New Roman"/>
          <w:sz w:val="18"/>
          <w:szCs w:val="18"/>
          <w:color w:val="auto"/>
        </w:rPr>
        <w:t>by calling the toll-free number 1-800-690-6903 (have your Notice or proxy card in hand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you call);</w:t>
      </w:r>
    </w:p>
    <w:p>
      <w:pPr>
        <w:spacing w:after="0" w:line="46" w:lineRule="exact"/>
        <w:rPr>
          <w:rFonts w:ascii="Times New Roman" w:cs="Times New Roman" w:eastAsia="Times New Roman" w:hAnsi="Times New Roman"/>
          <w:sz w:val="18"/>
          <w:szCs w:val="18"/>
          <w:color w:val="auto"/>
        </w:rPr>
      </w:pPr>
    </w:p>
    <w:p>
      <w:pPr>
        <w:ind w:left="2120" w:right="200" w:hanging="654"/>
        <w:spacing w:after="0" w:line="286" w:lineRule="auto"/>
        <w:tabs>
          <w:tab w:leader="none" w:pos="21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Submit a Proxy by Mail, </w:t>
      </w:r>
      <w:r>
        <w:rPr>
          <w:rFonts w:ascii="Times New Roman" w:cs="Times New Roman" w:eastAsia="Times New Roman" w:hAnsi="Times New Roman"/>
          <w:sz w:val="18"/>
          <w:szCs w:val="18"/>
          <w:color w:val="auto"/>
        </w:rPr>
        <w:t>if you received (or requested and received) a printed copy of the proxy materials, by completing,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and dating the proxy card provided to you and returning it in the prepaid envelope provided to you; or</w:t>
      </w:r>
    </w:p>
    <w:p>
      <w:pPr>
        <w:spacing w:after="0" w:line="46"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Vote at the Annual Meeting.</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bank, broker or other nominee, you will receive instructions from the holder of record that you must follow for your shares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rules and procedures applicable to the Annual Meeting, together with a list of stockholders of record for inspection for any purpose germane to the Annual Meeting will be available for the participating stockholders of record at www.virtualshareholdermeeting.com/ARVN2026.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vote is very important. Whether or not you plan to attend the Annual Meeting, we urge you to take the time to submit a proxy to vote your shares.</w:t>
      </w:r>
    </w:p>
    <w:p>
      <w:pPr>
        <w:spacing w:after="0" w:line="16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Randy Teel,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97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Randy Teel, Ph.D.</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Haven, Connecticut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6"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560" w:type="dxa"/>
            <w:vAlign w:val="bottom"/>
            <w:gridSpan w:val="5"/>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rPr>
              <w:t>Arvinas, Inc.</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gridSpan w:val="6"/>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Proxy Statement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PROXY STATEMENT</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IMPORTANT INFORMATION ABOUT THE ANNUAL MEETING AND VOTING</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PROPOSAL NO. 1—ELECTION OF TWO CLASS II DIRECTORS</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0" w:type="dxa"/>
            <w:vAlign w:val="bottom"/>
            <w:tcBorders>
              <w:top w:val="single" w:sz="8" w:color="0000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CORPORATE GOVERNANCE</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DELINQUENT SECTION 16(A) REPORTS</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PROPOSAL NO. 2—ADVISORY VOTE ON EXECUTIVE COMPENSATION</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AND DIRECTOR COMPENSATION</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PROPOSAL NO. 3—RATIFICATION OF THE APPOINTMENT OF DELOITTE &amp; TOUCHE LLP AS OUR INDEPENDENT REGISTERED</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10440" w:type="dxa"/>
            <w:vAlign w:val="bottom"/>
            <w:tcBorders>
              <w:top w:val="single" w:sz="8" w:color="0000FF"/>
            </w:tcBorders>
            <w:gridSpan w:val="1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PUBLIC ACCOUNTING FIRM FOR THE FISCAL YEAR ENDING DECEMBER 31, 2026</w:t>
            </w: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PRINCIPAL STOCKHOLDERS</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TRANSACTIONS WITH RELATED PERSONS</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STOCKHOLDER PROPOSALS</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HOUSEHOLDING</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42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6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MATTERS</w:t>
            </w:r>
          </w:p>
        </w:tc>
        <w:tc>
          <w:tcPr>
            <w:tcW w:w="5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9"/>
        </w:trPr>
        <w:tc>
          <w:tcPr>
            <w:tcW w:w="20" w:type="dxa"/>
            <w:vAlign w:val="bottom"/>
            <w:tcBorders>
              <w:top w:val="single" w:sz="8" w:color="CCEEFF"/>
              <w:bottom w:val="single" w:sz="8" w:color="9A9A9A"/>
            </w:tcBorders>
          </w:tcPr>
          <w:p>
            <w:pPr>
              <w:spacing w:after="0"/>
              <w:rPr>
                <w:sz w:val="24"/>
                <w:szCs w:val="24"/>
                <w:color w:val="auto"/>
              </w:rPr>
            </w:pPr>
          </w:p>
        </w:tc>
        <w:tc>
          <w:tcPr>
            <w:tcW w:w="14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2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36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406400</wp:posOffset>
            </wp:positionV>
            <wp:extent cx="2143125" cy="60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 Science Park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395 Winchester Ave.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Haven, CT 06511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203-535-1456</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24, 2026</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proxy statement and the enclosed proxy card contain information about the Annual Meeting of Stockholders of Arvinas, Inc., or the Annual Meeting, to be held on Wednesday, June 24, 2026 at 8:00 a.m. Eastern Time. The Annual Meeting will be held as a virtual meeting only, via live audio webcast. You will not be able to attend the Annual Meeting in person. The board of directors of Arvinas is using this proxy statement to solicit proxies for use at the Annual Meeting. In this proxy statement, unless expressly stated otherwise or the context otherwise requires, the use of “Arvinas,” “our,” “we” or “us” refers to Arvinas, Inc. and its wholly owned subsidiaries.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24, 2026:</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to Stockholders are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for viewing, printing and downloading at http://www.proxyvote.com.</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A copy of our 2025 Annual Report to Stockholders, which includes our Annual Report on Form 10-K for the fiscal year ended December 31, 2025, or 2025 Annual Report, as filed with the Securities and Exchange Commission, or SEC, except for exhibits, will be furnished without charge to any stockholder upon written request to Arvinas, Inc., 5 Science Park, 395 Winchester Ave., New Haven, CT 06511. This proxy statement and our 2025 Annual Report are also available on the SEC’s website at http://www.sec.gov.</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or about April 29, 2026, we will mail a Notice of Internet Availability of Proxy Materials, or Notice, to our stockholders (other than those who previously requested electronic or paper delivery of proxy materials), directing stockholders to a website where they can access our proxy materials, including this proxy statement and our 2025 Annual Report, and view instructions on how to submit a proxy online or by telephone.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our stockholders will consider and vote on the following matters:</w:t>
      </w:r>
    </w:p>
    <w:p>
      <w:pPr>
        <w:spacing w:after="0" w:line="117" w:lineRule="exact"/>
        <w:rPr>
          <w:sz w:val="20"/>
          <w:szCs w:val="20"/>
          <w:color w:val="auto"/>
        </w:rPr>
      </w:pPr>
    </w:p>
    <w:p>
      <w:pPr>
        <w:ind w:left="2120" w:hanging="654"/>
        <w:spacing w:after="0"/>
        <w:tabs>
          <w:tab w:leader="none" w:pos="2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II directors to our board of directors, each to serve until the 2029 annual meeting of stockholders;</w:t>
      </w:r>
    </w:p>
    <w:p>
      <w:pPr>
        <w:spacing w:after="0" w:line="117"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 non-binding advisory vote on executive compensation;</w:t>
      </w:r>
    </w:p>
    <w:p>
      <w:pPr>
        <w:spacing w:after="0" w:line="117" w:lineRule="exact"/>
        <w:rPr>
          <w:rFonts w:ascii="Times New Roman" w:cs="Times New Roman" w:eastAsia="Times New Roman" w:hAnsi="Times New Roman"/>
          <w:sz w:val="18"/>
          <w:szCs w:val="18"/>
          <w:color w:val="auto"/>
        </w:rPr>
      </w:pPr>
    </w:p>
    <w:p>
      <w:pPr>
        <w:ind w:left="2120" w:right="140" w:hanging="654"/>
        <w:spacing w:after="0" w:line="282" w:lineRule="auto"/>
        <w:tabs>
          <w:tab w:leader="none" w:pos="2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Deloitte &amp; Touche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of any other business properly brought before the Annual Meeting or any adjournment or postponement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proxy statement, we are not aware of any business to come before the Annual Meeting other than the first three items noted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two nominees to serve as Class II directors on our board of directors for a three-year 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an advisory basis, of the compensation paid to our named executive officers; and</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Deloitte &amp; Touche LLP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Holding a Virtual Annual Meeting?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Annual Meeting will be a virtual meeting of stockholders where stockholders will participate by accessing a website using the Internet. We believe that hosting a virtual meeting will facilitate stockholder attendance and participation at our Annual Meeting by enabling stockholders to participate from any location around the world. We have designed our virtual format to enhance, rather than constrain, stockholder access, participation and communication. Stockholders will be able to attend the meeting online and submit questions by visiting www.virtualshareholdermeeting.com/ARVN2026. Stockholders will also be able to vote their shares electronically during the meeting.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Annual Meeting?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Beginning approximately 15 minutes prior to, and during, the Annual Meeting, we will have support available to assist stockholders with any technical difficulties they may have accessing or hearing the virtual meeting. If you encounter any difficulties accessing the virtual Annual Meeting during the check-in or meeting time, please call the technical support number that will be posted on the virtual Annual Meeting log-in page.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Notice regarding our proxy materials, including this proxy statement and our 2025 Annual Report, is being mailed to stockholders on or about April 29, 2026. Our proxy materials are also available for viewing, printing and downloading on the Internet at http://www.proxyvote.com.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of April 27, 2026 are entitled to receive notice of the Annual Meeting and to vote the shares of our common stock that they held on that date. As of April 27, 2026, there were 64,517,472 shares of common stock issued and outstanding. Each share of common stock is entitled to one vote on each matter properly brought before the Annual Meeting. A list of registered stockholders as of the close of business on the record date will be available for examination by any stockholder for any purpose germane to the Annual Meeting for a period of at least 10 days prior to the Annual Meeting. If you wish to view this list, please contact our corporate secretary at Arvinas, Inc., 5 Science Park, 395 Winchester Ave., New Haven, CT 06511 Attention: Corporate Secretary.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 between a “stockholder of record” and a beneficial owner of shares held in “street name”</w:t>
      </w:r>
    </w:p>
    <w:p>
      <w:pPr>
        <w:spacing w:after="0" w:line="119"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your shares are registered directly in your name with our transfer agent, Computershare N.A., then you are considered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of record” of those shares. In this case, your Notice has been sent to you directly by us. You may vote your shares by proxy prior to the Annual Meeting by following the instructions contained on such Notice.</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Beneficial Owners of Shares Held in Street Name</w:t>
      </w:r>
      <w:r>
        <w:rPr>
          <w:rFonts w:ascii="Times New Roman" w:cs="Times New Roman" w:eastAsia="Times New Roman" w:hAnsi="Times New Roman"/>
          <w:sz w:val="18"/>
          <w:szCs w:val="18"/>
          <w:color w:val="auto"/>
        </w:rPr>
        <w:t>. If your shares are held by a bank, broker or other nominee, then you are considered the beneficial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those shares, which are held in “street name.” In this case, your Notice has been forwarded to you by that organization. The organization holding your account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 or other method that organization makes available.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you can vote your shares in one of two ways: either by submitting a proxy prior to the Annual Meeting or online at the Annual Meeting. If you choose to submit a vote by proxy, you may do so by telephone, via the Internet or by mail. Each of these methods is explained below. </w:t>
      </w:r>
      <w:r>
        <w:rPr>
          <w:rFonts w:ascii="Times New Roman" w:cs="Times New Roman" w:eastAsia="Times New Roman" w:hAnsi="Times New Roman"/>
          <w:sz w:val="18"/>
          <w:szCs w:val="18"/>
          <w:b w:val="1"/>
          <w:bCs w:val="1"/>
          <w:color w:val="auto"/>
        </w:rPr>
        <w:t>If you hold your shares of our common stock in multiple accounts, you should submit a proxy to vote your shares as described in each set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materials you receive.</w:t>
      </w:r>
    </w:p>
    <w:p>
      <w:pPr>
        <w:spacing w:after="0" w:line="70" w:lineRule="exact"/>
        <w:rPr>
          <w:sz w:val="20"/>
          <w:szCs w:val="20"/>
          <w:color w:val="auto"/>
        </w:rPr>
      </w:pPr>
    </w:p>
    <w:p>
      <w:pPr>
        <w:ind w:left="2120" w:right="120" w:hanging="654"/>
        <w:spacing w:after="0" w:line="284" w:lineRule="auto"/>
        <w:tabs>
          <w:tab w:leader="none" w:pos="21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Telephone. </w:t>
      </w:r>
      <w:r>
        <w:rPr>
          <w:rFonts w:ascii="Times New Roman" w:cs="Times New Roman" w:eastAsia="Times New Roman" w:hAnsi="Times New Roman"/>
          <w:sz w:val="18"/>
          <w:szCs w:val="18"/>
          <w:color w:val="auto"/>
        </w:rPr>
        <w:t>You may submit your proxy voting instructions by calling 1-800-690-6903. You will need to have your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proxy card in hand when you call.</w:t>
      </w:r>
    </w:p>
    <w:p>
      <w:pPr>
        <w:spacing w:after="0" w:line="50" w:lineRule="exact"/>
        <w:rPr>
          <w:rFonts w:ascii="Times New Roman" w:cs="Times New Roman" w:eastAsia="Times New Roman" w:hAnsi="Times New Roman"/>
          <w:sz w:val="18"/>
          <w:szCs w:val="18"/>
          <w:color w:val="auto"/>
        </w:rPr>
      </w:pPr>
    </w:p>
    <w:p>
      <w:pPr>
        <w:ind w:left="2120" w:right="380" w:hanging="654"/>
        <w:spacing w:after="0" w:line="284" w:lineRule="auto"/>
        <w:tabs>
          <w:tab w:leader="none" w:pos="21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the Internet. </w:t>
      </w:r>
      <w:r>
        <w:rPr>
          <w:rFonts w:ascii="Times New Roman" w:cs="Times New Roman" w:eastAsia="Times New Roman" w:hAnsi="Times New Roman"/>
          <w:sz w:val="18"/>
          <w:szCs w:val="18"/>
          <w:color w:val="auto"/>
        </w:rPr>
        <w:t>You may submit your proxy voting instructions via the Internet by accessing the website specified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enclosed proxy card. You will need to have your Notice or proxy card in hand when you access the website.</w:t>
      </w:r>
    </w:p>
    <w:p>
      <w:pPr>
        <w:spacing w:after="0" w:line="50" w:lineRule="exact"/>
        <w:rPr>
          <w:rFonts w:ascii="Times New Roman" w:cs="Times New Roman" w:eastAsia="Times New Roman" w:hAnsi="Times New Roman"/>
          <w:sz w:val="18"/>
          <w:szCs w:val="18"/>
          <w:color w:val="auto"/>
        </w:rPr>
      </w:pPr>
    </w:p>
    <w:p>
      <w:pPr>
        <w:ind w:left="2120" w:right="260" w:hanging="654"/>
        <w:spacing w:after="0" w:line="284" w:lineRule="auto"/>
        <w:tabs>
          <w:tab w:leader="none" w:pos="21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If you received a printed copy of the proxy materials, you may submit a vote by proxy by completing, signing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dating the proxy card provided to you and returning it in the prepaid envelope provided to you.</w:t>
      </w:r>
    </w:p>
    <w:p>
      <w:pPr>
        <w:spacing w:after="0" w:line="50" w:lineRule="exact"/>
        <w:rPr>
          <w:rFonts w:ascii="Times New Roman" w:cs="Times New Roman" w:eastAsia="Times New Roman" w:hAnsi="Times New Roman"/>
          <w:sz w:val="18"/>
          <w:szCs w:val="18"/>
          <w:color w:val="auto"/>
        </w:rPr>
      </w:pPr>
    </w:p>
    <w:p>
      <w:pPr>
        <w:ind w:left="2120" w:right="20" w:hanging="654"/>
        <w:spacing w:after="0" w:line="258" w:lineRule="auto"/>
        <w:tabs>
          <w:tab w:leader="none" w:pos="21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 the Virtual Annual Meeting. </w:t>
      </w:r>
      <w:r>
        <w:rPr>
          <w:rFonts w:ascii="Times New Roman" w:cs="Times New Roman" w:eastAsia="Times New Roman" w:hAnsi="Times New Roman"/>
          <w:sz w:val="18"/>
          <w:szCs w:val="18"/>
          <w:color w:val="auto"/>
        </w:rPr>
        <w:t>The meeting will be held entirely online. To participate in the meeting, you will need the 16-digit control number included in your Notice or on the instructions that accompanied your proxy materials. The meeting webcast will begin promptly at 8:00 a.m. Eastern Time. We encourage you to access the meeting prior to the start time. Online check-in will begin at 7:45 a.m. Eastern Time, and you should allow ample time to test your computer and for the check-in procedures.</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Telephone and Internet voting for stockholders of record will be available up until 11:59 p.m. Eastern Time on June 23, 2026, the day before the Annual Meeting, and mailed proxy cards must be received by June 23, 2026, the day before the Annual Meeting, in order to be counted at the Annual Meeting. If the Annual Meeting is adjourned or postponed, these deadlines may be extended. The voting deadlines and availability of telephone and Internet voting for beneficial owners of shares held in “street name” will depend on the voting processes of the organization that holds your shares. Therefore, we urge you to carefully review and follow the voting instruction card and/or any other materials that you receive from that organization.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Ballot Measures Considered “Discretionary” and “Non-Discretionary”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your bank, broker or other nominee may, under certain circumstances, vote your shares if you do not return voting instructions. Banks, brokers or other nominees are permitted to vote customers’ shares for which they have received no voting instructions on specified “discretionary” matters, but they are not permitted to vote these shares on “non-discretionary” matters.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election of directors (Proposal No. 1) and the advisory vote on executive compensation (Proposal No. 2) are considered non-discretionary matters under applicable rules. Therefore, if your shares are held in “street name,” your bank, broker or other nominee cannot vote on these matters without voting instructions from you. If you do not instruct your bank, broker or other nominee how to vote with respect to the election of directors (Proposal No. 1) and the advisory vote on executive compensation (Proposal No. 2), your bank, broker or other nominee may not vote with respect to these proposals and your shares will be counted as “broker non-votes.”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2026 (Proposal No. 3) is considered a discretionary matter under applicable rules. Therefore, if your shares are held in “street name,” we expect that your bank, broker or other nominee will be able to exercise discretionary authority to vote on the matter in the absence of voting instructions from you. If your bank, broker or other nominee exercises this discretionary authority, no broker non-votes are expected to occur in connection with Proposal No. 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Our second amended and restated bylaws, or our bylaws, provide that a quorum will exist if stockholders holding a majority of the shares of stock issued and outstanding and entitled to vote are present at the meeting “in person” virtually or represented by proxy. If a quorum is not present, the meeting may be adjourned until a quorum is obtained.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determining whether a quorum exists, we will count as present any shares that are voted over the Internet, by telephone, by completing and submitting a proxy by mail or that are represented virtually during the Annual Meeting. Further, for purposes of establishing a quorum, we will count as present shares that a stockholder holds even if the stockholder votes to abstain or only votes on one of the proposals. In addition, we will count as present shares that are “broker non-votes.”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elected, a director nominee must receive a plurality of the votes cast by stockholders entitled to vote at the meeting (Proposal No. 1). Votes withheld</w:t>
      </w:r>
    </w:p>
    <w:p>
      <w:pPr>
        <w:spacing w:after="0" w:line="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broker non-votes will not be counted as votes cast or voted on Proposal No. 1. Accordingly, votes withheld and broker non-votes will have no effect on the voting on Proposal No. 1.</w:t>
      </w:r>
    </w:p>
    <w:p>
      <w:pPr>
        <w:spacing w:after="0" w:line="20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each of Proposal No. 2 (to approve, on an advisory basis, the compensation of our named executive officers) and Proposal No. 3 (to ratify the appointment of Deloitte &amp; Touche LLP as our independent registered public accounting firm for the year ending December 31, 2026), the affirmative vote of the holders of a majority of the shares of common stock present or represented by proxy and voting “for” or “against” such matter at the Annual Meeting is required for approval (meaning, the number of votes cast “for” each proposal must exceed the number of votes cast “against” each proposal). Abstentions and broker non-votes will not be counted as votes cast or voted on Proposal No. 2 or Proposal No. 3. Accordingly, abstentions and broker non-votes will have no effect on the voting on Proposal No. 2 or Proposal No. 3. However, as noted above, we do not expect any broker non-votes on Proposal No. 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Counting Votes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at the Annual Meeting on each matter to come before the Annual Meeting, including the election of directors, for each share held by such stockholder as of the record date. Votes cast online at the Annual Meeting or by proxy by mail, via the Internet or by telephone will be tabulated by the inspector of election appointed for the Annual Meeting, who will also determine whether a quorum is present.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a Proxy; Changing Your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before the vote is taken at the Annual Meeting by:</w:t>
      </w:r>
    </w:p>
    <w:p>
      <w:pPr>
        <w:spacing w:after="0" w:line="117" w:lineRule="exact"/>
        <w:rPr>
          <w:sz w:val="20"/>
          <w:szCs w:val="20"/>
          <w:color w:val="auto"/>
        </w:rPr>
      </w:pPr>
    </w:p>
    <w:p>
      <w:pPr>
        <w:ind w:left="2120" w:hanging="654"/>
        <w:spacing w:after="0" w:line="282" w:lineRule="auto"/>
        <w:tabs>
          <w:tab w:leader="none" w:pos="21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new proxy with a later date before the applicable deadline either signed and returned by mail or submitted using the telephone or Internet voting procedures described in the “How to Vote” section above;</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online at the Annual Meeting, as described in the “How to Vote” section above; or</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revocation with our corporate secretary.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by contacting your bank, broker or other nominee holding your account. You may also vote online at the Annual Meeting, which will have the effect of revoking any previously submitted voting instructions, if you obtain a legal proxy from the organization that holds your shares as described in the “How to Vote” section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virtual attendance at the Annual Meeting will not automatically revoke your proxy, unless you vote online during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Proxy Solicitation</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will bear the costs of soliciting proxies. In addition to solicitations by mail, our directors, officers and regular employees, without additional remuneration, may solicit proxies by telephone, facsimile, email, personal interviews and other means.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 OF PROPOSALS</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This proxy statement contains three proposals requiring stockholder action. Proposal No. 1 requests the election of two Class II directors to the board of directors. Proposal No. 2 requests approval, on an advisory basis, of the compensation of our named executive officers. Proposal No. 3 requests the ratification of the appointment of Deloitte &amp; Touche LLP as our independent registered public accounting firm for the fiscal year ending December 31, 2026. All proposals are discussed in more detail in the pages that follow.</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1—ELECTION OF TWO CLASS II DIRECTORS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nine members. In accordance with the terms of our restated certificate of incorporation and our bylaws, our board of directors is divided into three classes (Class I, Class II and Class III), with members of each class serving staggered three-year terms. The members of the classes are currently divided as follows:</w:t>
      </w:r>
    </w:p>
    <w:p>
      <w:pPr>
        <w:spacing w:after="0" w:line="68" w:lineRule="exact"/>
        <w:rPr>
          <w:sz w:val="20"/>
          <w:szCs w:val="20"/>
          <w:color w:val="auto"/>
        </w:rPr>
      </w:pPr>
    </w:p>
    <w:p>
      <w:pPr>
        <w:ind w:left="2120" w:right="300" w:hanging="654"/>
        <w:spacing w:after="0" w:line="282" w:lineRule="auto"/>
        <w:tabs>
          <w:tab w:leader="none" w:pos="21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Linda Bain, John Houston, Ph.D., and Laurie Smaldone Alsup, M.D., and their term expires at the annual meeting of stockholders to be held in 2028;</w:t>
      </w:r>
    </w:p>
    <w:p>
      <w:pPr>
        <w:spacing w:after="0" w:line="53" w:lineRule="exact"/>
        <w:rPr>
          <w:rFonts w:ascii="Times New Roman" w:cs="Times New Roman" w:eastAsia="Times New Roman" w:hAnsi="Times New Roman"/>
          <w:sz w:val="18"/>
          <w:szCs w:val="18"/>
          <w:color w:val="auto"/>
        </w:rPr>
      </w:pPr>
    </w:p>
    <w:p>
      <w:pPr>
        <w:ind w:left="2120" w:right="160" w:hanging="654"/>
        <w:spacing w:after="0" w:line="282" w:lineRule="auto"/>
        <w:tabs>
          <w:tab w:leader="none" w:pos="21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Sunil Agarwal, M.D., Leslie V. Norwalk, Esq., and Randy Teel, Ph.D., and their term expires at the Annual Meeting; and</w:t>
      </w:r>
    </w:p>
    <w:p>
      <w:pPr>
        <w:spacing w:after="0" w:line="53" w:lineRule="exact"/>
        <w:rPr>
          <w:rFonts w:ascii="Times New Roman" w:cs="Times New Roman" w:eastAsia="Times New Roman" w:hAnsi="Times New Roman"/>
          <w:sz w:val="18"/>
          <w:szCs w:val="18"/>
          <w:color w:val="auto"/>
        </w:rPr>
      </w:pPr>
    </w:p>
    <w:p>
      <w:pPr>
        <w:ind w:left="2120" w:hanging="654"/>
        <w:spacing w:after="0" w:line="282" w:lineRule="auto"/>
        <w:tabs>
          <w:tab w:leader="none" w:pos="21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Edward Kennedy, Jr., Everett Cunningham, and Briggs Morrison, M.D., and their term expires at the annual meeting of stockholders to be held in 2027.</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our bylaws provide that the authorized number of directors may be changed only by resolution of our board of directors. Our restated certificate of incorporation and bylaws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board of directors, based on the recommendation of the nominating and corporate governance committee of our board of directors, has nominated two current Class II members, Leslie V. Norwalk, Esq. and Randy Teel, Ph.D., for election as Class II directors at the Annual Meeting. Sunil Agarwal, M.D., will not be standing for re-election as a Class II director at the Annual Meeting. Upon completion of the term of Dr. Agarwal, the size of our board of directors will be automatically reduced to eight members. Each of the nominees has consented to be named as a nominee in this proxy statement and has indicated a willingness to serve as director, if elected. We have no reason to believe that any of our nominees will be unable to serve. However, if a nominee becomes unable or unwilling to serve, the persons named in the proxy intend to vote in their discretion for one or more substitute nominees who will be selected by our board of directors, or our board of directors may reduce the number of directors to be elected at the Annual Meeting.</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nominees should represent a broad array of personal and professional characteristics. 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Directors</w:t>
      </w:r>
    </w:p>
    <w:p>
      <w:pPr>
        <w:spacing w:after="0" w:line="121"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Biographical information, including principal occupation and business experience during the last five years, for our nominees for election as Class II directors at our Annual Meeting is set forth below.</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17145</wp:posOffset>
            </wp:positionV>
            <wp:extent cx="4368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57"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954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spacing w:after="0" w:line="7" w:lineRule="exact"/>
        <w:rPr>
          <w:sz w:val="20"/>
          <w:szCs w:val="20"/>
          <w:color w:val="auto"/>
        </w:rPr>
      </w:pPr>
    </w:p>
    <w:p>
      <w:pPr>
        <w:ind w:left="20" w:right="500"/>
        <w:spacing w:after="0" w:line="252" w:lineRule="auto"/>
        <w:rPr>
          <w:sz w:val="20"/>
          <w:szCs w:val="20"/>
          <w:color w:val="auto"/>
        </w:rPr>
      </w:pPr>
      <w:r>
        <w:rPr>
          <w:rFonts w:ascii="Times New Roman" w:cs="Times New Roman" w:eastAsia="Times New Roman" w:hAnsi="Times New Roman"/>
          <w:sz w:val="18"/>
          <w:szCs w:val="18"/>
          <w:b w:val="1"/>
          <w:bCs w:val="1"/>
          <w:color w:val="auto"/>
        </w:rPr>
        <w:t>Leslie V. Norwalk, Esq.</w:t>
      </w:r>
      <w:r>
        <w:rPr>
          <w:rFonts w:ascii="Times New Roman" w:cs="Times New Roman" w:eastAsia="Times New Roman" w:hAnsi="Times New Roman"/>
          <w:sz w:val="18"/>
          <w:szCs w:val="18"/>
          <w:color w:val="auto"/>
        </w:rPr>
        <w:t>, has served as a member of our board of directors since July 2019. Ms. Norwalk has served as strategic counsel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Epstein Becker &amp; Green, P.C., a law firm with a focus on healthcare and life science, since August 2007, and two healthcare consulting agencies, EBG Advisors, Inc. and National Health Advisors, since September 2007. Additionally, since 2008, Ms. Norwalk has served as an advisor to several private equity firms. From 2006 to 2007, she was the acting administrator of the Centers for Medicare &amp; Medicaid Services, where she managed the operations of federal health care programs, including Medicare and Medicaid. From 2002 to 2005, she was the agency's deputy administrator. Prior to that, Ms. Norwalk practiced law with Epstein Becker &amp; Green, P.C., from 1996 to 2001. Ms. Norwalk also previously served in the George H.W. Bush Administration in the White House Office of Presidential Personnel and the Office of the US Trade Representative. Ms. Norwalk currently serves on the boards of directors of the publicly-traded companies CVS Health®, Neurocrine Biosciences, Inc. and Globus, Inc. and previously served on the board of directors of the publicly-traded companies Centene Corporation, Endologix, Inc., Magellan Health, Inc., ModivCare, Inc. (no longer a publicly traded company), Nuvasive, Inc. (acquired by Globus, Inc.), Press Ganey Holdings, Inc., and Volcano Corp. Ms. Norwalk holds a  J.D. from the George Mason University School of Law and a B.A. from Wellesley College. We believe Ms. Norwalk is qualified to serve on our board of directors due to her knowledge of, and experience with, the healthcare industry and government regulations.</w:t>
      </w:r>
    </w:p>
    <w:p>
      <w:pPr>
        <w:spacing w:after="0" w:line="72"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8"/>
          <w:szCs w:val="18"/>
          <w:color w:val="auto"/>
        </w:rPr>
        <w:t>47</w:t>
      </w:r>
    </w:p>
    <w:p>
      <w:pPr>
        <w:spacing w:after="0" w:line="27" w:lineRule="exact"/>
        <w:rPr>
          <w:sz w:val="20"/>
          <w:szCs w:val="20"/>
          <w:color w:val="auto"/>
        </w:rPr>
      </w:pPr>
    </w:p>
    <w:p>
      <w:pPr>
        <w:ind w:left="20" w:right="560"/>
        <w:spacing w:after="0" w:line="268" w:lineRule="auto"/>
        <w:rPr>
          <w:sz w:val="20"/>
          <w:szCs w:val="20"/>
          <w:color w:val="auto"/>
        </w:rPr>
      </w:pPr>
      <w:r>
        <w:rPr>
          <w:rFonts w:ascii="Times New Roman" w:cs="Times New Roman" w:eastAsia="Times New Roman" w:hAnsi="Times New Roman"/>
          <w:sz w:val="17"/>
          <w:szCs w:val="17"/>
          <w:b w:val="1"/>
          <w:bCs w:val="1"/>
          <w:color w:val="auto"/>
        </w:rPr>
        <w:t>Randy Teel, Ph.D.</w:t>
      </w:r>
      <w:r>
        <w:rPr>
          <w:rFonts w:ascii="Times New Roman" w:cs="Times New Roman" w:eastAsia="Times New Roman" w:hAnsi="Times New Roman"/>
          <w:sz w:val="17"/>
          <w:szCs w:val="17"/>
          <w:color w:val="auto"/>
        </w:rPr>
        <w:t>, has served as our President and Chief Executive Officer and as a member of our board of directors since February 2026. Dr.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Teel joined Arvinas in 2018 and has 20 years of biopharmaceutical industry experience. Dr. Teel served as our Chief Business Officer from April 2024 to February 2026, and in that role was responsible for corporate strategy, business development, corporate communications, and investor relations. From February 2024 to June 2024, Dr. Teel also served as our interim Chief Financial Officer, Treasurer and principal financial officer, while we undertook a search to identify our next permanent Chief Financial Officer, Treasurer and principal financial officer. From September</w:t>
      </w:r>
    </w:p>
    <w:p>
      <w:pPr>
        <w:spacing w:after="0" w:line="2" w:lineRule="exact"/>
        <w:rPr>
          <w:sz w:val="20"/>
          <w:szCs w:val="20"/>
          <w:color w:val="auto"/>
        </w:rPr>
      </w:pPr>
    </w:p>
    <w:p>
      <w:pPr>
        <w:ind w:left="20" w:right="580"/>
        <w:spacing w:after="0" w:line="251" w:lineRule="auto"/>
        <w:rPr>
          <w:sz w:val="20"/>
          <w:szCs w:val="20"/>
          <w:color w:val="auto"/>
        </w:rPr>
      </w:pPr>
      <w:r>
        <w:rPr>
          <w:rFonts w:ascii="Times New Roman" w:cs="Times New Roman" w:eastAsia="Times New Roman" w:hAnsi="Times New Roman"/>
          <w:sz w:val="18"/>
          <w:szCs w:val="18"/>
          <w:color w:val="auto"/>
        </w:rPr>
        <w:t>2021 to April 2024, Dr. Teel served as our Senior Vice President, Corporate and Business Development. From May 2018 to September 2021, Dr. Teel served as our Vice President of Corporate Development. Prior to Arvinas, from March 2017 to December 2017, Dr. Teel was Vice President and Head of Strategy at Alexion Pharmaceuticals, a biotechnology company, or Alexion, where he was responsible for long-range planning, partnering with the research and development and commercial organizations as they developed inline and lifecycle management strategies, and from March 2015 to March 2017, he was Executive Director, Corporate Strategy and Enterprise Risk Management at Alexion. From January 2008 to March 2015, Dr. Teel was a consultant at McKinsey &amp; Company, a global management consulting firm, where he advised biopharmaceutical clients on issues in commercial, medical, and development. Dr. Teel received his B.Sc. in Biology at Gonzaga University and his Ph.D. in Immunobiology from Yale University. We believe Dr. Teel is qualified to serve on our board of directors due to his extensive executive leadership experience at life sciences companies and his historical experience gained from serving in various roles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6"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Leslie V. Norwalk, Esq., and Randy Teel, Ph.D., as Class II directors, for a three-year term ending at the annual meeting of stockholders to be held in 2029.</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properly submitted proxy will be voted in favor of the nominees unless a contrary specification is made in the proxy.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Biographical information, including principal occupation and business experience during the last five years, for our directors continuing in office after the Annual Meeting is set forth below.</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Class I Directors (Term Expires at 2028 Annual Meeting)</w:t>
      </w:r>
    </w:p>
    <w:p>
      <w:pPr>
        <w:spacing w:after="0" w:line="31"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8"/>
          <w:szCs w:val="18"/>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14605</wp:posOffset>
            </wp:positionV>
            <wp:extent cx="4368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52"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228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pacing w:after="0" w:line="7" w:lineRule="exact"/>
        <w:rPr>
          <w:sz w:val="20"/>
          <w:szCs w:val="20"/>
          <w:color w:val="auto"/>
        </w:rPr>
      </w:pPr>
    </w:p>
    <w:p>
      <w:pPr>
        <w:ind w:left="20" w:right="5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Linda Bain </w:t>
      </w:r>
      <w:r>
        <w:rPr>
          <w:rFonts w:ascii="Times New Roman" w:cs="Times New Roman" w:eastAsia="Times New Roman" w:hAnsi="Times New Roman"/>
          <w:sz w:val="18"/>
          <w:szCs w:val="18"/>
          <w:color w:val="auto"/>
        </w:rPr>
        <w:t>has served as a member of our board of directors since June 2020. Ms. Bain has served as a venture partner at Atlas Venture,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capital firm focused on biotechnology, since April 2025. Ms. Bain served as Chief Operating Officer and Chief Financial Officer for Mariana Oncology, a radiopharmaceutical company and a Novartis company as of May 2024, from May 2023 to April 2025. Ms. Bain served as Chief Financial Officer of Codiak BioSciences, Inc., a biopharmaceutical company, from December 2015 to April 2023. Previously, Ms. Bain served as Chief Financial Officer of Avalanche Biotechnologies, Inc., a gene therapy company, from April 2014 to November 2015. Additionally, she served as Vice President of Finance, Business Operations at bluebird bio, Inc., a gene therapy biotechnology company, from October 2011 to March 2014, and as the Principal Accounting Officer from June 2013 to March 2014. Ms. Bain previously held senior roles at Genzyme Corporation, a biotechnology company, including Vice President of Finance, Global Manufacturing and Operations, and Vice President of Finance, Genzyme Genetics, and earlier in her career at Fidelity Investments, AstraZeneca plc, and Deloitte &amp; Touche LLP. Ms. Bain currently serves on the board of directors of the publicly traded company, Autolus Therapeutics plc, and private companies, Hemab Therapeutics Holdings, Inc. and Remix Therapeutics, Inc. Ms. Bain previously served on the board of directors of the publicly-traded company, VBI Vaccines Inc. Ms. Bain is a Certified Public Accountant and earned a B.Sc. in Accounting and Business Administration and an Honors degree in Accounting and Business Administration from the University of the Free State, Bloemfontein, South Africa. We believe Ms. Bain is qualified to serve on our board of directors due to her extensive executive leadership experience, knowledge of the life sciences industry, and her work with other public and private biopharmaceutical and biotechnology companies.</w:t>
      </w:r>
    </w:p>
    <w:p>
      <w:pPr>
        <w:spacing w:after="0" w:line="70"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8"/>
          <w:szCs w:val="18"/>
          <w:color w:val="auto"/>
        </w:rPr>
        <w:t>66</w:t>
      </w:r>
    </w:p>
    <w:p>
      <w:pPr>
        <w:spacing w:after="0" w:line="27" w:lineRule="exact"/>
        <w:rPr>
          <w:sz w:val="20"/>
          <w:szCs w:val="20"/>
          <w:color w:val="auto"/>
        </w:rPr>
      </w:pPr>
    </w:p>
    <w:p>
      <w:pPr>
        <w:ind w:left="20" w:right="5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Houston, Ph.D., </w:t>
      </w:r>
      <w:r>
        <w:rPr>
          <w:rFonts w:ascii="Times New Roman" w:cs="Times New Roman" w:eastAsia="Times New Roman" w:hAnsi="Times New Roman"/>
          <w:sz w:val="18"/>
          <w:szCs w:val="18"/>
          <w:color w:val="auto"/>
        </w:rPr>
        <w:t>has served as a member of our board of directors since September 2017. Dr. Houston has served as a consultant for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2026. Dr. Houston served as our President and Chief Executive Officer from September 2017 to February 2026, and as Chair of our board of directors from June 2023 to February 2026. Dr. Houston served as our President of Research and Development from January 2017 to June 2024, as our Chief Scientific Officer from January 2017 to April 2019 and served as our principal executive officer from February 2017 to February 2026. Prior to joining Arvinas, Dr. Houston served in positions of increasing responsibility at Bristol-Myers Squibb Company, a biopharmaceutical company, or BMS, most recently as Senior Vice President, Head of Specialty Discovery from September 2015 to August 2016, and as Senior Vice President of Disease Sciences, Biologics and Applied Biotechnology from August 2008 to September 2015. Prior to joining BMS, Dr. Houston worked at Glaxo Wellcome Research and Development in the UK, where he served as head of the Lead Discovery Unit. Dr. Houston currently serves on the board of directors of the publicly-traded company, NextCure, Inc. Dr. Houston holds a Ph.D. in microbial biochemistry from Heriot-Watt University, Edinburgh and a B.Sc. in medical microbiology from the University of Glasgow. We believe Dr. Houston is qualified to serve on our board of directors due to his scientific and historical experience with us gained from serving as our former President and Chief Executive Officer, combined with his previous scientific training and qualifications and the skills and experience he has developed during his extensive career in the life sciences industry.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6"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640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r>
    </w:p>
    <w:p>
      <w:pPr>
        <w:spacing w:after="0" w:line="7" w:lineRule="exact"/>
        <w:rPr>
          <w:sz w:val="20"/>
          <w:szCs w:val="20"/>
          <w:color w:val="auto"/>
        </w:rPr>
      </w:pPr>
    </w:p>
    <w:p>
      <w:pPr>
        <w:ind w:left="20" w:right="4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Laurie Smaldone Alsup, M.D., </w:t>
      </w:r>
      <w:r>
        <w:rPr>
          <w:rFonts w:ascii="Times New Roman" w:cs="Times New Roman" w:eastAsia="Times New Roman" w:hAnsi="Times New Roman"/>
          <w:sz w:val="18"/>
          <w:szCs w:val="18"/>
          <w:color w:val="auto"/>
        </w:rPr>
        <w:t>has served as a member of our board of directors since November 2019. Dr. Smaldone Alsup is a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oncologist and has served as Senior Vice President, Regulatory Science and Practical Lead of SSI Strategy Holdings LLC, a consulting firm that supports the needs of the biotechnology industry covering medical affairs, pharmacovigilance, regulatory and clinical development functions, or SSI Strategy, since January 2024. Dr. Smaldone Alsup served as Chief Scientific Officer and Chief Medical Officer for NDA Group, a regulatory and drug development consulting firm, from March 2016, when NDA Group merged with PharmApprove, LLC, to January 2024, when NDA group merged with SSI Strategy. Dr. Smaldone Alsup served as President and Chief Scientific Officer of PharmApprove, LLC, a regulatory communications consultancy firm and division of Taft and Partner, from August 2011 to March 2016. In addition, she served as President and Chief Executive Officer of Phytomedics, Inc., an early stage company focused on arthritis and inflammation, from 2008 to 2011. Prior to that, Dr. Smaldone Alsup spent over 20 years at BMS in roles of increasing responsibility in clinical development, especially oncology and infectious diseases, developing medicines through to approval globally across multiple disease areas. Dr. Smaldone Alsup headed up the global regulatory function as Senior Vice President, Global Regulatory Science where she was responsible for the development and approval process of the research and development portfolio. Dr. Smaldone Alsup also served as head of Business Risk Management for the BMS Corporation. Dr. Smaldone Alsup currently serves on the board of directors of the publicly-traded company, Theravance Biopharma, Inc., and previously served as a member of the board of directors of the publicly-traded companies, Blackberry Ltd., Kalobios Pharmaceuticals, Inc., Kinnate Biopharma Inc. and Pardes Biosciences Inc. (which was acquired by MediPacific, Inc.). Dr. Smaldone Alsup holds an M.D. from the Yale School of Medicine and a B.A. in biology from Fordham College. We believe Dr. Smaldone Alsup is qualified to serve on our board of directors due to her extensive regulatory and clinical experience in the life sciences industry, senior management experience in several companies in our industry and demonstrated leadership in her 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6"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Class III Directors (Term Expires at 2027 Annual Meeting)</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14605</wp:posOffset>
            </wp:positionV>
            <wp:extent cx="4368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52"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228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pacing w:after="0" w:line="7" w:lineRule="exact"/>
        <w:rPr>
          <w:sz w:val="20"/>
          <w:szCs w:val="20"/>
          <w:color w:val="auto"/>
        </w:rPr>
      </w:pPr>
    </w:p>
    <w:p>
      <w:pPr>
        <w:ind w:left="20" w:right="5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Everett Cunningham </w:t>
      </w:r>
      <w:r>
        <w:rPr>
          <w:rFonts w:ascii="Times New Roman" w:cs="Times New Roman" w:eastAsia="Times New Roman" w:hAnsi="Times New Roman"/>
          <w:sz w:val="18"/>
          <w:szCs w:val="18"/>
          <w:color w:val="auto"/>
        </w:rPr>
        <w:t>has served as a member of our board of directors since December 2022. Mr. Cunningham has served as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Quanterix Corporation, a life sciences company, or Quanterix, since January 2026. He has over 30 years of progressive responsibility in pharmaceuticals and medical services and over 20 years of commercial leadership across healthcare tech, life sciences and pharmaceuticals. Prior to Quanterix, Mr. Cunningham served as Chief Commercial Officer of Illumina, Inc., a sequencing and array-based technologies company, from June 2024 to January 2026. Prior to Illumina, from October 2021 to June 2024, Mr. Cunningham served as Chief Commercial Officer from Exact Sciences Corp., a company providing cancer screening and diagnostic tests. Prior to joining Exact Sciences, from July 2019 to September 2021, Mr. Cunningham served as President and Chief Executive Officer for the U.S. and Canadian regions of GE HealthCare Technologies Inc., a global medical technology company, or GE. Before joining GE, from October 2012 to June 2019, Mr. Cunningham served as the Senior Vice President, Commercial, at Quest Diagnostics Incorporated, a clinical laboratory company, where he was responsible for global commercial sales, marketing, and commercial operations. Mr. Cunningham also previously served in numerous senior leadership roles at Pfizer, including Regional President, Established Products for Asia Pacific, Senior Director of Worldwide Learning and Development, Senior Director of Business Operations, Vice President Sales for U.S. Pharmaceuticals, and Vice President of Global Corporate Human Resources. Mr. Cunningham currently serves on the boards of directors of the public company, Quanterix, and private company, Visby Medical. He earned his bachelor’s degree in economics from Northwestern University. We believe that Mr. Cunningham is qualified to serve on our board of directors due to his extensive experience in the pharmaceutical and medical services industries.</w:t>
      </w:r>
    </w:p>
    <w:p>
      <w:pPr>
        <w:spacing w:after="0" w:line="70"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8"/>
          <w:szCs w:val="18"/>
          <w:color w:val="auto"/>
        </w:rPr>
        <w:t>64</w:t>
      </w:r>
    </w:p>
    <w:p>
      <w:pPr>
        <w:spacing w:after="0" w:line="27" w:lineRule="exact"/>
        <w:rPr>
          <w:sz w:val="20"/>
          <w:szCs w:val="20"/>
          <w:color w:val="auto"/>
        </w:rPr>
      </w:pPr>
    </w:p>
    <w:p>
      <w:pPr>
        <w:ind w:left="20" w:right="5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Kennedy, Jr. </w:t>
      </w:r>
      <w:r>
        <w:rPr>
          <w:rFonts w:ascii="Times New Roman" w:cs="Times New Roman" w:eastAsia="Times New Roman" w:hAnsi="Times New Roman"/>
          <w:sz w:val="18"/>
          <w:szCs w:val="18"/>
          <w:color w:val="auto"/>
        </w:rPr>
        <w:t>has served as a member of our board of directors since July 2018. A health care regulatory attorney for over 25 years,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Kennedy has served as Partner and Member of the Health Care and Life Sciences practice of Epstein Becker &amp; Green, P.C., a national law firm, where he counsels healthcare companies on the legal, reimbursement, coding and coverage issues facing providers, payers and the life sciences industry, since January 2014. Previously, Mr. Kennedy served as the Co-Founder and President of Marwood Group, a healthcare focused strategic advisory and financial services firm, from January 2001 to December 2013. A childhood cancer survivor and amputee, Mr. Kennedy has been a lifelong patient advocate and disability rights activist, and serves on the board of the American Association of People with Disabilities. He also served as a State Senator in the Connecticut General Assembly from January 2015 to January 2019. Mr. Kennedy currently serves on the board of directors of the publicly-traded company, InnovAge Holding Corp. Mr. Kennedy holds a J.D. from the University of Connecticut School of Law, an M.E.S. from the Yale School of Forestry and Environmental Studies and a B.A. from Wesleyan University. We believe Mr. Kennedy is qualified to serve on our board of directors due to his extensive legal and regulatory experience, his roles as a policymaker and legislator, and his service on the boards of many innovative healthcare companies.</w:t>
      </w:r>
    </w:p>
    <w:p>
      <w:pPr>
        <w:spacing w:after="0" w:line="66"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228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pacing w:after="0" w:line="7" w:lineRule="exact"/>
        <w:rPr>
          <w:sz w:val="20"/>
          <w:szCs w:val="20"/>
          <w:color w:val="auto"/>
        </w:rPr>
      </w:pPr>
    </w:p>
    <w:p>
      <w:pPr>
        <w:ind w:left="20" w:right="5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Briggs Morrison, M.D., </w:t>
      </w:r>
      <w:r>
        <w:rPr>
          <w:rFonts w:ascii="Times New Roman" w:cs="Times New Roman" w:eastAsia="Times New Roman" w:hAnsi="Times New Roman"/>
          <w:sz w:val="18"/>
          <w:szCs w:val="18"/>
          <w:color w:val="auto"/>
        </w:rPr>
        <w:t>has served as a member of our board of directors since June 2018 and as Chair of our board of directors since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Dr. Morrison also served as our lead independent director from June 2023 to February 2026. Prior to joining our board of directors, Dr. Morrison was a member of our Scientific Advisory Board from August 2016 to June 2018. Dr. Morrison has served as Chief Executive Officer of Crossbow Therapeutics, Inc., a privately held biotechnology company, since February 2022. Dr. Morrison previously served as President, Head of Research and Development of Syndax Pharmaceuticals Inc., a publicly-traded biopharmaceutical company, or Syndax, from February 2022 to April 2023, and before that served as Chief Executive Officer of Syndax from June 2015 to February 2022. Dr. Morrison has also served as an Entrepreneur Partner at MPM BioImpact (previously MPM Capital) since June 2015. Previously, Dr. Morrison was the Chief Medical Officer and Head of Global Medicines Development at AstraZeneca plc, a biopharmaceutical company, from January 2012 to June 2015. Dr. Morrison currently serves on the boards of directors of the publicly-traded companies CRISPR Therapeutics AG and Werewolf Therapeutics Inc., and previously served on the boards of directors of the publicly-traded companies, Carisma Therapeutics, Inc., Codiak Biosciences, Inc., NextCure, Inc., Oncorus, Inc., Repare Therapeutics Inc., and Syndax. Dr. Morrison holds an M.D. from the University of Connecticut Medical School and a B.S. in biology from Georgetown University. He completed residency training in Internal Medicine at the Massachusetts General Hospital and a fellowship in Medical Oncology at the Dana-Farber Cancer Institute. We believe Dr. Morrison is qualified to serve on our board of directors due to his extensive executive leadership experience, his medical background and training, and his service on the boards of directors of other public and private biopharmaceutical and biotechnology companies.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6"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 or any of our subsidiaries. Codiak BioSciences, Inc., where Ms. Bain previously served as Chief Financial Officer, filed a voluntary petition for relief under Chapter 11 of the U.S. Bankruptcy Code in March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Members of our Board of Directors Who Served in 2025 and Directors Not Standing for Re-Election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Young served as a member of our board of directors from August 2022 to June 2025. Mr. Young resigned as a director effective June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Sunil Agarwal, M.D., a member of our board of directors since June 2023, will not be standing for re-election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our executive officers who are not directors is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040"/>
          </w:cols>
          <w:pgMar w:left="320" w:top="12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Noah Berkowitz, M.D., Ph.D., </w:t>
      </w:r>
      <w:r>
        <w:rPr>
          <w:rFonts w:ascii="Times New Roman" w:cs="Times New Roman" w:eastAsia="Times New Roman" w:hAnsi="Times New Roman"/>
          <w:sz w:val="18"/>
          <w:szCs w:val="18"/>
          <w:color w:val="auto"/>
        </w:rPr>
        <w:t>has served as our Chief Medical Officer since March 2024. Dr. Berkowitz has more than 20 years of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advancing programs through early and late stages of development. From January 2020 through 2023, Dr. Berkowitz was Senior Vice President Hematology Development at BMS where his teams were responsible for multiple global regulatory approvals for small molecules, biologics and cell therapies. From 2012 to 2020, while developing drugs for rare disease, oncology and hematology at Novartis, Inc., Dr. Berkowitz held roles of increasing responsibility, culminating in the role, VP Clinical Development Head, Hematology. Earlier in his career, Dr. Berkowitz was an executive at Impath, a cancer-testing services company (acquired by Genzyme), and founder and Chief Executive Officer of Synvista. Dr. Berkowitz trained in Medical Oncology at the National Cancer Institute and received his M.D., Ph.D., from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132320" cy="994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17145</wp:posOffset>
            </wp:positionV>
            <wp:extent cx="436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62</w:t>
      </w:r>
    </w:p>
    <w:p>
      <w:pPr>
        <w:spacing w:after="0" w:line="1412" w:lineRule="exact"/>
        <w:rPr>
          <w:sz w:val="20"/>
          <w:szCs w:val="20"/>
          <w:color w:val="auto"/>
        </w:rPr>
      </w:pPr>
    </w:p>
    <w:p>
      <w:pPr>
        <w:sectPr>
          <w:pgSz w:w="11900" w:h="16838" w:orient="portrait"/>
          <w:cols w:equalWidth="0" w:num="2">
            <w:col w:w="10520" w:space="220"/>
            <w:col w:w="300"/>
          </w:cols>
          <w:pgMar w:left="320" w:top="126" w:right="53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10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Angela Cacace, Ph.D.</w:t>
            </w:r>
            <w:r>
              <w:rPr>
                <w:rFonts w:ascii="Times New Roman" w:cs="Times New Roman" w:eastAsia="Times New Roman" w:hAnsi="Times New Roman"/>
                <w:sz w:val="18"/>
                <w:szCs w:val="18"/>
                <w:color w:val="auto"/>
              </w:rPr>
              <w:t>, has served as our Chief Scientific Officer since June 2024. Dr. Cacace joined the Company in September 2018, serving as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our Vice President of Neuroscience and Platform Biology from September 2018 to January 2022, and as our Senior Vice President, Neuroscience</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and Platform Biology, from January 2022 to June 2024. Dr. Cacace has three decades of drug discovery experience in neuroscience and oncology</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research across modalities. During her time at the Company, Dr. Cacace has led the continuous evolution of our PROTAC Discovery Engine to</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employ new E3 ligases and cross the blood-brain barrier for multiple neurologic disease targets. Previously, from April 2016 to September 2018,</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Dr. Cacace served as the Vice President of Biology at Fulcrum Therapeutics, Inc., a biotechnology company, where she built the biology</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platform, grew talented scientific teams, delivered the first development candidates, and guided the development of translational biomarkers to</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enable clinical development programs. Additionally, from November 1998 to September 2006 and then August 2007 to April 2016, Dr. Cacace</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served in positions of increasing responsibility at BMS, including as the Director of Neuroscience and Genetically Defined Diseases, where she</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spearheaded alternative therapeutic modalities and was a co-inventor on several development candidates. At BMS she was responsible for</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building research-wide teams and initiatives, including the Lead Discovery and Optimization functions. While serving as a Senior Principal</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Scientist in Cancer Biology at Pfizer, together with her team, she discovered a novel anti-angiogenic antibody development candidate. Dr. Cacace</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serves as a board member of BioCT, Connecticut’s life sciences trade organization. Dr. Cacace received her B.S. in Biology from Fairfield</w:t>
            </w:r>
          </w:p>
        </w:tc>
        <w:tc>
          <w:tcPr>
            <w:tcW w:w="320" w:type="dxa"/>
            <w:vAlign w:val="bottom"/>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University, Ph.D. in Pharmacology from Columbia University and completed her postdoctoral research in Oncology at BMS and the National</w:t>
            </w:r>
          </w:p>
        </w:tc>
        <w:tc>
          <w:tcPr>
            <w:tcW w:w="320" w:type="dxa"/>
            <w:vAlign w:val="bottom"/>
          </w:tcPr>
          <w:p>
            <w:pPr>
              <w:spacing w:after="0"/>
              <w:rPr>
                <w:sz w:val="18"/>
                <w:szCs w:val="18"/>
                <w:color w:val="auto"/>
              </w:rPr>
            </w:pPr>
          </w:p>
        </w:tc>
      </w:tr>
      <w:tr>
        <w:trPr>
          <w:trHeight w:val="23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Cancer Institute.</w:t>
            </w:r>
          </w:p>
        </w:tc>
        <w:tc>
          <w:tcPr>
            <w:tcW w:w="320" w:type="dxa"/>
            <w:vAlign w:val="bottom"/>
          </w:tcPr>
          <w:p>
            <w:pPr>
              <w:spacing w:after="0"/>
              <w:rPr>
                <w:sz w:val="20"/>
                <w:szCs w:val="20"/>
                <w:color w:val="auto"/>
              </w:rPr>
            </w:pPr>
          </w:p>
        </w:tc>
      </w:tr>
      <w:tr>
        <w:trPr>
          <w:trHeight w:val="306"/>
        </w:trPr>
        <w:tc>
          <w:tcPr>
            <w:tcW w:w="10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Andrew Saik </w:t>
            </w:r>
            <w:r>
              <w:rPr>
                <w:rFonts w:ascii="Times New Roman" w:cs="Times New Roman" w:eastAsia="Times New Roman" w:hAnsi="Times New Roman"/>
                <w:sz w:val="18"/>
                <w:szCs w:val="18"/>
                <w:color w:val="auto"/>
              </w:rPr>
              <w:t>has served as our Chief Financial Officer, Treasurer and principal financial officer since June 2024. Mr. Saik has more than 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years of biopharmaceutical finance experience. From June 2021 to June 2024 Mr. Saik served as Chief Financial Officer at Intercept</w:t>
            </w:r>
          </w:p>
        </w:tc>
        <w:tc>
          <w:tcPr>
            <w:tcW w:w="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680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80210"/>
                    </a:xfrm>
                    <a:prstGeom prst="rect">
                      <a:avLst/>
                    </a:prstGeom>
                    <a:noFill/>
                  </pic:spPr>
                </pic:pic>
              </a:graphicData>
            </a:graphic>
          </wp:anchor>
        </w:drawing>
      </w:r>
    </w:p>
    <w:p>
      <w:pPr>
        <w:ind w:left="20" w:right="520"/>
        <w:spacing w:after="0" w:line="251" w:lineRule="auto"/>
        <w:rPr>
          <w:sz w:val="20"/>
          <w:szCs w:val="20"/>
          <w:color w:val="auto"/>
        </w:rPr>
      </w:pPr>
      <w:r>
        <w:rPr>
          <w:rFonts w:ascii="Times New Roman" w:cs="Times New Roman" w:eastAsia="Times New Roman" w:hAnsi="Times New Roman"/>
          <w:sz w:val="18"/>
          <w:szCs w:val="18"/>
          <w:color w:val="auto"/>
        </w:rPr>
        <w:t>Pharmaceuticals, Inc., a pharmaceutical company, or Intercept, where he also managed investor relations and communications functions through multiple Phase 3 data releases. Prior to Intercept, from 2020 to 2021, Mr. Saik served as Chief Financial Officer of Vyne Therapeutics, Inc., a pharmaceutical company, or Vyne, where he led a buildout of the company’s finance department in the United States, renegotiated debt obligations to provide the company with enhanced financial flexibility and helped raise over $135 million to fund operations. Prior to joining Vyne, Mr. Saik held Chief Financial Officer positions at biotechnology companies, PDS Biotechnology, Corp. (formerly Edge Therapeutics Inc.) from 2017 to 2020, Vertice Pharma, LLC from 2015 to 2017, and Auxilium Pharmaceuticals, Inc. from 2014 to 2015. Prior to Auxilium, from 2013 to 2014, he served as Senior Vice President, Finance and Treasurer at Endo Health Solutions, Inc., where he helped complete the acquisition of Paladin Labs and restructured $3 billion of debt into a new corporate structure. Mr. Saik serves as a member of the board of directors of Milestone Pharmaceuticals. Mr. Saik holds an M.B.A. from the University of Southern California and a Bachelor of Arts from the University of California, Los Angeles.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6" w:right="5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The qualifications, qualities and skills that our nominating and corporate governance committee believes must be met by a committee-recommended nominee for a position on our board of directors are as follows:</w:t>
      </w:r>
    </w:p>
    <w:p>
      <w:pPr>
        <w:spacing w:after="0" w:line="75" w:lineRule="exact"/>
        <w:rPr>
          <w:sz w:val="20"/>
          <w:szCs w:val="20"/>
          <w:color w:val="auto"/>
        </w:rPr>
      </w:pPr>
    </w:p>
    <w:p>
      <w:pPr>
        <w:ind w:left="2100" w:hanging="634"/>
        <w:spacing w:after="0"/>
        <w:tabs>
          <w:tab w:leader="none" w:pos="2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17" w:lineRule="exact"/>
        <w:rPr>
          <w:rFonts w:ascii="Times New Roman" w:cs="Times New Roman" w:eastAsia="Times New Roman" w:hAnsi="Times New Roman"/>
          <w:sz w:val="18"/>
          <w:szCs w:val="18"/>
          <w:color w:val="auto"/>
        </w:rPr>
      </w:pPr>
    </w:p>
    <w:p>
      <w:pPr>
        <w:ind w:left="2120" w:right="160" w:hanging="654"/>
        <w:spacing w:after="0" w:line="266" w:lineRule="auto"/>
        <w:tabs>
          <w:tab w:leader="none" w:pos="21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67" w:lineRule="exact"/>
        <w:rPr>
          <w:rFonts w:ascii="Times New Roman" w:cs="Times New Roman" w:eastAsia="Times New Roman" w:hAnsi="Times New Roman"/>
          <w:sz w:val="18"/>
          <w:szCs w:val="18"/>
          <w:color w:val="auto"/>
        </w:rPr>
      </w:pPr>
    </w:p>
    <w:p>
      <w:pPr>
        <w:ind w:left="2120" w:right="180" w:hanging="654"/>
        <w:spacing w:after="0" w:line="282" w:lineRule="auto"/>
        <w:tabs>
          <w:tab w:leader="none" w:pos="21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 our company and our industry and to regularly attend and participate in meetings of our board of directors and its committees.</w:t>
      </w:r>
    </w:p>
    <w:p>
      <w:pPr>
        <w:spacing w:after="0" w:line="53" w:lineRule="exact"/>
        <w:rPr>
          <w:rFonts w:ascii="Times New Roman" w:cs="Times New Roman" w:eastAsia="Times New Roman" w:hAnsi="Times New Roman"/>
          <w:sz w:val="18"/>
          <w:szCs w:val="18"/>
          <w:color w:val="auto"/>
        </w:rPr>
      </w:pPr>
    </w:p>
    <w:p>
      <w:pPr>
        <w:ind w:left="2120" w:right="80" w:hanging="654"/>
        <w:spacing w:after="0" w:line="266" w:lineRule="auto"/>
        <w:tabs>
          <w:tab w:leader="none" w:pos="21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spacing w:after="0" w:line="67" w:lineRule="exact"/>
        <w:rPr>
          <w:rFonts w:ascii="Times New Roman" w:cs="Times New Roman" w:eastAsia="Times New Roman" w:hAnsi="Times New Roman"/>
          <w:sz w:val="18"/>
          <w:szCs w:val="18"/>
          <w:color w:val="auto"/>
        </w:rPr>
      </w:pPr>
    </w:p>
    <w:p>
      <w:pPr>
        <w:ind w:left="2120" w:right="180" w:hanging="654"/>
        <w:spacing w:after="0" w:line="282" w:lineRule="auto"/>
        <w:tabs>
          <w:tab w:leader="none" w:pos="21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 conflict of interest that would impair the nominee’s ability to represent the interests of all of our stockholders and to fulfill the responsibilities of a director.</w:t>
      </w:r>
    </w:p>
    <w:p>
      <w:pPr>
        <w:spacing w:after="0" w:line="53" w:lineRule="exact"/>
        <w:rPr>
          <w:rFonts w:ascii="Times New Roman" w:cs="Times New Roman" w:eastAsia="Times New Roman" w:hAnsi="Times New Roman"/>
          <w:sz w:val="18"/>
          <w:szCs w:val="18"/>
          <w:color w:val="auto"/>
        </w:rPr>
      </w:pPr>
    </w:p>
    <w:p>
      <w:pPr>
        <w:ind w:left="2120" w:right="60" w:hanging="654"/>
        <w:spacing w:after="0" w:line="266" w:lineRule="auto"/>
        <w:tabs>
          <w:tab w:leader="none" w:pos="21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represent a broad array of personal and professional characteristics. Disability and military service will also be considered. Nominees will not be discriminated against on the basis of race, religion, national origin, sex, sexual orientation, disability or any other basis proscribed by law.</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 third party search firm in those situations where particular qualifications are required or where existing contacts are not sufficient to identify an appropriate candidate.</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At the Annual Meeting, stockholders will be asked to consider the election of Ms. Norwalk and Dr. Teel. Dr. Teel was appointed to the board of directors in February 2026 and has been nominated for election as a director by our stockholders for the first time. Ms. Norwalk is standing for re-election by the stockholders at the Annual Meeting and was initially recommended by the nominating and corporate governance committee. Dr. Agarwal is not standing for re-election at the Annual Meeting.</w:t>
      </w:r>
    </w:p>
    <w:p>
      <w:pPr>
        <w:spacing w:after="0" w:line="1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bylaws and must be received by us no later than the date referenced below under the heading “Stockholder Proposals.” 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Audit committee members must also satisfy independence criteria set forth in Rule 10A-3 under the Securities Exchange Act of 1934, as amended, or the Exchange Act, and compensation committee members must also satisfy the independence criteria set forth in Rule 10C-1 under the Exchange Act. Under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 In March 2026, our board of directors undertook a review of the independence of each director. Based upon information requested from and provided by each director concerning his or her background, employment and affiliations, including family relationships, our board of directors has determined that each of Dr. Agarwal, Ms. Bain, Mr. Cunningham, Mr. Kennedy, Dr. Morrison, Ms. Norwalk and Dr. Smaldone Alsup is an “independent director” as defined under Nasdaq Listing Rules, and Mr. Young, who served as a member of our board of directors until June 2025, was also an “independent director”. Dr. Teel is not an independent director under these rules because he is our President and Chief Executive Officer. Dr. Houston is not an independent director under these rules because he is our former President and Chief Executive Officer. Our board of directors has also determined that Ms. Bain, Mr. Cunningham and Ms. Norwalk, who comprise our audit committee, and Mr. Cunningham, Dr. Smaldone Alsup and Ms. Norwalk, who comprise our compensation committee, satisfy the independence standards for such committees established by the SEC and the Nasdaq Listing Rules, as applicable. In making such determination,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 nominating and corporate governance committee and a science and technology committee. Each of the audit committee, compensation committee, nominating and corporate governance committee and science and technology committee operates under a charter, and each such committee reviews its respective charter at least annually. A current copy of the charter for each of the audit committee, compensation committee, the nominating and corporate governance committee, and the science and technology committee is posted on the corporate governance section of the </w:t>
      </w:r>
      <w:r>
        <w:rPr>
          <w:rFonts w:ascii="Times New Roman" w:cs="Times New Roman" w:eastAsia="Times New Roman" w:hAnsi="Times New Roman"/>
          <w:sz w:val="18"/>
          <w:szCs w:val="18"/>
          <w:i w:val="1"/>
          <w:iCs w:val="1"/>
          <w:color w:val="auto"/>
        </w:rPr>
        <w:t>Investors and Media</w:t>
      </w:r>
      <w:r>
        <w:rPr>
          <w:rFonts w:ascii="Times New Roman" w:cs="Times New Roman" w:eastAsia="Times New Roman" w:hAnsi="Times New Roman"/>
          <w:sz w:val="18"/>
          <w:szCs w:val="18"/>
          <w:color w:val="auto"/>
        </w:rPr>
        <w:t xml:space="preserve"> section on our website, which is located at http://www.arvinas.com. Information contained on our website is not incorporated by reference in, or considered part of, this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members of our audit committee are currently Linda Bain, Everett Cunningham and Leslie V. Norwalk, Esq. Ms. Bain is the chair of our audit committee. Our board of directors has determined that each of Ms. Bain, Mr. Cunningham and Ms. Norwalk is independent within the meaning of Rule 10A-3 under the Exchange Act. Our board of directors has determined that Ms. Bain is an “audit committee financial expert” as defined in applicable SEC rules. Our board of directors believes that the composition of our audit committee meets the requirements for independence under current Nasdaq and SEC rules and regulations. Our audit committee assists our board of directors in its oversight of our accounting and financial reporting process and the audits of our consolidated financial statements. The audit committee met eight times during the year ended December 31, 2025, including telephonic and videoconference meetings.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2100" w:hanging="634"/>
        <w:spacing w:after="0"/>
        <w:tabs>
          <w:tab w:leader="none" w:pos="2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117" w:lineRule="exact"/>
        <w:rPr>
          <w:rFonts w:ascii="Times New Roman" w:cs="Times New Roman" w:eastAsia="Times New Roman" w:hAnsi="Times New Roman"/>
          <w:sz w:val="18"/>
          <w:szCs w:val="18"/>
          <w:color w:val="auto"/>
        </w:rPr>
      </w:pPr>
    </w:p>
    <w:p>
      <w:pPr>
        <w:ind w:left="2120" w:right="100" w:hanging="654"/>
        <w:spacing w:after="0" w:line="282" w:lineRule="auto"/>
        <w:tabs>
          <w:tab w:leader="none" w:pos="2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that firm;</w:t>
      </w:r>
    </w:p>
    <w:p>
      <w:pPr>
        <w:spacing w:after="0" w:line="53" w:lineRule="exact"/>
        <w:rPr>
          <w:rFonts w:ascii="Times New Roman" w:cs="Times New Roman" w:eastAsia="Times New Roman" w:hAnsi="Times New Roman"/>
          <w:sz w:val="18"/>
          <w:szCs w:val="18"/>
          <w:color w:val="auto"/>
        </w:rPr>
      </w:pPr>
    </w:p>
    <w:p>
      <w:pPr>
        <w:ind w:left="2120" w:right="180" w:hanging="654"/>
        <w:spacing w:after="0" w:line="282" w:lineRule="auto"/>
        <w:tabs>
          <w:tab w:leader="none" w:pos="2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2120" w:right="80" w:hanging="654"/>
        <w:spacing w:after="0" w:line="282" w:lineRule="auto"/>
        <w:tabs>
          <w:tab w:leader="none" w:pos="2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 if any;</w:t>
      </w:r>
    </w:p>
    <w:p>
      <w:pPr>
        <w:spacing w:after="0" w:line="117" w:lineRule="exact"/>
        <w:rPr>
          <w:rFonts w:ascii="Times New Roman" w:cs="Times New Roman" w:eastAsia="Times New Roman" w:hAnsi="Times New Roman"/>
          <w:sz w:val="18"/>
          <w:szCs w:val="18"/>
          <w:color w:val="auto"/>
        </w:rPr>
      </w:pPr>
    </w:p>
    <w:p>
      <w:pPr>
        <w:ind w:left="2120" w:right="300" w:hanging="654"/>
        <w:spacing w:after="0" w:line="282" w:lineRule="auto"/>
        <w:tabs>
          <w:tab w:leader="none" w:pos="2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 including with respect to major financial, cybersecurity and compliance risk exposures;</w:t>
      </w:r>
    </w:p>
    <w:p>
      <w:pPr>
        <w:spacing w:after="0" w:line="53" w:lineRule="exact"/>
        <w:rPr>
          <w:rFonts w:ascii="Times New Roman" w:cs="Times New Roman" w:eastAsia="Times New Roman" w:hAnsi="Times New Roman"/>
          <w:sz w:val="18"/>
          <w:szCs w:val="18"/>
          <w:color w:val="auto"/>
        </w:rPr>
      </w:pPr>
    </w:p>
    <w:p>
      <w:pPr>
        <w:ind w:left="2120" w:right="160" w:hanging="654"/>
        <w:spacing w:after="0" w:line="282" w:lineRule="auto"/>
        <w:tabs>
          <w:tab w:leader="none" w:pos="2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53" w:lineRule="exact"/>
        <w:rPr>
          <w:rFonts w:ascii="Times New Roman" w:cs="Times New Roman" w:eastAsia="Times New Roman" w:hAnsi="Times New Roman"/>
          <w:sz w:val="18"/>
          <w:szCs w:val="18"/>
          <w:color w:val="auto"/>
        </w:rPr>
      </w:pPr>
    </w:p>
    <w:p>
      <w:pPr>
        <w:ind w:left="2120" w:right="720" w:hanging="654"/>
        <w:spacing w:after="0" w:line="282" w:lineRule="auto"/>
        <w:tabs>
          <w:tab w:leader="none" w:pos="2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our independent registered public accounting firm and management;</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U.S. Securities and Exchange Commission, or SEC, rules.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audit services to be provided to us and all non-audit services to be provided to us by our registered public accounting firm must be approved in advance by our audit committee. The report of the audit committee is included in this proxy statement under “Report of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members of our compensation committee are currently Everett Cunningham, Leslie V. Norwalk, Esq., and Laurie Smaldone Alsup, M.D. Ms. Norwalk is the chair of our compensation committee. John Young served as a member and chair of our compensation committee until June 30, 2025 when he resigned as a director. Our board of directors has determined that each of Mr. Cunningham, Ms. Norwalk, and Dr. Smaldone Alsup is independent within the meaning of Rule 10C-1 under the Exchange Act. Mr. Young was also independent within the meaning of Rule 10C-1 during his time serving on the compensation committee. Our compensation committee assists our board of directors in the discharge of its responsibilities relating to the compensation of our executive officers. The compensation committee met six times during the year ended December 31, 2025, including telephonic and videoconference meetings.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committee’s responsibilities include:</w:t>
      </w:r>
    </w:p>
    <w:p>
      <w:pPr>
        <w:spacing w:after="0" w:line="117" w:lineRule="exact"/>
        <w:rPr>
          <w:sz w:val="20"/>
          <w:szCs w:val="20"/>
          <w:color w:val="auto"/>
        </w:rPr>
      </w:pPr>
    </w:p>
    <w:p>
      <w:pPr>
        <w:ind w:left="2120" w:hanging="654"/>
        <w:spacing w:after="0" w:line="282" w:lineRule="auto"/>
        <w:tabs>
          <w:tab w:leader="none" w:pos="21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the compensation of our chief executive officer and our other executive officers;</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117" w:lineRule="exact"/>
        <w:rPr>
          <w:rFonts w:ascii="Times New Roman" w:cs="Times New Roman" w:eastAsia="Times New Roman" w:hAnsi="Times New Roman"/>
          <w:sz w:val="18"/>
          <w:szCs w:val="18"/>
          <w:color w:val="auto"/>
        </w:rPr>
      </w:pPr>
    </w:p>
    <w:p>
      <w:pPr>
        <w:ind w:left="2120" w:right="400" w:hanging="654"/>
        <w:spacing w:after="0" w:line="282" w:lineRule="auto"/>
        <w:tabs>
          <w:tab w:leader="none" w:pos="21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implementation and effectiveness of our policies and strategies relating to its human capital management function;</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and</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No officer may participate in, or be present during, any deliberations or determinations of the compensation committee regarding the compensation for such officer or any immediate family member of such officer. The charter of the compensation committee grants the compensation committee full access to all of our books, records, facilities, and personnel, as well as authority to obtain, at our expense, advice and assistance from internal and external legal, accounting, or other advisors and consultants, and other external resources that the compensation committee considers necessary or appropriate in the performance of its duties. In particular, the compensation committee may, in its sole discretion, retain compensation consultants to assist in its evaluation of executive and director compensation, including the authority to approve the consultant’s reasonable fees and other retention terms.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compensation committee engaged Aon’s Human Capital Solutions practice, a division of Aon plc, or Aon, as its compensation consultant for the 2025 fiscal year. Aon has acted as our compensation consultant since 2018, the time of our initial public offering. Our compensation committee considered the relationship that Aon has with us, the members of our board of directors and our executive officers. Based on the committee’s evaluation, the compensation committee has determined that no conflicts of interest exist between the company and Aon.</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Aon assisted the committee in conducting a competitive compensation assessment for our executive officers for the fiscal year ended December 31, 2025. In evaluating the total compensation of our executive officers, the compensation committee, with the assistance of Aon, established a peer group of 16 publicly traded companies in the biopharmaceutical industry that comprised companies whose market capitalization, number of employees, maturity of product development pipeline and area of therapeutic focus are similar to ours. Our peer groups are discussed in greater detail in our “Compensation Discussion and Analysis.”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Aon also supplemented the peer group information with published survey data, which provided a broader market representation of companies and deeper position reporting.</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Historically, our compensation committee reviews and approves, as appropriate, all compensation components including base salary, bonus, benefits, equity incentives and, if any, perquisites, as well as severance arrangements, change-in-control benefits and other forms of executive officer compensation, other than the compensation of our Chief Executive Officer, for which our compensation committee provides a recommendation to our board of directors. In addition,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also makes recommendations to our board of directors regarding the compensation of non-employee directors and has the authority to administer our equity-based plans.</w:t>
      </w:r>
    </w:p>
    <w:p>
      <w:pPr>
        <w:spacing w:after="0" w:line="18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consisting of independent directors, as it deems appropriate. Pursuant to our 2018 Stock Incentive Plan, or our 2018 Plan, the compensation committee has delegated to our Chief Executive Officer the authority to approve grants of stock options and restricted stock units to new hire employees up to and including the level of Vice President, subject to certain limitations for each level of employment and an annual aggregate maximum amount of awards that can be granted pursuant to such delegated authority.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currently Edward Kennedy, Jr., Sunil Agarwal, M.D., and Briggs Morrison, M.D. Mr. Kennedy is the chair of our nominating and corporate governance committee. The nominating and corporate governance committee met four times during the year ended December 31, 2025, including telephonic and videoconference meetings. Following the Annual Meeting, we expect that the nominating and corporate governance committee will consist of Edward Kennedy, Jr. and Briggs Morrison, M.D.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2100" w:hanging="634"/>
        <w:spacing w:after="0"/>
        <w:tabs>
          <w:tab w:leader="none" w:pos="2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2120" w:right="540" w:hanging="654"/>
        <w:spacing w:after="0" w:line="282" w:lineRule="auto"/>
        <w:tabs>
          <w:tab w:leader="none" w:pos="21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our board’s committees;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100" w:hanging="634"/>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our board leadership structure;</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117" w:lineRule="exact"/>
        <w:rPr>
          <w:rFonts w:ascii="Times New Roman" w:cs="Times New Roman" w:eastAsia="Times New Roman" w:hAnsi="Times New Roman"/>
          <w:sz w:val="18"/>
          <w:szCs w:val="18"/>
          <w:color w:val="auto"/>
        </w:rPr>
      </w:pPr>
    </w:p>
    <w:p>
      <w:pPr>
        <w:ind w:left="2120" w:hanging="654"/>
        <w:spacing w:after="0" w:line="282" w:lineRule="auto"/>
        <w:tabs>
          <w:tab w:leader="none" w:pos="21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reporting to our board concerning our corporate responsibility and sustainability efforts, including the impact of environmental and social issues on us; and</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members of our science and technology committee are currently Sunil Agarwal, M.D., Briggs Morrison, M.D. and Laurie Smaldone Alsup, M.D. Dr. Agarwal is the chair of our science and technology committee. The science and technology committee met two times during the year ended December 31, 2025, including telephonic and videoconference meetings. Following the Annual Meeting, we expect that our science and technology committee will consist of Dr. Morrison and Dr. Smaldone Alsup, with Dr. Smaldone Alsup as chair.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science and technology committee’s responsibilities include:</w:t>
      </w:r>
    </w:p>
    <w:p>
      <w:pPr>
        <w:spacing w:after="0" w:line="117" w:lineRule="exact"/>
        <w:rPr>
          <w:sz w:val="20"/>
          <w:szCs w:val="20"/>
          <w:color w:val="auto"/>
        </w:rPr>
      </w:pPr>
    </w:p>
    <w:p>
      <w:pPr>
        <w:ind w:left="2120" w:right="540" w:hanging="654"/>
        <w:spacing w:after="0" w:line="282" w:lineRule="auto"/>
        <w:tabs>
          <w:tab w:leader="none" w:pos="21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our board of directors and management regarding the long-term strategic goals and objectives and the quality and direction of our research and development programs;</w:t>
      </w:r>
    </w:p>
    <w:p>
      <w:pPr>
        <w:spacing w:after="0" w:line="53" w:lineRule="exact"/>
        <w:rPr>
          <w:rFonts w:ascii="Times New Roman" w:cs="Times New Roman" w:eastAsia="Times New Roman" w:hAnsi="Times New Roman"/>
          <w:sz w:val="18"/>
          <w:szCs w:val="18"/>
          <w:color w:val="auto"/>
        </w:rPr>
      </w:pPr>
    </w:p>
    <w:p>
      <w:pPr>
        <w:ind w:left="2120" w:right="80" w:hanging="654"/>
        <w:spacing w:after="0" w:line="282" w:lineRule="auto"/>
        <w:tabs>
          <w:tab w:leader="none" w:pos="21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evaluating trends in research and development, and recommending to our board of directors and management emerging technologies for building the company's technological strength;</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external research and development disclosures and publications, as appropriate;</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clinical development plans, target product profiles and clinical protocol synopses for key studies, as appropriate;</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and management on the scientific aspects of business development transactions;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reviewing our research and development pipeline;</w:t>
      </w:r>
    </w:p>
    <w:p>
      <w:pPr>
        <w:spacing w:after="0" w:line="117" w:lineRule="exact"/>
        <w:rPr>
          <w:rFonts w:ascii="Times New Roman" w:cs="Times New Roman" w:eastAsia="Times New Roman" w:hAnsi="Times New Roman"/>
          <w:sz w:val="18"/>
          <w:szCs w:val="18"/>
          <w:color w:val="auto"/>
        </w:rPr>
      </w:pPr>
    </w:p>
    <w:p>
      <w:pPr>
        <w:ind w:left="2120" w:right="60" w:hanging="654"/>
        <w:spacing w:after="0" w:line="282" w:lineRule="auto"/>
        <w:tabs>
          <w:tab w:leader="none" w:pos="21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with its oversight responsibility for enterprise risk management in areas affecting our research and development; and</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intellectual property strategies.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2025, in the period for which such person was a director, the members of our compensation committee were Everett Cunningham, Leslie V. Norwalk, Esq., Laurie Smaldone Alsup, M.D. and John Young. None of our executive officers serves, or in the past has served, as a member of the board of directors or compensation committee (or other committee serving an equivalent function) of any entity that has one or more of its executive officers serving as a member of our board of directors or our compensation committee. None of the members of our compensation committee is currently an officer or employee of our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full board of directors met ten times during 2025. During 2025, each current member of the board of directors attended in person or participated telephonically or virtually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our annual meeting of stockholders, we encourage all of our directors to attend. All of our then-serving directors attended our 2025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under the heading “Corporate Governance” on the </w:t>
      </w:r>
      <w:r>
        <w:rPr>
          <w:rFonts w:ascii="Times New Roman" w:cs="Times New Roman" w:eastAsia="Times New Roman" w:hAnsi="Times New Roman"/>
          <w:sz w:val="18"/>
          <w:szCs w:val="18"/>
          <w:i w:val="1"/>
          <w:iCs w:val="1"/>
          <w:color w:val="auto"/>
        </w:rPr>
        <w:t>Investors and Media</w:t>
      </w:r>
      <w:r>
        <w:rPr>
          <w:rFonts w:ascii="Times New Roman" w:cs="Times New Roman" w:eastAsia="Times New Roman" w:hAnsi="Times New Roman"/>
          <w:sz w:val="18"/>
          <w:szCs w:val="18"/>
          <w:color w:val="auto"/>
        </w:rPr>
        <w:t xml:space="preserve"> section of our website, which is located at http://www.arvinas.com. Information contained on our website is not incorporated by reference in, or considered part of, this proxy statement.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and other covered persons. We believe the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in the exercise of its duties and responsibilities and to serve the best interests of our company and our stockholders. The guidelines provide that:</w:t>
      </w:r>
    </w:p>
    <w:p>
      <w:pPr>
        <w:spacing w:after="0" w:line="54" w:lineRule="exact"/>
        <w:rPr>
          <w:sz w:val="20"/>
          <w:szCs w:val="20"/>
          <w:color w:val="auto"/>
        </w:rPr>
      </w:pPr>
    </w:p>
    <w:p>
      <w:pPr>
        <w:ind w:left="2100" w:hanging="634"/>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board’s principal responsibility is to oversee the management of our company;</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permitted by Nasdaq rules, a majority of the members of our board must be independent directors;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in executive session at least twice a year;</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independent advisors; and</w:t>
      </w:r>
    </w:p>
    <w:p>
      <w:pPr>
        <w:spacing w:after="0" w:line="117" w:lineRule="exact"/>
        <w:rPr>
          <w:rFonts w:ascii="Times New Roman" w:cs="Times New Roman" w:eastAsia="Times New Roman" w:hAnsi="Times New Roman"/>
          <w:sz w:val="18"/>
          <w:szCs w:val="18"/>
          <w:color w:val="auto"/>
        </w:rPr>
      </w:pPr>
    </w:p>
    <w:p>
      <w:pPr>
        <w:ind w:left="2120" w:right="40" w:hanging="654"/>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corporate governance committee will oversee annual self-evaluations of the board to determine whether it and its committees are functioning effectively.</w:t>
      </w:r>
    </w:p>
    <w:p>
      <w:pPr>
        <w:spacing w:after="0" w:line="160"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color w:val="auto"/>
        </w:rPr>
        <w:t xml:space="preserve">A copy of the corporate governance guidelines is posted under the heading “Corporate Governance” on the </w:t>
      </w:r>
      <w:r>
        <w:rPr>
          <w:rFonts w:ascii="Times New Roman" w:cs="Times New Roman" w:eastAsia="Times New Roman" w:hAnsi="Times New Roman"/>
          <w:sz w:val="18"/>
          <w:szCs w:val="18"/>
          <w:i w:val="1"/>
          <w:iCs w:val="1"/>
          <w:color w:val="auto"/>
        </w:rPr>
        <w:t>Investors and Media</w:t>
      </w:r>
      <w:r>
        <w:rPr>
          <w:rFonts w:ascii="Times New Roman" w:cs="Times New Roman" w:eastAsia="Times New Roman" w:hAnsi="Times New Roman"/>
          <w:sz w:val="18"/>
          <w:szCs w:val="18"/>
          <w:color w:val="auto"/>
        </w:rPr>
        <w:t xml:space="preserve"> section of our website, which is located at http://www.arvinas.com. Information contained on our website is not incorporated by reference in, or considered part of, this proxy statement.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provide that the roles of chair of the board and chief executive officer may be separated or combined. Our board of directors has considered its leadership structure and determined that, at this time, the roles of chair of the board of directors and chief executive officer should be separate. Dr. Teel currently serves as President and Chief Executive Officer and Briggs Morrison, M.D. serves as chair of our board of directors. Separating the chair of the board and the chief executive officer positions allows Dr. Teel to focus on running our business, while allowing our chair of the board of directors, Dr. Morrison, to lead our board of directors in its fundamental role of providing advice to and oversight of management. As our board of directors has determined that each of our directors other than Dr. Teel and Dr. Houston is independent, our board of directors believes that the independent directors provide effective oversight.</w:t>
      </w:r>
    </w:p>
    <w:p>
      <w:pPr>
        <w:spacing w:after="0" w:line="8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and our board of directors evaluate our board leadership structure from time to time and may recommend further alterations of this structure.</w:t>
      </w:r>
    </w:p>
    <w:p>
      <w:pPr>
        <w:spacing w:after="0" w:line="17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those described under “Risk Factors” in our 2025 Annual Report. Our board of directors is actively involved in oversight of risks that could affect us. This oversight is conducted primarily by our full board of</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directors, which has responsibility for general oversight of risks.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its risk oversight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including cybersecurity and financial risks, the steps that management has taken to monitor and control such exposure, and oversees the company’s efforts to remediate any control deficiencies. Oversight by the audit committee includes direct communication with our independent registered public accounting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Our compensation committee oversees risk management activities relating to our compensation policies and practices and assessing whether any of</w:t>
      </w:r>
    </w:p>
    <w:p>
      <w:pPr>
        <w:spacing w:after="0" w:line="3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our compensation policies or programs has the potential to encourage excessive risk taking. Oversight by the compensation committee includes direct communication with our independent compensation consultants. Our nominating and corporate governance committee oversees risk management activities relating to board composition and management succession planning. Our science and technology committee oversees risk management activities related to our research and development activities. In addition, members of our senior management team attend our quarterly board meetings and are available to address any questions or concerns raised by the board on major risk exposures, the potential impact of such risks, risk management and any other matters. Our board of directors believes that full and open communication between management and the board of directors is essential for effective risk management and oversight.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Education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also receives periodic briefings and education on core concepts and trends that impact our businesses and society.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that we have a responsibility to foster an equitable and inclusive workplace environment and to have a positive impact on our employees and the communities in which we work and live. We believe our success largely depends on our ability to attract, motivate, engage, and retain highly skilled employees. We believe an equitable, inclusive and empowering culture encourages leadership growth and development and fosters robust relationships among employees and management, which, combined with providing competitive compensation and benefits, may create a workplace that results in more creative thinking, more rapid discovery and better decision making.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and Developmen</w:t>
      </w:r>
      <w:r>
        <w:rPr>
          <w:rFonts w:ascii="Times New Roman" w:cs="Times New Roman" w:eastAsia="Times New Roman" w:hAnsi="Times New Roman"/>
          <w:sz w:val="18"/>
          <w:szCs w:val="18"/>
          <w:color w:val="auto"/>
        </w:rPr>
        <w:t>t</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recognize that identifying, attracting, incentivizing, integrating, retaining and promoting talented employees is vital to our success. We aim to create an equitable, inclusive and empowering environment in which our employees can grow and advance their careers, with the overall goal of developing and retaining our workforce to support our current pipeline and future business goals. Our efforts to recruit and retain a talented, passionate and inclusive workforce with different experiences, perspectives, and backgrounds include providing competitive compensation, including equity incentive compensation, and comprehensive benefits that provide resources to help employees and covered dependents manage their health, finances and life outside of work. Our aspiration and efforts to represent the communities we serve also extend to the leadership of the Company, including the board of directors and our senior leaders.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Training and educating our employees is key to our organizational success. We endeavor to provide in person and virtual trainings, as well as experiential learning through cross-functional exposure via presentations or shadowing opportunities. In addition, we value our employee's opinions and thoughts and provide virtual and onsite forums where our employees can provide feedback on corporate initiatives, recognize each other’s contributions and accomplishments, and provide other suggestions for improving our evolving workplace. We prioritize employee feedback, and conduct an employee survey to measure employee engagement and to inform future talent initiatives. Similarly, we have introduced technology that enables employees to provide anonymous real-time feedback.</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the goal of ensuring every employee is included, supported, and treated equitably, our employees have formed various employee resource groups which help to support and guide us as an inclusive, and culturally intelligent workplace. These groups are comprised of a mix of employees from various functions and positions and have worked to identify areas for growth and education in order for the company to develop processes, systems and actions that will enable us to continue to build an inclusive and welcoming workplace.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offer a comprehensive compensation and benefits package, which includes a competitive salary, medical, dental, and vision insurance, medical and dependent flexible spending accounts, life and disability insurance, and a 401(k) matching program. In addition, employees typically receive equity in the company upon the start of their employment and on an annual basis, and also have the opportunity to participate in our employee stock purchase plan.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also have a tuition reimbursement program, fitness reimbursement program, and various programs that focus on our employee’s engagement and well-being, including access to our employee assistance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Community</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in the importance of our employees engaging in our community. In past years, we have hosted an IMPACT day, a company-wide community service day benefiting organizations in the Greater New Haven area and beyond. Giving back to the communities in which we work and live is an integral part of our corporate values and over half of our employees participated in person or virtually. The activities selected supported important priorities for Arvinas, including science, technology, engineering, and math, or STEM, initiatives, and the Greater New Haven and patient communities. We plan to continue IMPACT day in future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Our Directors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chair of the nominating and corporate governance committee, by submitting a written communication to the attention of such director at the following address: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Arvinas,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Science Park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395 Winchester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Haven, CT 06511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 Communications are forwarded to all directors if they relate to important substantive matters and include suggestions or comments that the chair of the board (if one is appointed and is an independent director), the lead independent director (if one is appointed) or otherwise the chair of the nominating and corporate governance committee, subject to the advice and assistance of counsel, consider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beneficial owners of more than 10% of our common stock to file reports of holdings and transactions in our common stock and other securities with the U.S. Securities Exchange Commission. Based solely on a review of our records and representations made by the persons required to file these reports, we believe that during the fiscal year ended December 31, 2025, our directors, executive officers, and greater than 10% stockholders complied with all applicable filing requirements under Section 16(a) of the Exchange Act, with the exception of one Form 4 filed by Dr. Agarwal reporting the grant of Options and RSUs on June 25, 2025, which was, due to inadvertent oversights, filed one business day after the reporting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NO. 2—ADVISORY VOTE ON EXECUTIVE COMPENSATION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providing our stockholders the opportunity to vote to approve, on an advisory, non-binding basis, the compensation of our executive officers named in the “2025 Summary Compensation Table” under “Executive and Director Compensation,” who we refer to as our “named executive officers,” as disclosed in this proxy statement in accordance with the SEC’s rules. This proposal, which is commonly referred to as “say-on-pay,” is required by Section 14A to the Exchange Act.</w:t>
      </w:r>
    </w:p>
    <w:p>
      <w:pPr>
        <w:spacing w:after="0" w:line="18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motivate, and retain our executive officers, who are critical to our success. Under these programs, our named executive officers are rewarded for the achievement of key strategic and business goals. The programs are designed to align the interests of our executives with those of our stockholders and consist of a combination of base salary, annual cash bonus, long-term equity incentive compensation and other employee benefits generally available to our employees.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“Executive and Director Compensation” section of this proxy statement beginning on page 25, including “Compensation Discussion and Analysis,” describes in detail our executive compensation programs and the decisions made by the compensation committee and our board of directors with respect to the year ended December 31, 2025.</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we describe in “Compensation Discussion and Analysis,” our executive compensation program embodies a pay-for-performance philosophy that supports our business strategy and aligns the interests of our executives with our stockholders. Our board of directors believes this link between compensation and the achievement of our key strategic and business goals has helped drive our performance over time. At the same time, we believe our program does not encourage excessive risk-taking by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asking stockholders to approve a non-binding advisory vote on the following resolution:</w:t>
      </w:r>
    </w:p>
    <w:p>
      <w:pPr>
        <w:spacing w:after="0" w:line="117" w:lineRule="exact"/>
        <w:rPr>
          <w:sz w:val="20"/>
          <w:szCs w:val="20"/>
          <w:color w:val="auto"/>
        </w:rPr>
      </w:pPr>
    </w:p>
    <w:p>
      <w:pPr>
        <w:jc w:val="both"/>
        <w:ind w:left="980" w:right="24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p>
    <w:p>
      <w:pPr>
        <w:spacing w:after="0" w:line="18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As an advisory vote, this proposal is non-binding. The outcome of this advisory vote does not overrule any decision by the company or our board of directors (or any committee thereof), create or imply any change to the fiduciary duties of the company or our board of directors (or any committee thereof), or create or imply any additional fiduciary duties for the company or our board of directors (or any committee thereof). However, our compensation committee and board of directors value the opinions expressed by our stockholders in their vote on this proposal and will consider the outcome of the vote when making future compensation decisions for the named executive officers. Consistent with the preference expressed by our stockholders at our 2021 annual meeting of stockholders, our board of directors has adopted a policy of providing annual advisory votes to approve the compensation of our named executive officers. The next advisory vote to approve the compensation of our named executive officers will occur at our 2027 annual meeting of stockholders.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approve our executive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properly submitted proxy will be voted in favor of the approval of our executive compensation unless a contrary specification is made in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section discusses the material elements of our executive compensation policies and decisions for our executive officers named in the “2025 Summary Compensation Table” below, referred to herein as our “named executive officers,” and important factors relevant to an analysis of these policies and decisions. It provides qualitative information regarding the manner and context in which compensation is awarded to and earned by our named executive officers and is intended to place in perspective the information presented in the following tables and the corresponding narrative.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corporate goals. To date, the compensation of our named executive officers has consisted of a combination of base salary, annual cash bonus, long-term equity incentive compensation, and other employee benefits generally available to our employees. Our named executive officers are also entitled to certain compensation and benefits upon certain terminations of employment pursuant to their employment agreements as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2025 are as follows:</w:t>
      </w:r>
    </w:p>
    <w:p>
      <w:pPr>
        <w:spacing w:after="0" w:line="117" w:lineRule="exact"/>
        <w:rPr>
          <w:sz w:val="20"/>
          <w:szCs w:val="20"/>
          <w:color w:val="auto"/>
        </w:rPr>
      </w:pPr>
    </w:p>
    <w:p>
      <w:pPr>
        <w:ind w:left="2100" w:hanging="634"/>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Houston, Ph.D., former President, Chief Executive Officer and principal executive officer;</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Saik, Chief Financial Officer, Treasurer and principal financial officer;</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Noah Berkowitz, M.D., Ph.D., Chief Medical Officer;</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Angela Cacace, Ph.D., Chief Scientific Officer; and</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Taylor, Ph.D., former President of Research and Development, or R&amp;D.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Company</w:t>
      </w:r>
    </w:p>
    <w:p>
      <w:pPr>
        <w:spacing w:after="0" w:line="2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are a clinical-stage biotechnology company dedicated to improving the lives of patients suffering from debilitating and life-threatening diseases. Through our PROteolysis TArgeting Chimera, or PROTAC, protein degradation platform, we are pioneering the development of a new class of therapeutics designed to harness the body’s own natural protein disposal system to selectively and efficiently degrade and remove disease-causing proteins. We have designed and optimized our proprietary PROTAC Discovery Engine for the discovery of PROTAC therapeutics to address diseases caused by abnormal proteins or aberrant protein expression. We believe that our targeted protein degradation approach is a novel therapeutic modality that may provide distinct advantages over existing therapies and address a broad range of targets, including historically undruggable proteins, in areas of significant unmet need.</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past five years, seven of the programs developed using our PROTAC protein degradation platform have progressed to clinical trials in oncology and neurology indications after demonstrating potent and selective protein degradation in our preclinical studies. The U.S. Food and Drug Administration, or FDA, has accepted our New Drug Application, or NDA, for vepdegestrant, our most advanced product candidate from the platform, for the treatment of patients with estrogen receptor-positive (ER+)/human epidermal growth factor receptor 2-negative (HER2-), or ER+/HER2-, estrogen receptor 1, or ESR1,-mutated advanced or metastatic breast cancer who have previously received endocrine-based therapy, and has assigned a Prescription Drug User Fee Act, or PDUFA, action date of June 5, 2026. We believe favorable clinical trial results in our ongoing oncology and neurology programs would further validate our platform as a new therapeutic modality for the potential treatment of diseases caused by dysregulated intracellular proteins.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progressing the following product candidates through clinical development programs:</w:t>
      </w:r>
    </w:p>
    <w:p>
      <w:pPr>
        <w:spacing w:after="0" w:line="27" w:lineRule="exact"/>
        <w:rPr>
          <w:sz w:val="20"/>
          <w:szCs w:val="20"/>
          <w:color w:val="auto"/>
        </w:rPr>
      </w:pPr>
    </w:p>
    <w:p>
      <w:pPr>
        <w:ind w:left="660" w:right="3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ARV-102, targeting the leucine-rich repeat kinase 2, or LRRK2, protein for the treatment of neurodegenerative diseases, including Parkinson's disease, or PD, and progressive supranuclear palsy, or PSP;</w:t>
      </w:r>
    </w:p>
    <w:p>
      <w:pPr>
        <w:ind w:left="660" w:right="14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ARV-806, targeting Kirsten rat sarcoma, or KRAS, -G12D protein for cancers with the G12D mutation, including pancreatic, colorectal and non-small cell lung cancer;</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ARV-393, targeting the B-cell lymphoma 6, or BCL6, protein for the treatment of relapsed/refractory non-Hodgkin lymphoma, or NHL;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ARV-027, targeting the polyglutamine-expanded androgen receptor, or polyQ-AR, in skeletal muscle;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vepdegestrant, targeting the estrogen receptor, or ER, for the treatment of locally advanced or metastatic ER+/HER2- breast cancer.</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advancing several preclinical candidates through early stage development, in a broad range of intracellular disease targets, including proteins that currently cannot be addressed by existing small molecule therapies, commonly referred to as “undruggable” or under-drugged targets. These preclinical candidates include ARV-6723 targeting hematopoietic progenitor kinase 1, or HPK1, and a pan-KRAS degrader targeting multiple variants of KRAS while sparing other RAS isoforms.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Management Changes During 2025 and 2026</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4, 2025, Ian Taylor, Ph.D., notified us of his decision to resign as President of R&amp;D and retire, effective June 6, 2025. On June 6, 2025, in connection with his resignation, we and Dr. Taylor entered into a consulting agreement, pursuant to which Dr. Taylor has agreed to provide consulting and advisory services to us for one year from the resignation date, unless earlier terminated by us or Dr. Taylor with at least 10 business days’ prior written notice. Dr. Taylor also remains as chair of our Scientific Advisory Board, but is not paid any additional amounts for this service. The Consulting Agreement with Dr. Taylor is discussed in greater detail in “Other Agreements”.</w:t>
      </w:r>
    </w:p>
    <w:p>
      <w:pPr>
        <w:spacing w:after="0" w:line="2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July 9, 2025, Dr. Houston notified the board of his intent to resign from his role as President, Chief Executive Officer and chair of the board of the directors following a search for, and appointment of, a new Chief Executive Officer of the company. In February 2026, following Dr. Houston’s formal decision to resign and as part of our leadership transition plan, the board appointed Randy Teel, Ph.D., as the Company’s President, Chief Executive Officer, principal executive officer, and member of the board of directors, effective February 12, 2026. Dr. Houston remains on our board of directors as a director. Dr. Houston also transitioned to a consultancy role, effective February 12, 2026. The Consulting Agreement with Dr. Houston is discussed in greater detail in “Other Agreements”.</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February 2026, the board appointed Briggs Morrison, M.D., the then-current lead independent director of the board of directors, as chair of the board of directors, effective as of February 12,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2026, the board appointed Randy Teel, Ph.D., who previously served as the Company’s chief business officer, as the Company’s President,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 and a member of the board of directors, effective as of February 12, 2026. In connection with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Teel’s appointment, the Company entered into an amended and restated employment agreement with Dr. Teel which provides for Dr. Teel’s at-will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for an indefinite term, or the Teel Employment Agreement. Pursuant to the Teel Employment Agreement, Dr. Teel receives a base salary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$680,000 a year and has a performance-based, annual cash bonus target of 60% of his base salary. In February 2026, the board also approved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grants to Dr. Teel: (i) an option to purchase 218,691 shares of our common stock, $0.001 par value per share, or the Common Stock, or the Teel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Grant, and (ii) a restricted stock unit award with respect to 147,179 shares of Common Stock, or the Teel RSU Grant, pursuant to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2018 Stock Incentive Plan, or the Plan, in each case, with a grant date of February 26, 2026, the date that we granted annual equity awards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employees. The Teel Option Grant has exercise price of $13.38, equal to the closing price of the Common Stock on the grant date and will vest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a four-year period, with 25% of the underlying shares vesting on February 12, 2027, and the remaining 75% of the underlying shares vesting in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monthly installments thereafter. The Teel RSU Grant will vest over a four-year period, with 25% vesting on each one-year anniversary of February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3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While Dr. Teel was not considered an executive officer in his role as Chief Business Officer, Dr. Teel is currently an executive officer in his role as President, Chief Executive Officer and principal executive officer, and will be a named executive officer for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Compensation Decisions and Action Regarding 2025 Executive Compensation</w:t>
      </w:r>
    </w:p>
    <w:p>
      <w:pPr>
        <w:spacing w:after="0" w:line="11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board of directors and compensation committee made several key compensation decisions regarding the 2025 compensation of our executives taking into account our compensation philosophy and objectives, the needs and performance of our company, individual performance, and other factors such as market data and industry best practices.</w:t>
      </w:r>
    </w:p>
    <w:p>
      <w:pPr>
        <w:spacing w:after="0" w:line="68" w:lineRule="exact"/>
        <w:rPr>
          <w:sz w:val="20"/>
          <w:szCs w:val="20"/>
          <w:color w:val="auto"/>
        </w:rPr>
      </w:pPr>
    </w:p>
    <w:p>
      <w:pPr>
        <w:jc w:val="both"/>
        <w:ind w:left="2120" w:right="260" w:hanging="654"/>
        <w:spacing w:after="0" w:line="289" w:lineRule="auto"/>
        <w:tabs>
          <w:tab w:leader="none" w:pos="21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Salary Adjustments.</w:t>
      </w:r>
      <w:r>
        <w:rPr>
          <w:rFonts w:ascii="Times New Roman" w:cs="Times New Roman" w:eastAsia="Times New Roman" w:hAnsi="Times New Roman"/>
          <w:sz w:val="17"/>
          <w:szCs w:val="17"/>
          <w:color w:val="auto"/>
        </w:rPr>
        <w:t xml:space="preserve"> In February 2025, the board of directors, upon recommendation by the compensation committee, reviewed and approved the base salary of our then-Chief Executive Officer and the compensation committee reviewed and approved the base salaries of our other then-named executive officers employed by us at the time. The compensation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120" w:right="200"/>
        <w:spacing w:after="0" w:line="261" w:lineRule="auto"/>
        <w:rPr>
          <w:sz w:val="20"/>
          <w:szCs w:val="20"/>
          <w:color w:val="auto"/>
        </w:rPr>
      </w:pPr>
      <w:r>
        <w:rPr>
          <w:rFonts w:ascii="Times New Roman" w:cs="Times New Roman" w:eastAsia="Times New Roman" w:hAnsi="Times New Roman"/>
          <w:sz w:val="18"/>
          <w:szCs w:val="18"/>
          <w:color w:val="auto"/>
        </w:rPr>
        <w:t>committee then reviewed and approved base salaries for newly hired or promoted named executive officers as appropriate throughout the year. Our then-Chief Executive Officer and each of our other then-named executive officers received annual merit-based salary adjustments of 3.25% in February 2025, retroactive to January 1, reflecting their performance and contributions and to maintain reasonable positioning relative to our peer companies.</w:t>
      </w:r>
    </w:p>
    <w:p>
      <w:pPr>
        <w:spacing w:after="0" w:line="72" w:lineRule="exact"/>
        <w:rPr>
          <w:sz w:val="20"/>
          <w:szCs w:val="20"/>
          <w:color w:val="auto"/>
        </w:rPr>
      </w:pPr>
    </w:p>
    <w:p>
      <w:pPr>
        <w:ind w:left="2120" w:right="20" w:hanging="654"/>
        <w:spacing w:after="0" w:line="253" w:lineRule="auto"/>
        <w:tabs>
          <w:tab w:leader="none" w:pos="21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Ca</w:t>
      </w:r>
      <w:r>
        <w:rPr>
          <w:rFonts w:ascii="Times New Roman" w:cs="Times New Roman" w:eastAsia="Times New Roman" w:hAnsi="Times New Roman"/>
          <w:sz w:val="18"/>
          <w:szCs w:val="18"/>
          <w:u w:val="single" w:color="auto"/>
          <w:color w:val="auto"/>
          <w:highlight w:val="white"/>
        </w:rPr>
        <w:t>sh Bonus.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After discussion earlier in the year, in June 2025, the board of directors, upon recommendation by the</w:t>
      </w:r>
      <w:r>
        <w:rPr>
          <w:rFonts w:ascii="Times New Roman" w:cs="Times New Roman" w:eastAsia="Times New Roman" w:hAnsi="Times New Roman"/>
          <w:sz w:val="18"/>
          <w:szCs w:val="18"/>
          <w:color w:val="auto"/>
        </w:rPr>
        <w:t xml:space="preserve"> compensation committee, approved corporate goals, consisting of three main corporate goals focused on a product candidate in clinical-stage development, early clinical and preclinical pipeline and platform, and strategic and corporate objectives, each with certain subgoals and with its own weighting to reflect its importance to our business. In January 2026, the board of directors reviewed our achievements against our 2025 corporate goals and approved achievement of 112% of our 2025 corporate goals. However, as part of our overall commitment to our employees, we funded a special bonus pool of 4.0% from the overall bonus pool of 112%. As such, the bonuses awarded to all employees, including our named executive officers, for 2025 were based on a corporate goal achievement level of 108.0%, and a portion of our employee population that contributed significantly to the company in 2025 received additional bonus amount. This special bonus pool is reserved for non-executive employees. The annual cash bonuses paid to our named executive officers in early 2026 for 2025 performance were based solely on the achievement of these corporate performance goals and each named executive officer’s target bonus amount, which remained unchanged year over year.</w:t>
      </w:r>
    </w:p>
    <w:p>
      <w:pPr>
        <w:spacing w:after="0" w:line="81" w:lineRule="exact"/>
        <w:rPr>
          <w:rFonts w:ascii="Times New Roman" w:cs="Times New Roman" w:eastAsia="Times New Roman" w:hAnsi="Times New Roman"/>
          <w:sz w:val="18"/>
          <w:szCs w:val="18"/>
          <w:color w:val="auto"/>
        </w:rPr>
      </w:pPr>
    </w:p>
    <w:p>
      <w:pPr>
        <w:ind w:left="2120" w:hanging="654"/>
        <w:spacing w:after="0" w:line="218" w:lineRule="exact"/>
        <w:tabs>
          <w:tab w:leader="none" w:pos="21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Long-Term Incentives.</w:t>
      </w:r>
      <w:r>
        <w:rPr>
          <w:rFonts w:ascii="Times New Roman" w:cs="Times New Roman" w:eastAsia="Times New Roman" w:hAnsi="Times New Roman"/>
          <w:sz w:val="17"/>
          <w:szCs w:val="17"/>
          <w:color w:val="auto"/>
        </w:rPr>
        <w:t xml:space="preserve"> In February 2025, the board of directors, upon recommendation by the compensation committee, approved annual grants of options to purchase shares of our Common Stock, or Options, and restricted stock units, or RSUs, under the 2018 Plan to our then-Chief Executive Officer, and the compensation committee approved grants of Options and RSUs under the 2018 Plan to our other then-named executive officers. In addition, in May 2025, our compensation committee approved one-time special grants of Options and RSUs under the 2018 Plan in order to retain certain employees, including the then-named executive officers, other than Dr. Houston and Dr. Taylor. These special grants are subject to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vesting and are not intended to be recurring. These awards were granted based on criticality of individuals and retentive need. Employees who were granted this special award with a title below Vice President received RSUs only, and employees who were granted this special award with a title of Vice President and above were granted equity 50% Options and 50% RSUs. These Option and RSU awards vest over two years to bring us to what we believe are critical inflection points, including our NDA filing and PDUFA date for vepdegestrant, as well as other earlier stage program anticipated milestones.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Design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Philosophy and Objectives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goal of our executive compensation policies and programs is to pay for performance. Within this overarching principle, there are a number of key objectives that our policies and programs are designed to achieve:</w:t>
      </w:r>
    </w:p>
    <w:p>
      <w:pPr>
        <w:spacing w:after="0" w:line="54" w:lineRule="exact"/>
        <w:rPr>
          <w:sz w:val="20"/>
          <w:szCs w:val="20"/>
          <w:color w:val="auto"/>
        </w:rPr>
      </w:pPr>
    </w:p>
    <w:p>
      <w:pPr>
        <w:ind w:left="2100" w:hanging="634"/>
        <w:spacing w:after="0"/>
        <w:tabs>
          <w:tab w:leader="none" w:pos="2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individuals with superior ability, technical, and managerial experience;</w:t>
      </w:r>
    </w:p>
    <w:p>
      <w:pPr>
        <w:spacing w:after="0" w:line="117" w:lineRule="exact"/>
        <w:rPr>
          <w:rFonts w:ascii="Times New Roman" w:cs="Times New Roman" w:eastAsia="Times New Roman" w:hAnsi="Times New Roman"/>
          <w:sz w:val="18"/>
          <w:szCs w:val="18"/>
          <w:color w:val="auto"/>
        </w:rPr>
      </w:pPr>
    </w:p>
    <w:p>
      <w:pPr>
        <w:ind w:left="2120" w:right="260" w:hanging="654"/>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executives’ interests with those of our stockholders through long-term incentives linked to specific performance; and</w:t>
      </w:r>
    </w:p>
    <w:p>
      <w:pPr>
        <w:spacing w:after="0" w:line="53" w:lineRule="exact"/>
        <w:rPr>
          <w:rFonts w:ascii="Times New Roman" w:cs="Times New Roman" w:eastAsia="Times New Roman" w:hAnsi="Times New Roman"/>
          <w:sz w:val="18"/>
          <w:szCs w:val="18"/>
          <w:color w:val="auto"/>
        </w:rPr>
      </w:pPr>
    </w:p>
    <w:p>
      <w:pPr>
        <w:ind w:left="2120" w:right="580" w:hanging="654"/>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 competitive compensation to attract and retain highly qualified individuals who are capable of making significant contributions to the long-term success of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Alignment with Company Strategy</w:t>
      </w:r>
    </w:p>
    <w:p>
      <w:pPr>
        <w:spacing w:after="0" w:line="11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executive compensation policies and programs reinforce our pay-for-performance philosophy. While fixed compensation, such as base salary and benefits, are primarily designed to be competitive in the biopharmaceutical marketplace for employees, a substantial portion of our named executive officers’ compensation is linked to achieving scientific, business, organizational and operational goals.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a significant portion of our executive compensation in the form of long-term incentives (Options and RSUs) that vest over time. These equity awards are a key aspect of our pay-for-performance philosophy and serve to align the interests of our named executive officers with our stockholders, as they are tied to future increases in the value of our stock. Further, we believe that equity awards with a time-based vesting feature promote retention because this feature incentivizes our named executive officers to remain in our employment during the vesting period. The annual cash bonuses paid to our named executive officers are based entirely on corporate performance goals established by the board of directors. Our executives make strategic decisions that influence the company, and we believe it is appropriate to reward performance against corporate performance goals in that case, in line with our pay-for-performance philosophy.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total target compensation (base salary, target annual cash bonuses and equity incentive awards) for our then-President and Chief Executive Officer and our other named executive officers in 2025 was primarily performance-based, as shown in the charts below. The Other Named Executive Officer Target Pay Mix chart includes Dr. Berkowitz, Dr. Cacace and Mr. Saik. Dr. Taylor has been omitted from this chart as he is not currently an executive officer and did not serve as an executive officer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142875</wp:posOffset>
            </wp:positionV>
            <wp:extent cx="5709285" cy="6334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9285" cy="633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compensation committee uses a comparative framework to assess the named executive officers’ total compensation mix, but does not have a pre-established policy for allocating total compensation. Rather, as described in more detail below, based on blended peer group and broader market data, market competitiveness, expected future contribution, experience, impact and individual performance, and internal parity relative to similar positions within the company, the compensation committee subjectively determines the appropriate level and mix of total compensation, keeping in mind our pay-for-performance compensation philosophy. We believe that this approach results in compensation that:</w:t>
      </w:r>
    </w:p>
    <w:p>
      <w:pPr>
        <w:spacing w:after="0" w:line="75" w:lineRule="exact"/>
        <w:rPr>
          <w:sz w:val="20"/>
          <w:szCs w:val="20"/>
          <w:color w:val="auto"/>
        </w:rPr>
      </w:pPr>
    </w:p>
    <w:p>
      <w:pPr>
        <w:ind w:left="2100" w:hanging="634"/>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at an appropriate level to attract and retain individuals with superior ability, technical, and managerial experience;</w:t>
      </w:r>
    </w:p>
    <w:p>
      <w:pPr>
        <w:spacing w:after="0" w:line="117" w:lineRule="exact"/>
        <w:rPr>
          <w:rFonts w:ascii="Times New Roman" w:cs="Times New Roman" w:eastAsia="Times New Roman" w:hAnsi="Times New Roman"/>
          <w:sz w:val="18"/>
          <w:szCs w:val="18"/>
          <w:color w:val="auto"/>
        </w:rPr>
      </w:pPr>
    </w:p>
    <w:p>
      <w:pPr>
        <w:ind w:left="2120" w:right="560" w:hanging="654"/>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appropriate incentives to our executives to make significant contributions to the long-term success of the company, while avoiding incentives for inappropriate risk-taking; and</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fair and competitive without being excessive.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Realizable Pay</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core component of our compensation philosophy is to incentivize our executive officers by creating a strong link between their performance and compensation. As a result of this pay for performance philosophy, we put much of our executives’ pay “at-risk.” Over the past several years, we have granted a mix of time-based RSUs and Options, to retain and motivate our executives to deliver long-term performance. Given that a significant portion of the compensation packages are linked to achieving scientific, business, organizational and operational goals and as a result, vary depending on our performance and increase in stock price. Frequently, the grant date value of our equity compensation (as reported annually in the Summary Compensation Table) is not always reflective of the actual realizable pay value that may be received by our named executive officers because it is based on the based on the grant date fair value as determined under applicable accounting guidance. Realizable pay reflects the actual value of compensation received or to be received by our named executive officers, and as such fluctuates with changes in our share price. For this reason, contrasting pay amounts from the Summary Compensation Table with realizable pay provides a meaningful demonstration of the pay for performance alignment of our executive compensation program.</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chart demonstrates the difference between the reported pay for Dr. Houston, our former President and Chief Executive Officer, as disclosed in the Summary Compensation Table, and the realizable pay values of those awards as of the end of each fiscal year. Because the change in share price is a key component of the equity value, the realizable value represented substantially less than the grant date fair value, demonstrating the direct link between performance and pay outcomes.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Realizable pay for the past three years is generally aligned with our stock price performance over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543560</wp:posOffset>
            </wp:positionV>
            <wp:extent cx="5760720" cy="2948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072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Governance</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1D1D1D"/>
        </w:rPr>
        <w:t>The compensation committee is responsible for oversight of the company’s compensation program and practices. The compensation committee maintains a pay program with the goal of following corporate governance best practices and demonstrating a commitment to stockholder interests. The board of directors has committed to numerous practices and safeguards to align the compensation program with those goals. These corporate governance practices include the following:</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552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120" w:type="dxa"/>
            <w:vAlign w:val="bottom"/>
          </w:tcPr>
          <w:p>
            <w:pPr>
              <w:spacing w:after="0"/>
              <w:rPr>
                <w:sz w:val="16"/>
                <w:szCs w:val="16"/>
                <w:color w:val="auto"/>
              </w:rPr>
            </w:pPr>
          </w:p>
        </w:tc>
        <w:tc>
          <w:tcPr>
            <w:tcW w:w="5620" w:type="dxa"/>
            <w:vAlign w:val="bottom"/>
          </w:tcPr>
          <w:p>
            <w:pPr>
              <w:ind w:left="2420"/>
              <w:spacing w:after="0"/>
              <w:rPr>
                <w:sz w:val="20"/>
                <w:szCs w:val="20"/>
                <w:color w:val="auto"/>
              </w:rPr>
            </w:pPr>
            <w:r>
              <w:rPr>
                <w:rFonts w:ascii="Times New Roman" w:cs="Times New Roman" w:eastAsia="Times New Roman" w:hAnsi="Times New Roman"/>
                <w:sz w:val="14"/>
                <w:szCs w:val="14"/>
                <w:b w:val="1"/>
                <w:bCs w:val="1"/>
                <w:color w:val="auto"/>
              </w:rPr>
              <w:t>What We Don’t Do</w:t>
            </w:r>
          </w:p>
        </w:tc>
      </w:tr>
      <w:tr>
        <w:trPr>
          <w:trHeight w:val="23"/>
        </w:trPr>
        <w:tc>
          <w:tcPr>
            <w:tcW w:w="5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90"/>
        </w:trPr>
        <w:tc>
          <w:tcPr>
            <w:tcW w:w="5520" w:type="dxa"/>
            <w:vAlign w:val="bottom"/>
            <w:tcBorders>
              <w:left w:val="single" w:sz="8" w:color="auto"/>
            </w:tcBorders>
            <w:shd w:val="clear" w:color="auto" w:fill="CCEEFF"/>
          </w:tcPr>
          <w:p>
            <w:pPr>
              <w:ind w:left="160"/>
              <w:spacing w:after="0" w:line="290" w:lineRule="exact"/>
              <w:rPr>
                <w:sz w:val="20"/>
                <w:szCs w:val="20"/>
                <w:color w:val="auto"/>
              </w:rPr>
            </w:pPr>
            <w:r>
              <w:rPr>
                <w:rFonts w:ascii="Wingdings" w:cs="Wingdings" w:eastAsia="Wingdings" w:hAnsi="Wingdings"/>
                <w:sz w:val="33"/>
                <w:szCs w:val="33"/>
                <w:b w:val="1"/>
                <w:bCs w:val="1"/>
                <w:color w:val="1D1D1D"/>
                <w:vertAlign w:val="subscript"/>
              </w:rPr>
              <w:t>ü</w:t>
            </w:r>
            <w:r>
              <w:rPr>
                <w:rFonts w:ascii="Times New Roman" w:cs="Times New Roman" w:eastAsia="Times New Roman" w:hAnsi="Times New Roman"/>
                <w:sz w:val="16"/>
                <w:szCs w:val="16"/>
                <w:color w:val="1D1D1D"/>
              </w:rPr>
              <w:t xml:space="preserve"> Pay-for-performance philosophy and culture</w:t>
            </w:r>
          </w:p>
        </w:tc>
        <w:tc>
          <w:tcPr>
            <w:tcW w:w="120" w:type="dxa"/>
            <w:vAlign w:val="bottom"/>
            <w:tcBorders>
              <w:right w:val="single" w:sz="8" w:color="auto"/>
            </w:tcBorders>
            <w:shd w:val="clear" w:color="auto" w:fill="CCEEFF"/>
          </w:tcPr>
          <w:p>
            <w:pPr>
              <w:spacing w:after="0"/>
              <w:rPr>
                <w:sz w:val="24"/>
                <w:szCs w:val="24"/>
                <w:color w:val="auto"/>
              </w:rPr>
            </w:pPr>
          </w:p>
        </w:tc>
        <w:tc>
          <w:tcPr>
            <w:tcW w:w="56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1D1D1D"/>
              </w:rPr>
              <w:t xml:space="preserve">O  </w:t>
            </w:r>
            <w:r>
              <w:rPr>
                <w:rFonts w:ascii="Times New Roman" w:cs="Times New Roman" w:eastAsia="Times New Roman" w:hAnsi="Times New Roman"/>
                <w:sz w:val="17"/>
                <w:szCs w:val="17"/>
                <w:color w:val="1D1D1D"/>
              </w:rPr>
              <w:t>No excise tax gross ups</w:t>
            </w:r>
          </w:p>
        </w:tc>
      </w:tr>
      <w:tr>
        <w:trPr>
          <w:trHeight w:val="216"/>
        </w:trPr>
        <w:tc>
          <w:tcPr>
            <w:tcW w:w="5520" w:type="dxa"/>
            <w:vAlign w:val="bottom"/>
            <w:tcBorders>
              <w:left w:val="single" w:sz="8" w:color="auto"/>
            </w:tcBorders>
          </w:tcPr>
          <w:p>
            <w:pPr>
              <w:ind w:left="160"/>
              <w:spacing w:after="0" w:line="216" w:lineRule="exact"/>
              <w:rPr>
                <w:sz w:val="20"/>
                <w:szCs w:val="20"/>
                <w:color w:val="auto"/>
              </w:rPr>
            </w:pPr>
            <w:r>
              <w:rPr>
                <w:rFonts w:ascii="Wingdings" w:cs="Wingdings" w:eastAsia="Wingdings" w:hAnsi="Wingdings"/>
                <w:sz w:val="25"/>
                <w:szCs w:val="25"/>
                <w:b w:val="1"/>
                <w:bCs w:val="1"/>
                <w:color w:val="1D1D1D"/>
                <w:vertAlign w:val="subscript"/>
              </w:rPr>
              <w:t>ü</w:t>
            </w:r>
            <w:r>
              <w:rPr>
                <w:rFonts w:ascii="Times New Roman" w:cs="Times New Roman" w:eastAsia="Times New Roman" w:hAnsi="Times New Roman"/>
                <w:sz w:val="14"/>
                <w:szCs w:val="14"/>
                <w:color w:val="1D1D1D"/>
              </w:rPr>
              <w:t xml:space="preserve"> An appropriate mix of short and long-term incentives for our</w:t>
            </w:r>
          </w:p>
        </w:tc>
        <w:tc>
          <w:tcPr>
            <w:tcW w:w="1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1D1D1D"/>
              </w:rPr>
              <w:t xml:space="preserve">O  </w:t>
            </w:r>
            <w:r>
              <w:rPr>
                <w:rFonts w:ascii="Times New Roman" w:cs="Times New Roman" w:eastAsia="Times New Roman" w:hAnsi="Times New Roman"/>
                <w:sz w:val="17"/>
                <w:szCs w:val="17"/>
                <w:color w:val="1D1D1D"/>
              </w:rPr>
              <w:t>No excessive perquisites or other benefits for named executive officers</w:t>
            </w:r>
          </w:p>
        </w:tc>
      </w:tr>
      <w:tr>
        <w:trPr>
          <w:trHeight w:val="239"/>
        </w:trPr>
        <w:tc>
          <w:tcPr>
            <w:tcW w:w="55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1D1D1D"/>
              </w:rPr>
              <w:t>executives</w:t>
            </w:r>
          </w:p>
        </w:tc>
        <w:tc>
          <w:tcPr>
            <w:tcW w:w="12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spacing w:after="0"/>
              <w:rPr>
                <w:sz w:val="20"/>
                <w:szCs w:val="20"/>
                <w:color w:val="auto"/>
              </w:rPr>
            </w:pPr>
          </w:p>
        </w:tc>
      </w:tr>
      <w:tr>
        <w:trPr>
          <w:trHeight w:val="220"/>
        </w:trPr>
        <w:tc>
          <w:tcPr>
            <w:tcW w:w="5520" w:type="dxa"/>
            <w:vAlign w:val="bottom"/>
            <w:tcBorders>
              <w:left w:val="single" w:sz="8" w:color="auto"/>
            </w:tcBorders>
            <w:shd w:val="clear" w:color="auto" w:fill="CCEEFF"/>
          </w:tcPr>
          <w:p>
            <w:pPr>
              <w:ind w:left="160"/>
              <w:spacing w:after="0" w:line="220" w:lineRule="exact"/>
              <w:rPr>
                <w:sz w:val="20"/>
                <w:szCs w:val="20"/>
                <w:color w:val="auto"/>
              </w:rPr>
            </w:pPr>
            <w:r>
              <w:rPr>
                <w:rFonts w:ascii="Wingdings" w:cs="Wingdings" w:eastAsia="Wingdings" w:hAnsi="Wingdings"/>
                <w:sz w:val="25"/>
                <w:szCs w:val="25"/>
                <w:b w:val="1"/>
                <w:bCs w:val="1"/>
                <w:color w:val="1D1D1D"/>
                <w:vertAlign w:val="subscript"/>
              </w:rPr>
              <w:t>ü</w:t>
            </w:r>
            <w:r>
              <w:rPr>
                <w:rFonts w:ascii="Times New Roman" w:cs="Times New Roman" w:eastAsia="Times New Roman" w:hAnsi="Times New Roman"/>
                <w:sz w:val="14"/>
                <w:szCs w:val="14"/>
                <w:color w:val="1D1D1D"/>
              </w:rPr>
              <w:t xml:space="preserve"> Responsible use of long-term equity program to motivate and align</w:t>
            </w:r>
          </w:p>
        </w:tc>
        <w:tc>
          <w:tcPr>
            <w:tcW w:w="120" w:type="dxa"/>
            <w:vAlign w:val="bottom"/>
            <w:tcBorders>
              <w:right w:val="single" w:sz="8" w:color="auto"/>
            </w:tcBorders>
            <w:shd w:val="clear" w:color="auto" w:fill="CCEEFF"/>
          </w:tcPr>
          <w:p>
            <w:pPr>
              <w:spacing w:after="0"/>
              <w:rPr>
                <w:sz w:val="19"/>
                <w:szCs w:val="19"/>
                <w:color w:val="auto"/>
              </w:rPr>
            </w:pPr>
          </w:p>
        </w:tc>
        <w:tc>
          <w:tcPr>
            <w:tcW w:w="56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1D1D1D"/>
              </w:rPr>
              <w:t xml:space="preserve">O  </w:t>
            </w:r>
            <w:r>
              <w:rPr>
                <w:rFonts w:ascii="Times New Roman" w:cs="Times New Roman" w:eastAsia="Times New Roman" w:hAnsi="Times New Roman"/>
                <w:sz w:val="17"/>
                <w:szCs w:val="17"/>
                <w:color w:val="1D1D1D"/>
              </w:rPr>
              <w:t>No repricing of stock option awards without stockholder approval</w:t>
            </w:r>
          </w:p>
        </w:tc>
      </w:tr>
      <w:tr>
        <w:trPr>
          <w:trHeight w:val="243"/>
        </w:trPr>
        <w:tc>
          <w:tcPr>
            <w:tcW w:w="5520" w:type="dxa"/>
            <w:vAlign w:val="bottom"/>
            <w:tcBorders>
              <w:lef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1D1D1D"/>
              </w:rPr>
              <w:t>executives’ interests with stockholders</w:t>
            </w:r>
          </w:p>
        </w:tc>
        <w:tc>
          <w:tcPr>
            <w:tcW w:w="120" w:type="dxa"/>
            <w:vAlign w:val="bottom"/>
            <w:tcBorders>
              <w:right w:val="single" w:sz="8" w:color="auto"/>
            </w:tcBorders>
            <w:shd w:val="clear" w:color="auto" w:fill="CCEEFF"/>
          </w:tcPr>
          <w:p>
            <w:pPr>
              <w:spacing w:after="0"/>
              <w:rPr>
                <w:sz w:val="21"/>
                <w:szCs w:val="21"/>
                <w:color w:val="auto"/>
              </w:rPr>
            </w:pPr>
          </w:p>
        </w:tc>
        <w:tc>
          <w:tcPr>
            <w:tcW w:w="5620" w:type="dxa"/>
            <w:vAlign w:val="bottom"/>
            <w:tcBorders>
              <w:right w:val="single" w:sz="8" w:color="auto"/>
            </w:tcBorders>
            <w:shd w:val="clear" w:color="auto" w:fill="CCEEFF"/>
          </w:tcPr>
          <w:p>
            <w:pPr>
              <w:spacing w:after="0"/>
              <w:rPr>
                <w:sz w:val="21"/>
                <w:szCs w:val="21"/>
                <w:color w:val="auto"/>
              </w:rPr>
            </w:pPr>
          </w:p>
        </w:tc>
      </w:tr>
      <w:tr>
        <w:trPr>
          <w:trHeight w:val="216"/>
        </w:trPr>
        <w:tc>
          <w:tcPr>
            <w:tcW w:w="5520" w:type="dxa"/>
            <w:vAlign w:val="bottom"/>
            <w:tcBorders>
              <w:left w:val="single" w:sz="8" w:color="auto"/>
            </w:tcBorders>
          </w:tcPr>
          <w:p>
            <w:pPr>
              <w:ind w:left="160"/>
              <w:spacing w:after="0" w:line="216" w:lineRule="exact"/>
              <w:rPr>
                <w:sz w:val="20"/>
                <w:szCs w:val="20"/>
                <w:color w:val="auto"/>
              </w:rPr>
            </w:pPr>
            <w:r>
              <w:rPr>
                <w:rFonts w:ascii="Wingdings" w:cs="Wingdings" w:eastAsia="Wingdings" w:hAnsi="Wingdings"/>
                <w:sz w:val="25"/>
                <w:szCs w:val="25"/>
                <w:b w:val="1"/>
                <w:bCs w:val="1"/>
                <w:color w:val="1D1D1D"/>
                <w:vertAlign w:val="subscript"/>
              </w:rPr>
              <w:t>ü</w:t>
            </w:r>
            <w:r>
              <w:rPr>
                <w:rFonts w:ascii="Times New Roman" w:cs="Times New Roman" w:eastAsia="Times New Roman" w:hAnsi="Times New Roman"/>
                <w:sz w:val="14"/>
                <w:szCs w:val="14"/>
                <w:color w:val="1D1D1D"/>
              </w:rPr>
              <w:t xml:space="preserve"> Perform an annual risk assessment of our compensation program and</w:t>
            </w:r>
          </w:p>
        </w:tc>
        <w:tc>
          <w:tcPr>
            <w:tcW w:w="12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1D1D1D"/>
              </w:rPr>
              <w:t xml:space="preserve">O  </w:t>
            </w:r>
            <w:r>
              <w:rPr>
                <w:rFonts w:ascii="Times New Roman" w:cs="Times New Roman" w:eastAsia="Times New Roman" w:hAnsi="Times New Roman"/>
                <w:sz w:val="17"/>
                <w:szCs w:val="17"/>
                <w:color w:val="1D1D1D"/>
              </w:rPr>
              <w:t>No discounted stock option awards</w:t>
            </w:r>
          </w:p>
        </w:tc>
      </w:tr>
      <w:tr>
        <w:trPr>
          <w:trHeight w:val="239"/>
        </w:trPr>
        <w:tc>
          <w:tcPr>
            <w:tcW w:w="55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1D1D1D"/>
              </w:rPr>
              <w:t>practices</w:t>
            </w:r>
          </w:p>
        </w:tc>
        <w:tc>
          <w:tcPr>
            <w:tcW w:w="12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spacing w:after="0"/>
              <w:rPr>
                <w:sz w:val="20"/>
                <w:szCs w:val="20"/>
                <w:color w:val="auto"/>
              </w:rPr>
            </w:pPr>
          </w:p>
        </w:tc>
      </w:tr>
      <w:tr>
        <w:trPr>
          <w:trHeight w:val="220"/>
        </w:trPr>
        <w:tc>
          <w:tcPr>
            <w:tcW w:w="5520" w:type="dxa"/>
            <w:vAlign w:val="bottom"/>
            <w:tcBorders>
              <w:left w:val="single" w:sz="8" w:color="auto"/>
            </w:tcBorders>
            <w:shd w:val="clear" w:color="auto" w:fill="CCEEFF"/>
          </w:tcPr>
          <w:p>
            <w:pPr>
              <w:ind w:left="160"/>
              <w:spacing w:after="0" w:line="220" w:lineRule="exact"/>
              <w:rPr>
                <w:sz w:val="20"/>
                <w:szCs w:val="20"/>
                <w:color w:val="auto"/>
              </w:rPr>
            </w:pPr>
            <w:r>
              <w:rPr>
                <w:rFonts w:ascii="Wingdings" w:cs="Wingdings" w:eastAsia="Wingdings" w:hAnsi="Wingdings"/>
                <w:sz w:val="25"/>
                <w:szCs w:val="25"/>
                <w:b w:val="1"/>
                <w:bCs w:val="1"/>
                <w:color w:val="1D1D1D"/>
                <w:vertAlign w:val="subscript"/>
              </w:rPr>
              <w:t>ü</w:t>
            </w:r>
            <w:r>
              <w:rPr>
                <w:rFonts w:ascii="Times New Roman" w:cs="Times New Roman" w:eastAsia="Times New Roman" w:hAnsi="Times New Roman"/>
                <w:sz w:val="14"/>
                <w:szCs w:val="14"/>
                <w:color w:val="1D1D1D"/>
              </w:rPr>
              <w:t xml:space="preserve"> Maintain a peer group of companies to evaluate compensation</w:t>
            </w:r>
          </w:p>
        </w:tc>
        <w:tc>
          <w:tcPr>
            <w:tcW w:w="120" w:type="dxa"/>
            <w:vAlign w:val="bottom"/>
            <w:tcBorders>
              <w:right w:val="single" w:sz="8" w:color="auto"/>
            </w:tcBorders>
            <w:shd w:val="clear" w:color="auto" w:fill="CCEEFF"/>
          </w:tcPr>
          <w:p>
            <w:pPr>
              <w:spacing w:after="0"/>
              <w:rPr>
                <w:sz w:val="19"/>
                <w:szCs w:val="19"/>
                <w:color w:val="auto"/>
              </w:rPr>
            </w:pPr>
          </w:p>
        </w:tc>
        <w:tc>
          <w:tcPr>
            <w:tcW w:w="56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1D1D1D"/>
              </w:rPr>
              <w:t xml:space="preserve">O  </w:t>
            </w:r>
            <w:r>
              <w:rPr>
                <w:rFonts w:ascii="Times New Roman" w:cs="Times New Roman" w:eastAsia="Times New Roman" w:hAnsi="Times New Roman"/>
                <w:sz w:val="17"/>
                <w:szCs w:val="17"/>
                <w:color w:val="1D1D1D"/>
              </w:rPr>
              <w:t>No hedging or pledging of company stock</w:t>
            </w:r>
          </w:p>
        </w:tc>
      </w:tr>
      <w:tr>
        <w:trPr>
          <w:trHeight w:val="243"/>
        </w:trPr>
        <w:tc>
          <w:tcPr>
            <w:tcW w:w="5520" w:type="dxa"/>
            <w:vAlign w:val="bottom"/>
            <w:tcBorders>
              <w:lef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1D1D1D"/>
              </w:rPr>
              <w:t>decisions and update peer information periodically</w:t>
            </w:r>
          </w:p>
        </w:tc>
        <w:tc>
          <w:tcPr>
            <w:tcW w:w="120" w:type="dxa"/>
            <w:vAlign w:val="bottom"/>
            <w:tcBorders>
              <w:right w:val="single" w:sz="8" w:color="auto"/>
            </w:tcBorders>
            <w:shd w:val="clear" w:color="auto" w:fill="CCEEFF"/>
          </w:tcPr>
          <w:p>
            <w:pPr>
              <w:spacing w:after="0"/>
              <w:rPr>
                <w:sz w:val="21"/>
                <w:szCs w:val="21"/>
                <w:color w:val="auto"/>
              </w:rPr>
            </w:pPr>
          </w:p>
        </w:tc>
        <w:tc>
          <w:tcPr>
            <w:tcW w:w="5620" w:type="dxa"/>
            <w:vAlign w:val="bottom"/>
            <w:tcBorders>
              <w:right w:val="single" w:sz="8" w:color="auto"/>
            </w:tcBorders>
            <w:shd w:val="clear" w:color="auto" w:fill="CCEEFF"/>
          </w:tcPr>
          <w:p>
            <w:pPr>
              <w:spacing w:after="0"/>
              <w:rPr>
                <w:sz w:val="21"/>
                <w:szCs w:val="21"/>
                <w:color w:val="auto"/>
              </w:rPr>
            </w:pPr>
          </w:p>
        </w:tc>
      </w:tr>
      <w:tr>
        <w:trPr>
          <w:trHeight w:val="297"/>
        </w:trPr>
        <w:tc>
          <w:tcPr>
            <w:tcW w:w="5520" w:type="dxa"/>
            <w:vAlign w:val="bottom"/>
            <w:tcBorders>
              <w:left w:val="single" w:sz="8" w:color="auto"/>
            </w:tcBorders>
          </w:tcPr>
          <w:p>
            <w:pPr>
              <w:ind w:left="160"/>
              <w:spacing w:after="0" w:line="297" w:lineRule="exact"/>
              <w:rPr>
                <w:sz w:val="20"/>
                <w:szCs w:val="20"/>
                <w:color w:val="auto"/>
              </w:rPr>
            </w:pPr>
            <w:r>
              <w:rPr>
                <w:rFonts w:ascii="Wingdings" w:cs="Wingdings" w:eastAsia="Wingdings" w:hAnsi="Wingdings"/>
                <w:sz w:val="34"/>
                <w:szCs w:val="34"/>
                <w:b w:val="1"/>
                <w:bCs w:val="1"/>
                <w:color w:val="1D1D1D"/>
                <w:vertAlign w:val="subscript"/>
              </w:rPr>
              <w:t>ü</w:t>
            </w:r>
            <w:r>
              <w:rPr>
                <w:rFonts w:ascii="Times New Roman" w:cs="Times New Roman" w:eastAsia="Times New Roman" w:hAnsi="Times New Roman"/>
                <w:sz w:val="16"/>
                <w:szCs w:val="16"/>
                <w:color w:val="1D1D1D"/>
              </w:rPr>
              <w:t xml:space="preserve"> Conduct say-on-pay vote annually</w:t>
            </w:r>
          </w:p>
        </w:tc>
        <w:tc>
          <w:tcPr>
            <w:tcW w:w="1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1D1D1D"/>
              </w:rPr>
              <w:t xml:space="preserve">O  </w:t>
            </w:r>
            <w:r>
              <w:rPr>
                <w:rFonts w:ascii="Times New Roman" w:cs="Times New Roman" w:eastAsia="Times New Roman" w:hAnsi="Times New Roman"/>
                <w:sz w:val="17"/>
                <w:szCs w:val="17"/>
                <w:color w:val="000000"/>
              </w:rPr>
              <w:t>No “single trigger” payouts in a change in control situation</w:t>
            </w:r>
          </w:p>
        </w:tc>
      </w:tr>
      <w:tr>
        <w:trPr>
          <w:trHeight w:val="216"/>
        </w:trPr>
        <w:tc>
          <w:tcPr>
            <w:tcW w:w="5520" w:type="dxa"/>
            <w:vAlign w:val="bottom"/>
            <w:tcBorders>
              <w:left w:val="single" w:sz="8" w:color="auto"/>
            </w:tcBorders>
            <w:shd w:val="clear" w:color="auto" w:fill="CCEEFF"/>
          </w:tcPr>
          <w:p>
            <w:pPr>
              <w:ind w:left="160"/>
              <w:spacing w:after="0" w:line="216" w:lineRule="exact"/>
              <w:rPr>
                <w:sz w:val="20"/>
                <w:szCs w:val="20"/>
                <w:color w:val="auto"/>
              </w:rPr>
            </w:pPr>
            <w:r>
              <w:rPr>
                <w:rFonts w:ascii="Wingdings" w:cs="Wingdings" w:eastAsia="Wingdings" w:hAnsi="Wingdings"/>
                <w:sz w:val="25"/>
                <w:szCs w:val="25"/>
                <w:b w:val="1"/>
                <w:bCs w:val="1"/>
                <w:color w:val="1D1D1D"/>
                <w:vertAlign w:val="subscript"/>
              </w:rPr>
              <w:t>ü</w:t>
            </w:r>
            <w:r>
              <w:rPr>
                <w:rFonts w:ascii="Times New Roman" w:cs="Times New Roman" w:eastAsia="Times New Roman" w:hAnsi="Times New Roman"/>
                <w:sz w:val="14"/>
                <w:szCs w:val="14"/>
                <w:color w:val="1D1D1D"/>
              </w:rPr>
              <w:t xml:space="preserve"> Engage an independent compensation consultant to advise on</w:t>
            </w:r>
          </w:p>
        </w:tc>
        <w:tc>
          <w:tcPr>
            <w:tcW w:w="120" w:type="dxa"/>
            <w:vAlign w:val="bottom"/>
            <w:tcBorders>
              <w:right w:val="single" w:sz="8" w:color="auto"/>
            </w:tcBorders>
            <w:shd w:val="clear" w:color="auto" w:fill="CCEEFF"/>
          </w:tcPr>
          <w:p>
            <w:pPr>
              <w:spacing w:after="0"/>
              <w:rPr>
                <w:sz w:val="18"/>
                <w:szCs w:val="18"/>
                <w:color w:val="auto"/>
              </w:rPr>
            </w:pPr>
          </w:p>
        </w:tc>
        <w:tc>
          <w:tcPr>
            <w:tcW w:w="5620" w:type="dxa"/>
            <w:vAlign w:val="bottom"/>
            <w:tcBorders>
              <w:right w:val="single" w:sz="8" w:color="auto"/>
            </w:tcBorders>
            <w:shd w:val="clear" w:color="auto" w:fill="CCEEFF"/>
          </w:tcPr>
          <w:p>
            <w:pPr>
              <w:spacing w:after="0"/>
              <w:rPr>
                <w:sz w:val="18"/>
                <w:szCs w:val="18"/>
                <w:color w:val="auto"/>
              </w:rPr>
            </w:pPr>
          </w:p>
        </w:tc>
      </w:tr>
      <w:tr>
        <w:trPr>
          <w:trHeight w:val="243"/>
        </w:trPr>
        <w:tc>
          <w:tcPr>
            <w:tcW w:w="5520" w:type="dxa"/>
            <w:vAlign w:val="bottom"/>
            <w:tcBorders>
              <w:lef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1D1D1D"/>
              </w:rPr>
              <w:t>executive compensation matters</w:t>
            </w:r>
          </w:p>
        </w:tc>
        <w:tc>
          <w:tcPr>
            <w:tcW w:w="120" w:type="dxa"/>
            <w:vAlign w:val="bottom"/>
            <w:tcBorders>
              <w:right w:val="single" w:sz="8" w:color="auto"/>
            </w:tcBorders>
            <w:shd w:val="clear" w:color="auto" w:fill="CCEEFF"/>
          </w:tcPr>
          <w:p>
            <w:pPr>
              <w:spacing w:after="0"/>
              <w:rPr>
                <w:sz w:val="21"/>
                <w:szCs w:val="21"/>
                <w:color w:val="auto"/>
              </w:rPr>
            </w:pPr>
          </w:p>
        </w:tc>
        <w:tc>
          <w:tcPr>
            <w:tcW w:w="5620" w:type="dxa"/>
            <w:vAlign w:val="bottom"/>
            <w:tcBorders>
              <w:right w:val="single" w:sz="8" w:color="auto"/>
            </w:tcBorders>
            <w:shd w:val="clear" w:color="auto" w:fill="CCEEFF"/>
          </w:tcPr>
          <w:p>
            <w:pPr>
              <w:spacing w:after="0"/>
              <w:rPr>
                <w:sz w:val="21"/>
                <w:szCs w:val="21"/>
                <w:color w:val="auto"/>
              </w:rPr>
            </w:pPr>
          </w:p>
        </w:tc>
      </w:tr>
      <w:tr>
        <w:trPr>
          <w:trHeight w:val="297"/>
        </w:trPr>
        <w:tc>
          <w:tcPr>
            <w:tcW w:w="5520" w:type="dxa"/>
            <w:vAlign w:val="bottom"/>
            <w:tcBorders>
              <w:left w:val="single" w:sz="8" w:color="auto"/>
            </w:tcBorders>
          </w:tcPr>
          <w:p>
            <w:pPr>
              <w:ind w:left="160"/>
              <w:spacing w:after="0" w:line="297" w:lineRule="exact"/>
              <w:rPr>
                <w:sz w:val="20"/>
                <w:szCs w:val="20"/>
                <w:color w:val="auto"/>
              </w:rPr>
            </w:pPr>
            <w:r>
              <w:rPr>
                <w:rFonts w:ascii="Wingdings" w:cs="Wingdings" w:eastAsia="Wingdings" w:hAnsi="Wingdings"/>
                <w:sz w:val="34"/>
                <w:szCs w:val="34"/>
                <w:b w:val="1"/>
                <w:bCs w:val="1"/>
                <w:color w:val="1D1D1D"/>
                <w:vertAlign w:val="subscript"/>
              </w:rPr>
              <w:t>ü</w:t>
            </w:r>
            <w:r>
              <w:rPr>
                <w:rFonts w:ascii="Times New Roman" w:cs="Times New Roman" w:eastAsia="Times New Roman" w:hAnsi="Times New Roman"/>
                <w:sz w:val="16"/>
                <w:szCs w:val="16"/>
                <w:color w:val="1D1D1D"/>
              </w:rPr>
              <w:t xml:space="preserve"> Have an independent compensation committee</w:t>
            </w:r>
          </w:p>
        </w:tc>
        <w:tc>
          <w:tcPr>
            <w:tcW w:w="12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tcPr>
          <w:p>
            <w:pPr>
              <w:spacing w:after="0"/>
              <w:rPr>
                <w:sz w:val="24"/>
                <w:szCs w:val="24"/>
                <w:color w:val="auto"/>
              </w:rPr>
            </w:pPr>
          </w:p>
        </w:tc>
      </w:tr>
      <w:tr>
        <w:trPr>
          <w:trHeight w:val="225"/>
        </w:trPr>
        <w:tc>
          <w:tcPr>
            <w:tcW w:w="5520" w:type="dxa"/>
            <w:vAlign w:val="bottom"/>
            <w:tcBorders>
              <w:left w:val="single" w:sz="8" w:color="auto"/>
            </w:tcBorders>
            <w:shd w:val="clear" w:color="auto" w:fill="CCEEFF"/>
          </w:tcPr>
          <w:p>
            <w:pPr>
              <w:ind w:left="160"/>
              <w:spacing w:after="0" w:line="224" w:lineRule="exact"/>
              <w:rPr>
                <w:sz w:val="20"/>
                <w:szCs w:val="20"/>
                <w:color w:val="auto"/>
              </w:rPr>
            </w:pPr>
            <w:r>
              <w:rPr>
                <w:rFonts w:ascii="Wingdings" w:cs="Wingdings" w:eastAsia="Wingdings" w:hAnsi="Wingdings"/>
                <w:sz w:val="22"/>
                <w:szCs w:val="22"/>
                <w:b w:val="1"/>
                <w:bCs w:val="1"/>
                <w:color w:val="1D1D1D"/>
              </w:rPr>
              <w:t xml:space="preserve">ü </w:t>
            </w:r>
            <w:r>
              <w:rPr>
                <w:rFonts w:ascii="Times New Roman" w:cs="Times New Roman" w:eastAsia="Times New Roman" w:hAnsi="Times New Roman"/>
                <w:sz w:val="17"/>
                <w:szCs w:val="17"/>
                <w:color w:val="1D1D1D"/>
              </w:rPr>
              <w:t>Maintain a robust compensation recovery policy to recover erroneous</w:t>
            </w:r>
          </w:p>
        </w:tc>
        <w:tc>
          <w:tcPr>
            <w:tcW w:w="120" w:type="dxa"/>
            <w:vAlign w:val="bottom"/>
            <w:tcBorders>
              <w:right w:val="single" w:sz="8" w:color="auto"/>
            </w:tcBorders>
            <w:shd w:val="clear" w:color="auto" w:fill="CCEEFF"/>
          </w:tcPr>
          <w:p>
            <w:pPr>
              <w:spacing w:after="0"/>
              <w:rPr>
                <w:sz w:val="19"/>
                <w:szCs w:val="19"/>
                <w:color w:val="auto"/>
              </w:rPr>
            </w:pPr>
          </w:p>
        </w:tc>
        <w:tc>
          <w:tcPr>
            <w:tcW w:w="5620" w:type="dxa"/>
            <w:vAlign w:val="bottom"/>
            <w:tcBorders>
              <w:right w:val="single" w:sz="8" w:color="auto"/>
            </w:tcBorders>
            <w:shd w:val="clear" w:color="auto" w:fill="CCEEFF"/>
          </w:tcPr>
          <w:p>
            <w:pPr>
              <w:spacing w:after="0"/>
              <w:rPr>
                <w:sz w:val="19"/>
                <w:szCs w:val="19"/>
                <w:color w:val="auto"/>
              </w:rPr>
            </w:pPr>
          </w:p>
        </w:tc>
      </w:tr>
      <w:tr>
        <w:trPr>
          <w:trHeight w:val="266"/>
        </w:trPr>
        <w:tc>
          <w:tcPr>
            <w:tcW w:w="5520" w:type="dxa"/>
            <w:vAlign w:val="bottom"/>
            <w:tcBorders>
              <w:left w:val="single" w:sz="8" w:color="auto"/>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1D1D1D"/>
              </w:rPr>
              <w:t>paid incentive compensation and ensure accountability</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56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892"/>
        </w:trPr>
        <w:tc>
          <w:tcPr>
            <w:tcW w:w="5520" w:type="dxa"/>
            <w:vAlign w:val="bottom"/>
            <w:tcBorders>
              <w:top w:val="single" w:sz="8" w:color="auto"/>
            </w:tcBorders>
          </w:tcPr>
          <w:p>
            <w:pPr>
              <w:spacing w:after="0"/>
              <w:rPr>
                <w:sz w:val="24"/>
                <w:szCs w:val="24"/>
                <w:color w:val="auto"/>
              </w:rPr>
            </w:pPr>
          </w:p>
        </w:tc>
        <w:tc>
          <w:tcPr>
            <w:tcW w:w="5740" w:type="dxa"/>
            <w:vAlign w:val="bottom"/>
            <w:tcBorders>
              <w:top w:val="single" w:sz="8" w:color="auto"/>
            </w:tcBorders>
            <w:gridSpan w:val="2"/>
          </w:tcPr>
          <w:p>
            <w:pPr>
              <w:jc w:val="right"/>
              <w:ind w:right="5483"/>
              <w:spacing w:after="0"/>
              <w:rPr>
                <w:sz w:val="20"/>
                <w:szCs w:val="20"/>
                <w:color w:val="auto"/>
              </w:rPr>
            </w:pPr>
            <w:r>
              <w:rPr>
                <w:rFonts w:ascii="Times New Roman" w:cs="Times New Roman" w:eastAsia="Times New Roman" w:hAnsi="Times New Roman"/>
                <w:sz w:val="16"/>
                <w:szCs w:val="16"/>
                <w:color w:val="auto"/>
                <w:w w:val="99"/>
              </w:rPr>
              <w:t>29</w:t>
            </w:r>
          </w:p>
        </w:tc>
      </w:tr>
      <w:tr>
        <w:trPr>
          <w:trHeight w:val="108"/>
        </w:trPr>
        <w:tc>
          <w:tcPr>
            <w:tcW w:w="5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Elements of Executive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elements of our executive compensation in program in 2025 were:</w:t>
      </w:r>
    </w:p>
    <w:p>
      <w:pPr>
        <w:sectPr>
          <w:pgSz w:w="11900" w:h="16838" w:orient="portrait"/>
          <w:cols w:equalWidth="0" w:num="1">
            <w:col w:w="11240"/>
          </w:cols>
          <w:pgMar w:left="320" w:top="126" w:right="339" w:bottom="1440" w:gutter="0" w:footer="0" w:header="0"/>
        </w:sectPr>
      </w:pPr>
    </w:p>
    <w:p>
      <w:pPr>
        <w:spacing w:after="0" w:line="25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Element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Base Salary</w:t>
      </w:r>
    </w:p>
    <w:p>
      <w:pPr>
        <w:ind w:left="20"/>
        <w:spacing w:after="0"/>
        <w:rPr>
          <w:sz w:val="20"/>
          <w:szCs w:val="20"/>
          <w:color w:val="auto"/>
        </w:rPr>
      </w:pPr>
      <w:r>
        <w:rPr>
          <w:rFonts w:ascii="Times New Roman" w:cs="Times New Roman" w:eastAsia="Times New Roman" w:hAnsi="Times New Roman"/>
          <w:sz w:val="18"/>
          <w:szCs w:val="18"/>
          <w:color w:val="auto"/>
        </w:rPr>
        <w:t>(fixed cash)</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88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00" w:type="dxa"/>
            <w:vAlign w:val="bottom"/>
          </w:tcPr>
          <w:p>
            <w:pPr>
              <w:spacing w:after="0"/>
              <w:rPr>
                <w:sz w:val="16"/>
                <w:szCs w:val="16"/>
                <w:color w:val="auto"/>
              </w:rPr>
            </w:pPr>
          </w:p>
        </w:tc>
        <w:tc>
          <w:tcPr>
            <w:tcW w:w="456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Key Features and Timing</w:t>
            </w:r>
          </w:p>
        </w:tc>
      </w:tr>
      <w:tr>
        <w:trPr>
          <w:trHeight w:val="23"/>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1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Provide competitive, fixed compensation to attract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 Cash-based</w:t>
            </w:r>
          </w:p>
        </w:tc>
      </w:tr>
      <w:tr>
        <w:trPr>
          <w:trHeight w:val="21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retain top executive talent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 Initial base salaries are set at the time of hire, and</w:t>
            </w: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base salaries are considered in conjunction</w:t>
            </w: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with changes in job responsibilities or annually as part of our</w:t>
            </w:r>
          </w:p>
        </w:tc>
      </w:tr>
      <w:tr>
        <w:trPr>
          <w:trHeight w:val="234"/>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merit increase process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-711200</wp:posOffset>
            </wp:positionV>
            <wp:extent cx="7132320" cy="728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720"/>
            <w:col w:w="8640"/>
          </w:cols>
          <w:pgMar w:left="320" w:top="126" w:right="3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Cash Bonus</w:t>
            </w:r>
          </w:p>
        </w:tc>
        <w:tc>
          <w:tcPr>
            <w:tcW w:w="4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Performance-contingent compensation to motivate</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 Cash-based</w:t>
            </w:r>
          </w:p>
        </w:tc>
      </w:tr>
      <w:tr>
        <w:trPr>
          <w:trHeight w:val="25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(“at-risk” cash)</w:t>
            </w:r>
          </w:p>
        </w:tc>
        <w:tc>
          <w:tcPr>
            <w:tcW w:w="4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reward individual for attaining rigorous</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 Based on corporate and individual performance</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corporate performance goals that relate to our key</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 Generally measured and paid out on an annual basis,</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business objectives</w:t>
            </w: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typically annually following the close of the previous fiscal</w:t>
            </w:r>
          </w:p>
        </w:tc>
      </w:tr>
      <w:tr>
        <w:trPr>
          <w:trHeight w:val="241"/>
        </w:trPr>
        <w:tc>
          <w:tcPr>
            <w:tcW w:w="210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year</w:t>
            </w:r>
          </w:p>
        </w:tc>
      </w:tr>
      <w:tr>
        <w:trPr>
          <w:trHeight w:val="256"/>
        </w:trPr>
        <w:tc>
          <w:tcPr>
            <w:tcW w:w="21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560" w:type="dxa"/>
            <w:vAlign w:val="bottom"/>
          </w:tcPr>
          <w:p>
            <w:pPr>
              <w:spacing w:after="0"/>
              <w:rPr>
                <w:sz w:val="22"/>
                <w:szCs w:val="22"/>
                <w:color w:val="auto"/>
              </w:rPr>
            </w:pPr>
          </w:p>
        </w:tc>
      </w:tr>
      <w:tr>
        <w:trPr>
          <w:trHeight w:val="189"/>
        </w:trPr>
        <w:tc>
          <w:tcPr>
            <w:tcW w:w="2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Long-term Incentives</w:t>
            </w:r>
          </w:p>
        </w:tc>
        <w:tc>
          <w:tcPr>
            <w:tcW w:w="4280" w:type="dxa"/>
            <w:vAlign w:val="bottom"/>
            <w:shd w:val="clear" w:color="auto" w:fill="CCEEFF"/>
          </w:tcPr>
          <w:p>
            <w:pPr>
              <w:ind w:left="520"/>
              <w:spacing w:after="0" w:line="189" w:lineRule="exact"/>
              <w:rPr>
                <w:sz w:val="20"/>
                <w:szCs w:val="20"/>
                <w:color w:val="auto"/>
              </w:rPr>
            </w:pPr>
            <w:r>
              <w:rPr>
                <w:rFonts w:ascii="Times New Roman" w:cs="Times New Roman" w:eastAsia="Times New Roman" w:hAnsi="Times New Roman"/>
                <w:sz w:val="18"/>
                <w:szCs w:val="18"/>
                <w:color w:val="auto"/>
              </w:rPr>
              <w:t>Variable incentive compensation to promote</w:t>
            </w:r>
          </w:p>
        </w:tc>
        <w:tc>
          <w:tcPr>
            <w:tcW w:w="3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5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 Equity-based</w:t>
            </w:r>
          </w:p>
        </w:tc>
      </w:tr>
      <w:tr>
        <w:trPr>
          <w:trHeight w:val="25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(“at-risk” equity)</w:t>
            </w:r>
          </w:p>
        </w:tc>
        <w:tc>
          <w:tcPr>
            <w:tcW w:w="4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performance, support retention, and create</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 Granted in time-based Options and RSUs</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stockholder alignment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 Based on blended peer group and broader market data,</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competitiveness, expected future contribution,</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experience, impact and individual performance, and internal</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parity relative to similar positions within the company</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 Generally granted at the time of hire, annually following the</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close of the previous fiscal year and at the time of promotion</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 one-time, non-recurring, awards may be granted in</w:t>
            </w:r>
          </w:p>
        </w:tc>
      </w:tr>
      <w:tr>
        <w:trPr>
          <w:trHeight w:val="216"/>
        </w:trPr>
        <w:tc>
          <w:tcPr>
            <w:tcW w:w="2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particular circumstances, to assist with retention or</w:t>
            </w:r>
          </w:p>
        </w:tc>
      </w:tr>
      <w:tr>
        <w:trPr>
          <w:trHeight w:val="241"/>
        </w:trPr>
        <w:tc>
          <w:tcPr>
            <w:tcW w:w="210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otherwise</w:t>
            </w:r>
          </w:p>
        </w:tc>
      </w:tr>
      <w:tr>
        <w:trPr>
          <w:trHeight w:val="20"/>
        </w:trPr>
        <w:tc>
          <w:tcPr>
            <w:tcW w:w="210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Decisions and Outcomes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Compensation Committee and Executive Officers</w:t>
      </w:r>
    </w:p>
    <w:p>
      <w:pPr>
        <w:spacing w:after="0" w:line="24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Our compensation committee, composed entirely of independent directors, is responsible for overseeing our compensation philosophy and operates under a written charter. Among other things, the role of our compensation committee is to seek to ensure that compensation decisions represent sound fiscal policy and enable us to attract and motivate qualified personnel, review and approve, or make recommendations to our board of directors with respect to, the compensation of our Chief Executive Officer and our other executive officers and recommend to the board of directors the compensation of the non-employee directors.</w:t>
      </w:r>
    </w:p>
    <w:p>
      <w:pPr>
        <w:spacing w:after="0" w:line="19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 making its executive compensation determinations, our compensation committee and, if applicable, the full board of directors, considers recommendations from our Chief Executive Officer for our named executive officers (other than himself). In making his recommendations, our Chief Executive Officer has access to various third-party compensation surveys and compensation data provided by our compensation committee’s compensation consultant, as described below. While our Chief Executive Officer discusses his recommendations for the other named executive officers with our compensation committee, he does not participate in the deliberations concerning, or the determination of, his own compensation. From time to time, various other members of management and other employees as well as outside advisors or consultants may be invited by our compensation committee to make presentations, provide financial or other background information or advice or otherwise participate in compensation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compensation committee does not have any formal policies for allocating compensation among salary, annual cash incentive awards and long-term incentive equity grants, short- and long-term compensation or among cash and non-cash compensation. Instead, the compensation committee exercises judgment to establish a total compensation program for each named executive officer that is a mix of current, short- and long-term incentive compensation, and cash and non-cash compensation, that the compensation committee believes is appropriate to achieve the goals of our executive compensation program and our corporate goals and objectives.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ay-on-Pay Advisory Vote and Stockholder Engagement</w:t>
      </w:r>
    </w:p>
    <w:p>
      <w:pPr>
        <w:spacing w:after="0" w:line="2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Each year, pursuant to Section 14(a) of the Exchange Act, we submit to our stockholders a proposal to vote, on an advisory, non-binding basis, to approve the compensation of our named executive officers disclosed in our proxy statement. We first held this vote at the 2021 annual meeting of stockholders and based on stockholder preference, we hold such a vote every year.</w:t>
      </w:r>
    </w:p>
    <w:p>
      <w:pPr>
        <w:spacing w:after="0" w:line="189" w:lineRule="exact"/>
        <w:rPr>
          <w:sz w:val="20"/>
          <w:szCs w:val="20"/>
          <w:color w:val="auto"/>
        </w:rPr>
      </w:pPr>
    </w:p>
    <w:p>
      <w:pPr>
        <w:ind w:right="420"/>
        <w:spacing w:after="0" w:line="238" w:lineRule="auto"/>
        <w:rPr>
          <w:sz w:val="20"/>
          <w:szCs w:val="20"/>
          <w:color w:val="auto"/>
        </w:rPr>
      </w:pPr>
      <w:r>
        <w:rPr>
          <w:rFonts w:ascii="Times New Roman" w:cs="Times New Roman" w:eastAsia="Times New Roman" w:hAnsi="Times New Roman"/>
          <w:sz w:val="18"/>
          <w:szCs w:val="18"/>
          <w:color w:val="auto"/>
        </w:rPr>
        <w:t>We welcome and value input from our stockholders regarding executive compensations plans and programs, as well as other matters related to us, our operations and corporate governance. Since our initial public offering, management and our board of directors have maintained open lines of communication with significant stockholders and potential investors. Management interacts with stockholders through investor conferences, quarterly earnings calls, and meetings with potential investors. Any relevant feedback received by management as a result of these stockholder or investor conversations is reported to our board of directors and compensation committee and taken into consideration with respect to ongoing oversight and decision-making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2025 annual meeting of stockholders, results on our say-on-pay proposal received support of approximately 75% of the votes cast by stockholders, excluding broker non-votes and abstentions. While the say-on-pay vote is an advisory, non-binding, vote, our board of directors and compensation committee strongly value the opinions of our stockholders as expressed by the results of the say-on-pay vote, our board of directors and compensation committee take this outcome seriously and believe it reflects meaningful stockholder concern. In particular, we recognize this outcome occurred in the context of a significant decline in our share price following the VERITAC-2 Phase 3 clinical trial readout from our vepdegestrant program that did not meet investor expectations. The board and compensation committee carefully evaluated this feedback and the alignment between executive compensation outcomes and shareholder value.</w:t>
      </w:r>
    </w:p>
    <w:p>
      <w:pPr>
        <w:spacing w:after="0" w:line="212"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Following the 2025 annual meeting, we conducted proactive and comprehensive stockholder engagement efforts. We invited a number of our largest institutional investors, representing approximately 48% of our outstanding shares, to engage in discussions regarding corporate governance, executive compensation, and other matters of importance. During this process, we engaged with investors representing approximately 30% of our outstanding shares. These conversations included members of executive management, and in certain cases, members of our board of directors. Across our engagement efforts, a minority of stockholders expressed concern about the alignment between executive compensation and share performance, particularly in light of the approximate 50% drop in share price following the release of VERITAC-2 Phase 3 clinical trial readout from our vepdegestrant program that did not meet investor expectations. In response to this feedback, we implemented several actions designed to address stockholder concerns, including:</w:t>
      </w:r>
    </w:p>
    <w:p>
      <w:pPr>
        <w:spacing w:after="0" w:line="5" w:lineRule="exact"/>
        <w:rPr>
          <w:sz w:val="20"/>
          <w:szCs w:val="20"/>
          <w:color w:val="auto"/>
        </w:rPr>
      </w:pPr>
    </w:p>
    <w:p>
      <w:pPr>
        <w:ind w:left="660" w:right="160" w:hanging="328"/>
        <w:spacing w:after="0" w:line="23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reviewed equity grant sizing for 2026 annual equity grants, and decreased the size of our 2026 annual equity grants for employees with a title of Senior Vice President or above to align with market 50th percentile;</w:t>
      </w:r>
    </w:p>
    <w:p>
      <w:pPr>
        <w:spacing w:after="0" w:line="1" w:lineRule="exact"/>
        <w:rPr>
          <w:rFonts w:ascii="Times New Roman" w:cs="Times New Roman" w:eastAsia="Times New Roman" w:hAnsi="Times New Roman"/>
          <w:sz w:val="18"/>
          <w:szCs w:val="18"/>
          <w:color w:val="auto"/>
        </w:rPr>
      </w:pPr>
    </w:p>
    <w:p>
      <w:pPr>
        <w:ind w:left="660" w:right="100" w:hanging="328"/>
        <w:spacing w:after="0" w:line="23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structure actions: implemented two rounds of reductions in workforce to align our operating expenses with revised business priorities and to extend our cash runway;</w:t>
      </w:r>
    </w:p>
    <w:p>
      <w:pPr>
        <w:spacing w:after="0" w:line="1" w:lineRule="exact"/>
        <w:rPr>
          <w:rFonts w:ascii="Times New Roman" w:cs="Times New Roman" w:eastAsia="Times New Roman" w:hAnsi="Times New Roman"/>
          <w:sz w:val="18"/>
          <w:szCs w:val="18"/>
          <w:color w:val="auto"/>
        </w:rPr>
      </w:pPr>
    </w:p>
    <w:p>
      <w:pPr>
        <w:ind w:left="660" w:right="660" w:hanging="328"/>
        <w:spacing w:after="0" w:line="23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capital allocation: initiated a share repurchase program as part of our broader capital allocation strategy, reflecting the board’s commitment to enhancing long-term stockholder value; and</w:t>
      </w:r>
    </w:p>
    <w:p>
      <w:pPr>
        <w:spacing w:after="0" w:line="1" w:lineRule="exact"/>
        <w:rPr>
          <w:rFonts w:ascii="Times New Roman" w:cs="Times New Roman" w:eastAsia="Times New Roman" w:hAnsi="Times New Roman"/>
          <w:sz w:val="18"/>
          <w:szCs w:val="18"/>
          <w:color w:val="auto"/>
        </w:rPr>
      </w:pPr>
    </w:p>
    <w:p>
      <w:pPr>
        <w:ind w:left="660" w:right="80" w:hanging="328"/>
        <w:spacing w:after="0" w:line="24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stockholder engagement: continued regular engagement with stockholders to further reflect management and the board’s commitment to incorporating feedback into future governance practices.</w:t>
      </w:r>
    </w:p>
    <w:p>
      <w:pPr>
        <w:spacing w:after="0" w:line="20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Our board and compensation committee will continue to consider the results of the annual say-on pay-vote when making future decisions regarding executive compensation. Consistent with the recommendation of our board of directors and the preference of our stockholders as reflected in the non-binding advisory vote on the frequency of future “say-on-pay” votes, our stockholders will have an opportunity annually to cast an advisory vote in connection with compensation for our named executive officers. In the future, we plan to explore the possible initiation of a more formal engagement process to obtain regular feedback from our stockholders on executive compensation, corporate governance and other matters important to stockholders.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next non-binding advisory vote on the frequency of “say-on-pay” votes is expected to occur at our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Compensation Consultant</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part of reviewing, recommending and determining (as applicable) compensation for our named executive officers, the compensation committee has engaged Aon as an independent compensation consultant. Aon provides analysis and recommendations to the compensation committee regarding:</w:t>
      </w:r>
    </w:p>
    <w:p>
      <w:pPr>
        <w:spacing w:after="0" w:line="54" w:lineRule="exact"/>
        <w:rPr>
          <w:sz w:val="20"/>
          <w:szCs w:val="20"/>
          <w:color w:val="auto"/>
        </w:rPr>
      </w:pPr>
    </w:p>
    <w:p>
      <w:pPr>
        <w:ind w:left="2100" w:hanging="634"/>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emerging topics with respect to executive compensation;</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selection for executive compensation benchmarking;</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practices of our peer group in the broader biotechnology industry;</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programs for executives, non-employee directors and all of our employees; and</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utilization and related metrics.</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When requested, Aon consultants attend meetings of the compensation committee, including executive sessions in which executive compensation issues are discussed. Aon is engaged by the compensation committee and meets with management for purposes of gathering information for its analyses and recommendations.</w:t>
      </w:r>
    </w:p>
    <w:p>
      <w:pPr>
        <w:spacing w:after="0" w:line="20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While the compensation committee took into consideration the review and recommendations of Aon, as well as the practices of our compensation peer group as described below, when making decisions about our executive compensation program, ultimately, the compensation committee made its own independent decisions in determining our executives’ compensation.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determining to engage Aon, the compensation committee reviewed the independence of Aon taking into consideration relevant factors, including the absence of other services provided to the company by Aon, the amount of fees the company paid to Aon as a percentage of Aon’s total revenue, the policies and procedures of Aon that are designed to prevent conflicts of interest, any business or personal relationship of the individual compensation advisors employed by Aon with an executive officer of the company, any business or personal relationship the individual compensation advisors employed by Aon have with any member of the compensation committee, and any stock of the company owned by Aon or the individual compensation advisors employed by Aon. The compensation committee has determined, based on its analysis in light of all relevant factors, including the factors listed above, that the work of Aon and the individual compensation advisors employed by Aon as compensation consultants to the compensation committee has not created any conflicts of interest, and that Aon is independent pursuant to the independence standards set forth in The Nasdaq Global Select Market listing standards promulgated pursuant to Section 10C of the Exchange Act.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Compensation Process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compensation committee compares our executive compensation against a peer group to determine market trends and competitiveness. On an annual basis, the compensation committee reviews the companies in our peer group, as well as Aon’s recommendations regarding which companies should be included in the peer group. The compensation committee may also adjust the peer group to ensure it properly reflects the market in which we compete for executive talent.</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 purposes of compensation for 2025, the compensation committee retained Aon to evaluate our executive compensation program and recommend a course of action for 2025. In determining the 2025 base salaries, annual cash bonuses and long-term incentives for our named executive officers, our compensation committee relied on the following peer group, or the 2025 Peer Group, which was approved by our compensation committee in September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Alector, Inc.</w:t>
            </w:r>
          </w:p>
        </w:tc>
        <w:tc>
          <w:tcPr>
            <w:tcW w:w="3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Denali Pharmaceuticals, Inc.</w:t>
            </w:r>
          </w:p>
        </w:tc>
        <w:tc>
          <w:tcPr>
            <w:tcW w:w="4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Relay Therapeutics, Inc.</w:t>
            </w: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Arcus Biosciences, Inc.</w:t>
            </w:r>
          </w:p>
        </w:tc>
        <w:tc>
          <w:tcPr>
            <w:tcW w:w="3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Erasca, Inc. (*)</w:t>
            </w:r>
          </w:p>
        </w:tc>
        <w:tc>
          <w:tcPr>
            <w:tcW w:w="4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SpringWorks Therapeutics, Inc.</w:t>
            </w: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Arrowhead Pharmaceuticals, Inc.</w:t>
            </w:r>
          </w:p>
        </w:tc>
        <w:tc>
          <w:tcPr>
            <w:tcW w:w="3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Intellia Therapeutics, Inc.</w:t>
            </w:r>
          </w:p>
        </w:tc>
        <w:tc>
          <w:tcPr>
            <w:tcW w:w="4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Syndax Pharmaceuticals, Inc. (*)</w:t>
            </w: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Biohaven Ltd. (*)</w:t>
            </w:r>
          </w:p>
        </w:tc>
        <w:tc>
          <w:tcPr>
            <w:tcW w:w="3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KalVista Pharmaceuticals, Inc. (*)</w:t>
            </w:r>
          </w:p>
        </w:tc>
        <w:tc>
          <w:tcPr>
            <w:tcW w:w="4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Xencor, Inc.</w:t>
            </w: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Cogent Biosciences, Inc. (*)</w:t>
            </w:r>
          </w:p>
        </w:tc>
        <w:tc>
          <w:tcPr>
            <w:tcW w:w="3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Prothena Corporation plc (*)</w:t>
            </w:r>
          </w:p>
        </w:tc>
        <w:tc>
          <w:tcPr>
            <w:tcW w:w="4260" w:type="dxa"/>
            <w:vAlign w:val="bottom"/>
            <w:shd w:val="clear" w:color="auto" w:fill="CCEEFF"/>
          </w:tcPr>
          <w:p>
            <w:pPr>
              <w:spacing w:after="0"/>
              <w:rPr>
                <w:sz w:val="19"/>
                <w:szCs w:val="19"/>
                <w:color w:val="auto"/>
              </w:rPr>
            </w:pPr>
          </w:p>
        </w:tc>
      </w:tr>
      <w:tr>
        <w:trPr>
          <w:trHeight w:val="230"/>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Crinetics Pharmaceuticals, Inc.</w:t>
            </w:r>
          </w:p>
        </w:tc>
        <w:tc>
          <w:tcPr>
            <w:tcW w:w="37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REGENXBIO, Inc.</w:t>
            </w:r>
          </w:p>
        </w:tc>
        <w:tc>
          <w:tcPr>
            <w:tcW w:w="4260" w:type="dxa"/>
            <w:vAlign w:val="bottom"/>
            <w:tcBorders>
              <w:bottom w:val="single" w:sz="8" w:color="auto"/>
            </w:tcBorders>
          </w:tcPr>
          <w:p>
            <w:pPr>
              <w:spacing w:after="0"/>
              <w:rPr>
                <w:sz w:val="19"/>
                <w:szCs w:val="19"/>
                <w:color w:val="auto"/>
              </w:rPr>
            </w:pPr>
          </w:p>
        </w:tc>
      </w:tr>
      <w:tr>
        <w:trPr>
          <w:trHeight w:val="41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   New to the 2025 Peer Group</w:t>
            </w:r>
          </w:p>
        </w:tc>
        <w:tc>
          <w:tcPr>
            <w:tcW w:w="378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Aon focused on developing a peer group that:</w:t>
      </w:r>
    </w:p>
    <w:p>
      <w:pPr>
        <w:spacing w:after="0" w:line="117" w:lineRule="exact"/>
        <w:rPr>
          <w:sz w:val="20"/>
          <w:szCs w:val="20"/>
          <w:color w:val="auto"/>
        </w:rPr>
      </w:pPr>
    </w:p>
    <w:p>
      <w:pPr>
        <w:ind w:left="2100" w:hanging="634"/>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companies operating in the biopharmaceutical industries;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captured comparable companies in terms of market capitalization, revenue, employee size and stage of development; and</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allowed for sufficient room for the company to grow.</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2025 Peer Group represents a group of mostly pre-commercial, later stage (companies in Phase 3 development and companies in the stages of submitting a Biologics License Application or New Drug Application), oncology or neurology-focused biopharmaceutical/biotechnology companies, with a median market capitalization of approximately $1,275.6 million and a median of approximately 285 employees at the time of review.</w:t>
      </w:r>
    </w:p>
    <w:p>
      <w:pPr>
        <w:spacing w:after="0" w:line="20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Cerevel Therapeutics, Inc., Deciphera Pharmaceuticals, Inc., Fate Therapeutics, Inc., Mirati Therapeutics, Inc., Revolution Medicines, Inc. and Zentalis Pharmaceuticals, Inc. were each removed from our peer group as their market capitalization and/or stage of development, as applicable, fell outside our targeted range, or due to acquisition, as applicable, and several new companies were added, as indicated in the table above, as they met all the required criteria outlined above. The peer group is used to support compensation decisions and is used for relative performance comparisons in the context of our incentive plans.</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Based on the 2025 Peer Group, Aon prepared an assessment that included pay levels and compensation practices from public SEC filings. Aon supplemented the 2025 Peer Group proxy information with data from the Radford Global Compensation Survey, comprising 76 companies with a median headcount of 308 and a median market capitalization of $1.6 billion, which provides a broader market representation of companies and deeper position reporting. To arrive at competitive market compensation, market data collected from the 2025 Peer Group and the Radford Global Compensation Survey was blended equally to form a composite assessment.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peer group is used to support compensation decisions and is used for relative performance comparisons in the context of our incentive plans. In analyzing and setting our executive compensation program for 2025, the board of directors and the compensation committee, as applicable, compared certain aspects of our named executive officers’ compensation to the compensation levels included in this composite assessment. Based on the results of the assessment, the board of directors and the compensation committee, as applicable, determined that compensation levels for our named executive officers in 2025 generally reflected market competitive ranges while allowing for individual variation based on role, experience and performance.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1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base salary for our Chief Executive Officer is determined annually by the board of directors, upon recommendation by the compensation committee. Base salaries for our named executive officers other than our Chief Executive Officer are recommended by our Chief Executive Officer to the compensation committee for approval. Each such determination is based on the scope of each officer’s responsibilities along with his or her respective experience and contributions to the company during the prior year. When reviewing base salaries, the board of directors and compensation committee, as applicable, takes factors into account such as blended peer group and broader market data, market competitiveness, expected future contribution, experience, impact and individual performance, and internal parity relative to similar positions within the company, but does not assign any specific weighting to any factor.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base salaries for each of our named executive officers for the years 2024 and 2025, as approved by the board of directors and compensation committee, as applicable. Except as otherwise noted, the 2025 base salaries became effective on January 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6"/>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Merit Increase and</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Adjustment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1520" w:type="dxa"/>
            <w:vAlign w:val="bottom"/>
          </w:tcPr>
          <w:p>
            <w:pPr>
              <w:spacing w:after="0"/>
              <w:rPr>
                <w:sz w:val="14"/>
                <w:szCs w:val="14"/>
                <w:color w:val="auto"/>
              </w:rPr>
            </w:pPr>
          </w:p>
        </w:tc>
      </w:tr>
      <w:tr>
        <w:trPr>
          <w:trHeight w:val="176"/>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Base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Nature of</w:t>
            </w:r>
          </w:p>
        </w:tc>
      </w:tr>
      <w:tr>
        <w:trPr>
          <w:trHeight w:val="20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52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52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3"/>
        </w:trPr>
        <w:tc>
          <w:tcPr>
            <w:tcW w:w="3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Houston, Ph.D. (1)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684,005</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706,236</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98"/>
              </w:rPr>
              <w:t>Merit increase</w:t>
            </w:r>
          </w:p>
        </w:tc>
      </w:tr>
      <w:tr>
        <w:trPr>
          <w:trHeight w:val="27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Saik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542,063</w:t>
            </w:r>
          </w:p>
        </w:tc>
        <w:tc>
          <w:tcPr>
            <w:tcW w:w="100" w:type="dxa"/>
            <w:vAlign w:val="bottom"/>
          </w:tcPr>
          <w:p>
            <w:pPr>
              <w:spacing w:after="0"/>
              <w:rPr>
                <w:sz w:val="23"/>
                <w:szCs w:val="23"/>
                <w:color w:val="auto"/>
              </w:rPr>
            </w:pP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w w:val="98"/>
              </w:rPr>
              <w:t>Merit increase</w:t>
            </w:r>
          </w:p>
        </w:tc>
      </w:tr>
      <w:tr>
        <w:trPr>
          <w:trHeight w:val="27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Noah Berkowitz, M.D., Ph.D.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552,387</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98"/>
              </w:rPr>
              <w:t>Merit increase</w:t>
            </w:r>
          </w:p>
        </w:tc>
      </w:tr>
      <w:tr>
        <w:trPr>
          <w:trHeight w:val="27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Angela Cacace, Ph.D.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485,000</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500,763</w:t>
            </w:r>
          </w:p>
        </w:tc>
        <w:tc>
          <w:tcPr>
            <w:tcW w:w="100" w:type="dxa"/>
            <w:vAlign w:val="bottom"/>
          </w:tcPr>
          <w:p>
            <w:pPr>
              <w:spacing w:after="0"/>
              <w:rPr>
                <w:sz w:val="23"/>
                <w:szCs w:val="23"/>
                <w:color w:val="auto"/>
              </w:rPr>
            </w:pP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w w:val="98"/>
              </w:rPr>
              <w:t>Merit increase</w:t>
            </w:r>
          </w:p>
        </w:tc>
      </w:tr>
      <w:tr>
        <w:trPr>
          <w:trHeight w:val="270"/>
        </w:trPr>
        <w:tc>
          <w:tcPr>
            <w:tcW w:w="3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Ian Taylor, Ph.D. (2)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258,125</w:t>
            </w: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98"/>
              </w:rPr>
              <w:t>Merit increase</w:t>
            </w:r>
          </w:p>
        </w:tc>
      </w:tr>
    </w:tbl>
    <w:p>
      <w:pPr>
        <w:spacing w:after="0" w:line="319" w:lineRule="exact"/>
        <w:rPr>
          <w:sz w:val="20"/>
          <w:szCs w:val="20"/>
          <w:color w:val="auto"/>
        </w:rPr>
      </w:pPr>
    </w:p>
    <w:p>
      <w:pPr>
        <w:ind w:left="660" w:right="100" w:hanging="652"/>
        <w:spacing w:after="0" w:line="254" w:lineRule="auto"/>
        <w:tabs>
          <w:tab w:leader="none" w:pos="4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Houston resigned as President and Chief Executive Officer effective February 12, 2026. Dr. Houston remains a consultant and director with the Company. Randy Teel, Ph.D., previously our Chief Business Officer, was appointed as President and Chief Executive Officer effective February 12, 2026. Dr. Teel was not an executive officer for 2025. However, Dr. Teel’s annualized salary for 2025 in his role as Chief Business Officer was $500,763. In connection with Dr. Teel’s appointment as President and Chief Executive Officer, effective February 12, 2026, Dr. Teel’s annualized salary was approved at $680,000.</w:t>
      </w:r>
    </w:p>
    <w:p>
      <w:pPr>
        <w:spacing w:after="0" w:line="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Taylor resigned as President of R&amp;D effective June 6, 2025. Dr. Taylor remains a consultant with the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annual cash incentive program promotes and rewards our executive officers for the achievement of key business and strategic goals. Under this program, cash incentive awards are determined by multiplying each executive officer’s annualized base salary by a target annual bonus percentage and a corporate performance achievement factor established by our board of directors and compensation committee based on our performance as measured against our pre-established corporate goals. For the year ended December 31, 2025, the target annual bonus, as a percentage of base salary was 60% for Dr. Houston and 45% for each of Dr. Berkowitz, Dr. Cacace, Mr. Saik and Dr. Taylor.</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Dr. Houston resigned as President and Chief Executive Officer effective February 12, 2026. Dr. Houston then entered into a consulting agreement with us, pursuant to which, among other consideration, Dr. Houston was paid a lump sum of $457,000, on or about March 15, 2026, equivalent to the amount that Dr. Houston would have received as an employee for a 2025 bonus based on achievement of the Company’s 2025 corporate goals as approved by the Board, had he continued to be employed by the Company as President and Chief Executive Officer on the date of payment. Additionally, due to his resignation in June 2025, Dr. Taylor was not paid a 2025 bonus.</w:t>
      </w:r>
    </w:p>
    <w:p>
      <w:pPr>
        <w:spacing w:after="0" w:line="2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2025, Dr. Teel was our Chief Business Officer and was not an executive officer in 2025. Dr. Teel had an individual bonus target of 45% of his base salary until he was appointed as our President and Chief Executive Officer effective February 12, 2026, at which time his individual bonus target was increased to 60% of his base salary. Any bonus for Dr. Teel for 2026 that is approved by our board of directors will be prorated based on Dr. Teel’s actual base salary earned in 2026.</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board of directors and compensation committee, as applicable, set bonus targets for our named executive officers at the beginning of the year, upon hire, or upon promotion, as applicable, and determined that annual cash bonus opportunities were competitive with the market based primarily on data provided by Aon.</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During and following the last quarter of each year, our senior management team evaluates our company performance. Based on this evaluation, our Chief Executive Officer recommends to our compensation committee any cash awards for executives (other than himself) under our annual cash incentive program. Our compensation committee then carefully reviews overall corporate performance, as well as the Chief Executive Officer’s compensation. Our board of directors, upon the recommendation of our compensation committee, then further reviews our Chief Executive Officer’s compensation and evaluates our Chief Executive Officer’s contributions to our corporate performance. Our board of directors and compensation committee, as applicable, have the discretion to adjust the size of individual awards upward or downward based on company performance.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During 2025, the compensation committee and the board of directors established the corporate goals listed in the table below for the calendar year 2025, each overall goal having a designated weighting and relating to key development, strategic and business goals for the company. These goals were formulated in early 2025, refined following our VERITAC-2 Phase 3 clinical trial read out, and formally approved by the board of directors in June 2025.</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Chief Executive Officer and certain other members of senior management report to the compensation committee and the board of directors on our overall performance against these goals on a regular basis throughout the year. In addition, our compensation committee met with our then-Chief Executive Officer and certain other members of senior management as part of its annual compensation review and discussed our corporate performance in 2025 and a proposed corporate goal achievement score based on the company’s actual performance as calculated against the previously-established corporate goals. The then-Chief Executive Officer then proposed recommendations for cash incentive awards for each of our executive officers other than the then-Chief Executive Officer. Our board of directors then further evaluated the cash incentive award that would have been awarded to our then-Chief Executive Officer had he remained employed as President and Chief Executive Officer on the date of bonus payout. Because our overall corporate goals allow for some amount of subjective and qualitative assessment, the compensation committee and the board of directors engaged in a number of discussions, including with certain members of senior management, as to the appropriate scoring of the company’s performance against the previously-established corporate goals.</w:t>
      </w:r>
    </w:p>
    <w:p>
      <w:pPr>
        <w:spacing w:after="0" w:line="19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The following table sets forth our 2025 corporate goals and the level of achievement against those goals as determined by the compensation committee and the board of directors.</w:t>
      </w:r>
    </w:p>
    <w:tbl>
      <w:tblPr>
        <w:tblLayout w:type="fixed"/>
        <w:tblInd w:w="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 Level</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Calculated Weighting</w:t>
            </w:r>
          </w:p>
        </w:tc>
        <w:tc>
          <w:tcPr>
            <w:tcW w:w="0" w:type="dxa"/>
            <w:vAlign w:val="bottom"/>
          </w:tcPr>
          <w:p>
            <w:pPr>
              <w:spacing w:after="0"/>
              <w:rPr>
                <w:sz w:val="1"/>
                <w:szCs w:val="1"/>
                <w:color w:val="auto"/>
              </w:rPr>
            </w:pPr>
          </w:p>
        </w:tc>
      </w:tr>
      <w:tr>
        <w:trPr>
          <w:trHeight w:val="162"/>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2025 Goals</w:t>
            </w:r>
          </w:p>
        </w:tc>
        <w:tc>
          <w:tcPr>
            <w:tcW w:w="1540" w:type="dxa"/>
            <w:vAlign w:val="bottom"/>
            <w:gridSpan w:val="2"/>
            <w:vMerge w:val="continue"/>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Achievement</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680" w:type="dxa"/>
            <w:vAlign w:val="bottom"/>
            <w:gridSpan w:val="2"/>
            <w:vMerge w:val="continue"/>
          </w:tcPr>
          <w:p>
            <w:pPr>
              <w:spacing w:after="0"/>
              <w:rPr>
                <w:sz w:val="17"/>
                <w:szCs w:val="17"/>
                <w:color w:val="auto"/>
              </w:rPr>
            </w:pPr>
          </w:p>
        </w:tc>
        <w:tc>
          <w:tcPr>
            <w:tcW w:w="146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(Rounded %)</w:t>
            </w:r>
          </w:p>
        </w:tc>
        <w:tc>
          <w:tcPr>
            <w:tcW w:w="0" w:type="dxa"/>
            <w:vAlign w:val="bottom"/>
          </w:tcPr>
          <w:p>
            <w:pPr>
              <w:spacing w:after="0"/>
              <w:rPr>
                <w:sz w:val="1"/>
                <w:szCs w:val="1"/>
                <w:color w:val="auto"/>
              </w:rPr>
            </w:pPr>
          </w:p>
        </w:tc>
      </w:tr>
      <w:tr>
        <w:trPr>
          <w:trHeight w:val="23"/>
        </w:trPr>
        <w:tc>
          <w:tcPr>
            <w:tcW w:w="6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Advance Vepdegestrant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26" w:right="339" w:bottom="1440" w:gutter="0" w:footer="0" w:header="0"/>
        </w:sectPr>
      </w:pPr>
    </w:p>
    <w:p>
      <w:pPr>
        <w:ind w:left="680" w:right="220" w:hanging="330"/>
        <w:spacing w:after="0" w:line="298" w:lineRule="auto"/>
        <w:tabs>
          <w:tab w:leader="none" w:pos="67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VERITAC-2, our Phase 3 clinical trial with vepdegestrant, toward potential U.S. Food and Drug Administration approval of new drug application</w:t>
      </w:r>
    </w:p>
    <w:p>
      <w:pPr>
        <w:ind w:left="660" w:hanging="31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potential U.S. commercial launch</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Advance the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25</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61"/>
        </w:trPr>
        <w:tc>
          <w:tcPr>
            <w:tcW w:w="8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15</w:t>
            </w: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8"/>
        </w:trPr>
        <w:tc>
          <w:tcPr>
            <w:tcW w:w="8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40</w:t>
            </w: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9" w:lineRule="exact"/>
        <w:rPr>
          <w:sz w:val="20"/>
          <w:szCs w:val="20"/>
          <w:color w:val="auto"/>
        </w:rPr>
      </w:pPr>
    </w:p>
    <w:p>
      <w:pPr>
        <w:sectPr>
          <w:pgSz w:w="11900" w:h="16838" w:orient="portrait"/>
          <w:cols w:equalWidth="0" w:num="2">
            <w:col w:w="6600" w:space="720"/>
            <w:col w:w="392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Goal related to ARV-393</w:t>
            </w: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(BCL6) Phase 1 clinical trial progress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r>
      <w:tr>
        <w:trPr>
          <w:trHeight w:val="270"/>
        </w:trPr>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Goal related to ARV-102</w:t>
            </w: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(LRRK2) clinical trial progress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r>
      <w:tr>
        <w:trPr>
          <w:trHeight w:val="270"/>
        </w:trPr>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Goal related to ARV-806</w:t>
            </w: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(KRAS G12D) Phase 1 clinical trial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17.5</w:t>
            </w:r>
          </w:p>
        </w:tc>
      </w:tr>
      <w:tr>
        <w:trPr>
          <w:trHeight w:val="270"/>
        </w:trPr>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Goal related to advancing new assets toward first-in-human clinical trials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r>
        <w:trPr>
          <w:trHeight w:val="270"/>
        </w:trPr>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Goal related to clinical candidate nomination target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r>
        <w:trPr>
          <w:trHeight w:val="27"/>
        </w:trPr>
        <w:tc>
          <w:tcPr>
            <w:tcW w:w="24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Achieve Corporate Objective(s)</w:t>
            </w:r>
          </w:p>
        </w:tc>
        <w:tc>
          <w:tcPr>
            <w:tcW w:w="414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3"/>
        </w:trPr>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Achieve cash runway goal</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24.0</w:t>
            </w:r>
          </w:p>
        </w:tc>
      </w:tr>
      <w:tr>
        <w:trPr>
          <w:trHeight w:val="27"/>
        </w:trPr>
        <w:tc>
          <w:tcPr>
            <w:tcW w:w="24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part of its evaluation of our corporate performance, our compensation committee and our board of directors noted various performance outcomes, including the 2025 achievement outcomes noted below, which included certain upside considerations supporting actual level of achievement over 100%, during 2025. The maximum achievement amount for any goal was 175%, but such maximum payout amounts were calibrated to be rigorous, based on exceptional goal achievement.</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Based on our overall performance during 2025 against these goals, our compensation committee and our board of directors determined that our overall corporate goals had been achieved at a level of 112.0%. However, as part of our overall commitment to our employees, we funded a special bonus pool of 4.0% from the overall bonus pool of 112.0%. As such, the bonuses awarded to all employees, including our named executive officers, for 2025 are based on a corporate goal achievement level of 108.0% and a portion of our employee population that contributed significantly to the company in 2025 received additional bonus amounts. This special bonus pool is reserved for non-executive employees. For the avoidance of doubt, for purposes of calculating annual bonuses for our named executive officers, bonuses were based on achievement of corporate goals at a level of 108.0%.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2025 Achievement Outcomes: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Vepdegestrant</w:t>
      </w:r>
    </w:p>
    <w:p>
      <w:pPr>
        <w:spacing w:after="0" w:line="229" w:lineRule="exact"/>
        <w:rPr>
          <w:rFonts w:ascii="Times New Roman" w:cs="Times New Roman" w:eastAsia="Times New Roman" w:hAnsi="Times New Roman"/>
          <w:sz w:val="18"/>
          <w:szCs w:val="18"/>
          <w:color w:val="auto"/>
        </w:rPr>
      </w:pPr>
    </w:p>
    <w:p>
      <w:pPr>
        <w:ind w:left="1300" w:right="540" w:hanging="320"/>
        <w:spacing w:after="0" w:line="266"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that the FDA accepted our NDA for vepdegestrant, our most advanced product candidate from the platform, for the treatment of patients with ER+/HER2-, ESR1-mutated advanced or metastatic breast cancer who have previously received endocrine-based therapy, and assigned a PDUFA action date of June 5, 2026.</w:t>
      </w:r>
    </w:p>
    <w:p>
      <w:pPr>
        <w:spacing w:after="0" w:line="175" w:lineRule="exact"/>
        <w:rPr>
          <w:rFonts w:ascii="Times New Roman" w:cs="Times New Roman" w:eastAsia="Times New Roman" w:hAnsi="Times New Roman"/>
          <w:sz w:val="18"/>
          <w:szCs w:val="18"/>
          <w:color w:val="auto"/>
        </w:rPr>
      </w:pPr>
    </w:p>
    <w:p>
      <w:pPr>
        <w:ind w:left="1300" w:hanging="320"/>
        <w:spacing w:after="0" w:line="266"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our goal related to U.S. commercial readiness preparation, including certain payer organization and medical stakeholder engagement. In the third quarter of 2025, we announced that we and Pfizer have agreed to jointly identify and select a third party for the commercialization and potential future development of vepdegestrant.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the Pipeline</w:t>
      </w:r>
    </w:p>
    <w:p>
      <w:pPr>
        <w:spacing w:after="0" w:line="121" w:lineRule="exact"/>
        <w:rPr>
          <w:rFonts w:ascii="Times New Roman" w:cs="Times New Roman" w:eastAsia="Times New Roman" w:hAnsi="Times New Roman"/>
          <w:sz w:val="18"/>
          <w:szCs w:val="18"/>
          <w:b w:val="1"/>
          <w:bCs w:val="1"/>
          <w:color w:val="auto"/>
        </w:rPr>
      </w:pPr>
    </w:p>
    <w:p>
      <w:pPr>
        <w:ind w:left="1300" w:right="120" w:hanging="320"/>
        <w:spacing w:after="0" w:line="261"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enrollment in the SAD cohort of the ARV-102 Phase 1 clinical trial in patients with PD in the second quarter of 2025. We received Clinical Trial Application approval in the Netherlands to initiate a multiple dose cohort of the Phase 1 clinical trial in patients with PD in the second quarter of 2025, and we initiated this multiple dose cohort in the third quarter of 2025. In the fourth quarter of 2025, we completed enrollment in the multiple dose cohort.</w:t>
      </w:r>
    </w:p>
    <w:p>
      <w:pPr>
        <w:spacing w:after="0" w:line="7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filed an investigational new drug application, or IND, with the FDA for ARV-806 in the first quarter of 2025 and received a safe-to-proceed letter from the FDA in the second quarter of 2025. We initiated enrollment in a Phase 1 clinical trial of ARV-806 in patients with advanced solid tumors harboring KRAS G12D mutations in the second quarter of 2025 and this trial is currently ongoing.</w:t>
      </w:r>
    </w:p>
    <w:p>
      <w:pPr>
        <w:spacing w:after="0" w:line="67" w:lineRule="exact"/>
        <w:rPr>
          <w:rFonts w:ascii="Times New Roman" w:cs="Times New Roman" w:eastAsia="Times New Roman" w:hAnsi="Times New Roman"/>
          <w:sz w:val="18"/>
          <w:szCs w:val="18"/>
          <w:color w:val="auto"/>
        </w:rPr>
      </w:pPr>
    </w:p>
    <w:p>
      <w:pPr>
        <w:ind w:left="1300" w:right="400" w:hanging="320"/>
        <w:spacing w:after="0" w:line="312" w:lineRule="auto"/>
        <w:tabs>
          <w:tab w:leader="none" w:pos="129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continued dose escalation in the Phase 1 clinical trial of ARV-393 in patients with NHL and announced there have been multiple responses in early cohorts at doses below the predicted effective exposure level in patients with both B-and T-cell lymphomas.</w:t>
      </w:r>
    </w:p>
    <w:p>
      <w:pPr>
        <w:spacing w:after="0" w:line="31" w:lineRule="exact"/>
        <w:rPr>
          <w:rFonts w:ascii="Times New Roman" w:cs="Times New Roman" w:eastAsia="Times New Roman" w:hAnsi="Times New Roman"/>
          <w:sz w:val="17"/>
          <w:szCs w:val="17"/>
          <w:color w:val="auto"/>
        </w:rPr>
      </w:pPr>
    </w:p>
    <w:p>
      <w:pPr>
        <w:ind w:left="1300" w:right="20" w:hanging="320"/>
        <w:spacing w:after="0" w:line="282"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submitted a clinical trial application for ARV-027 in the fourth quarter of 2025 and have now initiated a Phase 1 clinical trial of ARV-027.</w:t>
      </w:r>
    </w:p>
    <w:p>
      <w:pPr>
        <w:spacing w:after="0" w:line="53" w:lineRule="exact"/>
        <w:rPr>
          <w:rFonts w:ascii="Times New Roman" w:cs="Times New Roman" w:eastAsia="Times New Roman" w:hAnsi="Times New Roman"/>
          <w:sz w:val="18"/>
          <w:szCs w:val="18"/>
          <w:color w:val="auto"/>
        </w:rPr>
      </w:pPr>
    </w:p>
    <w:p>
      <w:pPr>
        <w:ind w:left="1300" w:right="560" w:hanging="320"/>
        <w:spacing w:after="0" w:line="282"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2025, we publicly announced a new preclinical candidate, ARV-6723, and presented preclinical data at the Society for Immunotherapy of Cancer Annual Meeting.</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Achieve Corporate Objective(s)</w:t>
      </w:r>
    </w:p>
    <w:p>
      <w:pPr>
        <w:spacing w:after="0" w:line="53" w:lineRule="exact"/>
        <w:rPr>
          <w:rFonts w:ascii="Times New Roman" w:cs="Times New Roman" w:eastAsia="Times New Roman" w:hAnsi="Times New Roman"/>
          <w:sz w:val="18"/>
          <w:szCs w:val="18"/>
          <w:color w:val="auto"/>
        </w:rPr>
      </w:pPr>
    </w:p>
    <w:p>
      <w:pPr>
        <w:ind w:left="1300" w:right="100" w:hanging="320"/>
        <w:spacing w:after="0" w:line="239" w:lineRule="auto"/>
        <w:tabs>
          <w:tab w:leader="none" w:pos="1296" w:val="left"/>
        </w:tabs>
        <w:numPr>
          <w:ilvl w:val="1"/>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As reported in our Annual Report on Form 10-K for the year ended December 31, 2025, we believe our cash, cash equivalents and marketable securities will enable us to fund our planned operating expenses and capital expenditure requirements into the second half of 2028.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annual cash bonuses for each of our named executive officers for 2025, as approved by our board of directors and compensation committee, as applicable, which were based on the 108.0% achievement of our previously-established corporate goals, as described above.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2025 Annualized</w:t>
            </w: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2025 Target Bonus</w:t>
            </w: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2025 Target Bonus</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4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 Actual</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20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4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 (3)</w:t>
            </w:r>
          </w:p>
        </w:tc>
        <w:tc>
          <w:tcPr>
            <w:tcW w:w="0" w:type="dxa"/>
            <w:vAlign w:val="bottom"/>
          </w:tcPr>
          <w:p>
            <w:pPr>
              <w:spacing w:after="0"/>
              <w:rPr>
                <w:sz w:val="1"/>
                <w:szCs w:val="1"/>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Houston, Ph.D. (1) (3)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457,000</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Saik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243,928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263,500</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Noah Berkowitz, M.D., Ph.D.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268,500</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Angela Cacace, Ph.D.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243,400</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Ian Taylor, Ph.D. (2)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258,125</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116,156</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right="60" w:hanging="652"/>
        <w:spacing w:after="0" w:line="258" w:lineRule="auto"/>
        <w:tabs>
          <w:tab w:leader="none" w:pos="40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Houston resigned as President and Chief Executive Officer effective February 12, 2026. As such, Dr. Houston was not employed at the time of bonus payout. However, our board of directors approved Dr. Houston’s consulting agreement on February 11, 2026, to be effective February 12, 2026, which included payment of $457,000, which was equivalent to the amount that Dr. Houston would have received as an employee for a 2025 bonus based on achievement of our 2025 corporate goals as approved by our board of directors, had he continued to be employed by us as President and Chief Executive Officer on the date of payment.</w:t>
      </w:r>
    </w:p>
    <w:p>
      <w:pPr>
        <w:spacing w:after="0" w:line="75" w:lineRule="exact"/>
        <w:rPr>
          <w:rFonts w:ascii="Times New Roman" w:cs="Times New Roman" w:eastAsia="Times New Roman" w:hAnsi="Times New Roman"/>
          <w:sz w:val="18"/>
          <w:szCs w:val="18"/>
          <w:color w:val="auto"/>
        </w:rPr>
      </w:pPr>
    </w:p>
    <w:p>
      <w:pPr>
        <w:ind w:left="660" w:right="540" w:hanging="652"/>
        <w:spacing w:after="0" w:line="282" w:lineRule="auto"/>
        <w:tabs>
          <w:tab w:leader="none" w:pos="40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Taylor resigned as President of R&amp;D effective June 6, 2025. As such, Dr. Taylor’s salary was prorated until that date and Dr. Taylor did not receive a 2025 bonus. Dr. Taylor remains a consultant with the Company.</w:t>
      </w:r>
    </w:p>
    <w:p>
      <w:pPr>
        <w:spacing w:after="0" w:line="53"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40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Teel was not an executive officer for 2025. As our Chief Business Officer in 2025, Dr. Teel had a 2025 annualized base salary of $500,763 and an individual bonus target of 45% of his base salary. As such, Dr. Teel received an actual bonus of $243,400 for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awards program is designed to:</w:t>
      </w:r>
    </w:p>
    <w:p>
      <w:pPr>
        <w:spacing w:after="0" w:line="117" w:lineRule="exact"/>
        <w:rPr>
          <w:sz w:val="20"/>
          <w:szCs w:val="20"/>
          <w:color w:val="auto"/>
        </w:rPr>
      </w:pPr>
    </w:p>
    <w:p>
      <w:pPr>
        <w:ind w:left="2100" w:hanging="634"/>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demonstrated leadership and performance;</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 officers’ interests with those of our stockholders;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executive officers at least through the term of the awards;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competitive levels of executive compensation; and</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for outstanding future performance.</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market for qualified and talented executives in the biopharmaceutical industry is highly competitive and we compete for talent with many companies that have greater resources than we do. Accordingly, we believe equity compensation is a crucial component of any competitive executive compensation package we offer.</w:t>
      </w:r>
    </w:p>
    <w:p>
      <w:pPr>
        <w:spacing w:after="0" w:line="176"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Our compensation committee approved annual equity incentive awards to our named executive officers for 2025 that were evenly split between Options and RSUs, in order to align our executives’ interests with those of our stockholders and to support both performance and retention objectives. The compensation committee believes this mix appropriately balances several key considerations: Options deliver value only if our stock price appreciates after the grant date and therefore directly tie a significant portion of executive compensation to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stock price performance and stockholder value creation, while RSUs provide a more stable, predictable form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equity compensation that the compensation committee views as important for retention in a competitive talent market and for maintaining leadership continuity during periods of stock price volatility. The compensation committee also believes that combining Options and RSUs helps avoid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emphasizing either upside leverage or guaranteed value, thereby encouraging executives to pursue sustainable,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creation while appropriately managing risk. In approving this mix, the compensation committee considered market data for our compensation peer group, and input from Aon, and determined that allocating awards equally between Options and RSUs is consistent with competitive market practice and supports our objective of providing a total compensation opportunity that is appropriately positioned relative to peers. The compensation committee will continue to review the equity mix annually and may adjust the balance among Options, RSUs and other equity vehicles in future years to reflect our strategic priorities, stockholder feedback, market practice and the broader business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in May 2025, the compensation committee also approved one-time, non-recurring, special equity awards - Options and/or RSUs - to certain employees, including the named executive officers, other than Dr. Houston and Dr. Taylor, for retentive purposes following investor reaction to our VERITAC-2 Phase 3 top line data read out, and workforce reduction associated therewith. These awards are discussed in greater detail below.</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typically make equity award grants to each of our executive officers upon commencement of employment, annually in conjunction with our review of executive compensation, in connection with a promotion, and from time-to-time as a special incentive.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equity awards to our executive officers are approved by our compensation committee and, other than equity awards to new hires, promotions, or other special equity grants, are typically granted by our compensation committee in the first quarter of the year. The size of equity awards varies among our executive officers based on their positions and annual performance assessments. All Options granted to our executive officers have exercise prices equal to the fair market value of our Common Stock on the date of grant, so that the recipient will not realize any value from his or her Options unless our share price increases above the exercise price on the date of grant. Accordingly, this portion of our executive officers’ compensation is at risk and is directly aligned with stockholder value creation.</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Other than in 2024 when our board of directors approved a special two-year vesting schedule for 2024 annual equity grants and promotional equity grants, annual and promotional equity grants to our executive officers have historically vested over four years, which we believe provides an incentive to our executives to add value over the long-term and to remain with our company. In 2025, the Options we granted to our executives as annual grants have a ten-year term and vest as to 25% of the shares on the first anniversary of their grant date and then in equal monthly installments thereafter until the fourth anniversary of such date, and RSU awards we granted to our executives as annual grants vest as to 25% of the shares on the first four anniversaries of their grant.</w:t>
      </w:r>
    </w:p>
    <w:p>
      <w:pPr>
        <w:spacing w:after="0" w:line="201" w:lineRule="exact"/>
        <w:rPr>
          <w:sz w:val="20"/>
          <w:szCs w:val="20"/>
          <w:color w:val="auto"/>
        </w:rPr>
      </w:pPr>
    </w:p>
    <w:p>
      <w:pPr>
        <w:ind w:right="280"/>
        <w:spacing w:after="0" w:line="207" w:lineRule="exact"/>
        <w:rPr>
          <w:sz w:val="20"/>
          <w:szCs w:val="20"/>
          <w:color w:val="auto"/>
        </w:rPr>
      </w:pPr>
      <w:r>
        <w:rPr>
          <w:rFonts w:ascii="Times New Roman" w:cs="Times New Roman" w:eastAsia="Times New Roman" w:hAnsi="Times New Roman"/>
          <w:sz w:val="17"/>
          <w:szCs w:val="17"/>
          <w:color w:val="auto"/>
        </w:rPr>
        <w:t>As noted above, in May 2025, in light of a competitive talent market and to support employee retention following investor reaction to our VERITAC-2 Phase 3 top line data read out, and workforce reduction associated therewith, as well as to support the achievement of anticipated near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strategic milestones, including submission of our NDA to the FDA, the PDUFA date for vepdegestrant, and other earlier stage program milestones, our compensation committee approved one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special grants of Options and/or RSUs to certain employees, including our named executive officers, other than Dr. Houston and Dr. Taylor. These special grants are subject to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vesting and are not intended to be recurring. These equity awards were granted based on criticality of individuals and retentive need. Employees who were granted this special award with a title below Vice President received RSUs only, and employees who were granted this special award with a title of Vice President and above were granted equity as 50% Options and 50%</w:t>
      </w:r>
    </w:p>
    <w:p>
      <w:pPr>
        <w:spacing w:after="0" w:line="1" w:lineRule="exact"/>
        <w:rPr>
          <w:sz w:val="20"/>
          <w:szCs w:val="20"/>
          <w:color w:val="auto"/>
        </w:rPr>
      </w:pPr>
    </w:p>
    <w:p>
      <w:pPr>
        <w:jc w:val="both"/>
        <w:ind w:right="500"/>
        <w:spacing w:after="0" w:line="247" w:lineRule="auto"/>
        <w:rPr>
          <w:sz w:val="20"/>
          <w:szCs w:val="20"/>
          <w:color w:val="auto"/>
        </w:rPr>
      </w:pPr>
      <w:r>
        <w:rPr>
          <w:rFonts w:ascii="Times New Roman" w:cs="Times New Roman" w:eastAsia="Times New Roman" w:hAnsi="Times New Roman"/>
          <w:sz w:val="18"/>
          <w:szCs w:val="18"/>
          <w:color w:val="auto"/>
        </w:rPr>
        <w:t>RSUs. The special Option and RSU grants vest over two years, with 50% vesting on each of the first and second anniversaries of the grant date. The compensation committee believed that these one-time, non-recurring, special equity grants with two-year vesting were appropriate given our stage of development, strategic corporate decisions made in 2025, and the importance of the Company’s goals and potential milestones in the coming years.</w:t>
      </w:r>
    </w:p>
    <w:p>
      <w:pPr>
        <w:spacing w:after="0" w:line="19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For grants made under our 2018 Plan, vesting of equity granted to employees typically ceases upon termination of employment and Option exercise rights cease three months following termination of employment, except in the case of death or disability. Prior to the exercise of an Option, or settlement of an RSU, the Option or RSU holder, as applicable, does not have any rights as a stockholder with respect to the shares subject to such Option or RSU, as applicable, including voting rights or the right to receive dividends or dividend equivalents.</w:t>
      </w:r>
    </w:p>
    <w:p>
      <w:pPr>
        <w:spacing w:after="0" w:line="19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equity previously granted to Dr. Houston in his capacity as an employee will continue to vest pursuant to the terms of the 2018 Plan and the terms of his applicable Option or RSU agreements, for the duration of his service as a consultant and/or a director.</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equity previously granted to Dr. Taylor in his capacity as an employee will continue to vest pursuant to the terms of the 2018 Plan and the terms of his applicable Option or RSU agreements, for the duration of his service as a consultant.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annual review of each executive officer’s individual performance and consistent with our compensation philosophy, based on a long-term incentive value in line with our 30-day stock price and Black Scholes percentage, in February 2025, our compensation committee approved annual equity incentive awards for our named executive officers. The number of Options awarded and RSUs to each named executive officer was based on the 30-day average stock price of our common stock on the Nasdaq Global Select Market as of January 3, 2025, which was of $20.37, and Black Scholes percentage of 65.5% of face value. The exercise price for each of these Options was $17.67, which was equal to the closing price of our common stock on the Nasdaq Global Select Market on the date of grant.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incentive awards granted to our named executive officers in 2025 are set forth in the table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Grants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60" w:type="dxa"/>
            <w:vAlign w:val="bottom"/>
            <w:gridSpan w:val="3"/>
            <w:vMerge w:val="continue"/>
          </w:tcPr>
          <w:p>
            <w:pPr>
              <w:spacing w:after="0"/>
              <w:rPr>
                <w:sz w:val="16"/>
                <w:szCs w:val="16"/>
                <w:color w:val="auto"/>
              </w:rPr>
            </w:pPr>
          </w:p>
        </w:tc>
        <w:tc>
          <w:tcPr>
            <w:tcW w:w="1440" w:type="dxa"/>
            <w:vAlign w:val="bottom"/>
            <w:gridSpan w:val="2"/>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 (2)</w:t>
            </w:r>
          </w:p>
        </w:tc>
        <w:tc>
          <w:tcPr>
            <w:tcW w:w="100" w:type="dxa"/>
            <w:vAlign w:val="bottom"/>
          </w:tcPr>
          <w:p>
            <w:pPr>
              <w:spacing w:after="0"/>
              <w:rPr>
                <w:sz w:val="16"/>
                <w:szCs w:val="16"/>
                <w:color w:val="auto"/>
              </w:rPr>
            </w:pPr>
          </w:p>
        </w:tc>
        <w:tc>
          <w:tcPr>
            <w:tcW w:w="14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 (2)</w:t>
            </w:r>
          </w:p>
        </w:tc>
        <w:tc>
          <w:tcPr>
            <w:tcW w:w="0" w:type="dxa"/>
            <w:vAlign w:val="bottom"/>
          </w:tcPr>
          <w:p>
            <w:pPr>
              <w:spacing w:after="0"/>
              <w:rPr>
                <w:sz w:val="1"/>
                <w:szCs w:val="1"/>
                <w:color w:val="auto"/>
              </w:rPr>
            </w:pPr>
          </w:p>
        </w:tc>
      </w:tr>
      <w:tr>
        <w:trPr>
          <w:trHeight w:val="37"/>
        </w:trPr>
        <w:tc>
          <w:tcPr>
            <w:tcW w:w="50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Houston, Ph.D. (1)</w:t>
            </w:r>
          </w:p>
        </w:tc>
        <w:tc>
          <w:tcPr>
            <w:tcW w:w="1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232,000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2,671,051</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2,685,840</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Andrew Saik (1)</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74,960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863,026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867,456</w:t>
            </w:r>
          </w:p>
        </w:tc>
        <w:tc>
          <w:tcPr>
            <w:tcW w:w="0" w:type="dxa"/>
            <w:vAlign w:val="bottom"/>
          </w:tcPr>
          <w:p>
            <w:pPr>
              <w:spacing w:after="0"/>
              <w:rPr>
                <w:sz w:val="1"/>
                <w:szCs w:val="1"/>
                <w:color w:val="auto"/>
              </w:rPr>
            </w:pPr>
          </w:p>
        </w:tc>
      </w:tr>
      <w:tr>
        <w:trPr>
          <w:trHeight w:val="22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Noah Berkowitz, M.D., Ph.D. (1)</w:t>
            </w:r>
          </w:p>
        </w:tc>
        <w:tc>
          <w:tcPr>
            <w:tcW w:w="1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84,330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970,904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975,896</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Angela Cacace, Ph.D. (1)</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74,960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863,026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867,456</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Ian Taylor, Ph.D. (1)</w:t>
            </w:r>
          </w:p>
        </w:tc>
        <w:tc>
          <w:tcPr>
            <w:tcW w:w="144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31,483</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362,468</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364,338</w:t>
            </w:r>
          </w:p>
        </w:tc>
        <w:tc>
          <w:tcPr>
            <w:tcW w:w="0" w:type="dxa"/>
            <w:vAlign w:val="bottom"/>
          </w:tcPr>
          <w:p>
            <w:pPr>
              <w:spacing w:after="0"/>
              <w:rPr>
                <w:sz w:val="1"/>
                <w:szCs w:val="1"/>
                <w:color w:val="auto"/>
              </w:rPr>
            </w:pPr>
          </w:p>
        </w:tc>
      </w:tr>
      <w:tr>
        <w:trPr>
          <w:trHeight w:val="520"/>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Special One-Time Retention Grants</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60" w:type="dxa"/>
            <w:vAlign w:val="bottom"/>
            <w:gridSpan w:val="3"/>
            <w:vMerge w:val="continue"/>
          </w:tcPr>
          <w:p>
            <w:pPr>
              <w:spacing w:after="0"/>
              <w:rPr>
                <w:sz w:val="16"/>
                <w:szCs w:val="16"/>
                <w:color w:val="auto"/>
              </w:rPr>
            </w:pPr>
          </w:p>
        </w:tc>
        <w:tc>
          <w:tcPr>
            <w:tcW w:w="1440" w:type="dxa"/>
            <w:vAlign w:val="bottom"/>
            <w:gridSpan w:val="2"/>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(2)</w:t>
            </w:r>
          </w:p>
        </w:tc>
        <w:tc>
          <w:tcPr>
            <w:tcW w:w="100" w:type="dxa"/>
            <w:vAlign w:val="bottom"/>
          </w:tcPr>
          <w:p>
            <w:pPr>
              <w:spacing w:after="0"/>
              <w:rPr>
                <w:sz w:val="16"/>
                <w:szCs w:val="16"/>
                <w:color w:val="auto"/>
              </w:rPr>
            </w:pPr>
          </w:p>
        </w:tc>
        <w:tc>
          <w:tcPr>
            <w:tcW w:w="14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 (2)</w:t>
            </w:r>
          </w:p>
        </w:tc>
        <w:tc>
          <w:tcPr>
            <w:tcW w:w="0" w:type="dxa"/>
            <w:vAlign w:val="bottom"/>
          </w:tcPr>
          <w:p>
            <w:pPr>
              <w:spacing w:after="0"/>
              <w:rPr>
                <w:sz w:val="1"/>
                <w:szCs w:val="1"/>
                <w:color w:val="auto"/>
              </w:rPr>
            </w:pPr>
          </w:p>
        </w:tc>
      </w:tr>
      <w:tr>
        <w:trPr>
          <w:trHeight w:val="37"/>
        </w:trPr>
        <w:tc>
          <w:tcPr>
            <w:tcW w:w="50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Saik (3)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393,956</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Noah Berkowitz, M.D., Ph.D. (3)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418,313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393,956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Angela Cacace, Ph.D. (3)</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418,313</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100" w:hanging="652"/>
        <w:spacing w:after="0" w:line="256" w:lineRule="auto"/>
        <w:tabs>
          <w:tab w:leader="none" w:pos="4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annual equity grants made on February 13, 2025. The Options vest over four years, with 25% of the shares underlying the Option vesting on the first anniversary of the grant date and the remainder vesting in 36 equal monthly installments thereafter. The RSU awards vest over four years with 25% of the shares underlying the award vesting on each of the first four anniversaries of the grant date. The exercise price for these Options was $17.67 which was equal to the closing price of our Common Stock on The Nasdaq Global Select Market on the date of grant. Dr. Houston resigned as President and Chief Executive Officer effective February 12, 2026. Dr. Taylor resigned as President of R&amp;D effective June 6, 2025. Dr. Taylor remains a consultant with the Company.</w:t>
      </w:r>
    </w:p>
    <w:p>
      <w:pPr>
        <w:spacing w:after="0" w:line="79" w:lineRule="exact"/>
        <w:rPr>
          <w:rFonts w:ascii="Times New Roman" w:cs="Times New Roman" w:eastAsia="Times New Roman" w:hAnsi="Times New Roman"/>
          <w:sz w:val="18"/>
          <w:szCs w:val="18"/>
          <w:color w:val="auto"/>
        </w:rPr>
      </w:pPr>
    </w:p>
    <w:p>
      <w:pPr>
        <w:ind w:left="660" w:right="340" w:hanging="652"/>
        <w:spacing w:after="0" w:line="266" w:lineRule="auto"/>
        <w:tabs>
          <w:tab w:leader="none" w:pos="4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aggregate grant date fair value of Options and RSUs calculated in accordance with the provisions of Financial Accounting Standards Board Accounting Standard Codification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See Note 9 to our audited consolidated financial statements appearing in our 2025 Annual Report for assumptions underlying the valuation of equity awards.</w:t>
      </w:r>
    </w:p>
    <w:p>
      <w:pPr>
        <w:spacing w:after="0" w:line="67"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4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one-time, non-recurring, special equity grants made on May 9, 2025. The Options and RSUs vest over two years with one-half of the shares underlying the awards vesting on each of May 9, 2026 and May 9, 2027. The exercise price for these Options was $6.61 which was equal to the closing price of our Common Stock on The Nasdaq Global Select Market on the date of grant.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Other compensation to our executives consists primarily of the broad-based benefits we provide to all full-time employees in the United States, including medical, dental and vision insurance, health spending accounts, short and long-term disability, accidental death and dismemberment, and life insurance, an employee stock purchase plan and a 401(k) plan. Pursuant to our 2018 employee stock purchase plan, or 2018 ESPP, employees, including our named executive officers, have an opportunity to purchase our Common Stock at a discount on a tax-qualified basis through payroll deductions. The 2018 ESPP is designed to qualify as an “employee stock purchase plan” under Section 423 of the Internal Revenue Code. The purpose of the 2018 ESPP is to encourage our employees, including our named executive officers, to become our stockholders and better align their interests with those of our other stockholders. For information regarding our 2018 Plan and 2018 ESPP, see “Stock Incentive Plans.”</w:t>
      </w:r>
    </w:p>
    <w:p>
      <w:pPr>
        <w:spacing w:after="0" w:line="21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make discretionary matching contributions and other employer contributions on behalf of eligible employees under our 401(k) plan. For fiscal year 2025, we matched a portion of eligible employee contributions equal to 100% of the first 4% of eligible contributions pursuant to our 401(k) plan’s matching formula.</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named executive officers, except in situations where we believe it is appropriate to assist an individual in the performance of the executive’s duties, to make the executive more efficient and effective, and for recruitment and retention purposes. None of our named executive officers received perquisites or other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personal benefits with an aggregate value of $10,000 or more in 2025. All future practices with respect to perquisites or other personal benefits will be approved and subject to periodic review by our compensation committee.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our compensation committee generally considers the tax and accounting implications of its executive compensation decisions, neither element was a material consideration in the compensation awarded to our named executive officers in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Practices and Risk</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part of its responsibilities, the compensation committee annually reviews the impact of our executive compensation program and the associated incentives to determine whether they present a significant risk to us. The compensation committee has concluded, based on its reviews and analysis of our compensation policies and procedures, that such policies and procedures are not reasonably likely to have a material adverse effect on us. In making this determination, our compensation committee considered the following:</w:t>
      </w:r>
    </w:p>
    <w:p>
      <w:pPr>
        <w:spacing w:after="0" w:line="72" w:lineRule="exact"/>
        <w:rPr>
          <w:sz w:val="20"/>
          <w:szCs w:val="20"/>
          <w:color w:val="auto"/>
        </w:rPr>
      </w:pPr>
    </w:p>
    <w:p>
      <w:pPr>
        <w:ind w:left="820" w:right="780" w:hanging="32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different types of compensation vehicles provides a balance of long-term and short-term incentives with fixed and variable components;</w:t>
      </w:r>
    </w:p>
    <w:p>
      <w:pPr>
        <w:spacing w:after="0" w:line="53"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grant of equity-based awards with time-based vesting, which encourage our named executive officers to look to long-term appreciation in equity values;</w:t>
      </w:r>
    </w:p>
    <w:p>
      <w:pPr>
        <w:spacing w:after="0" w:line="53"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bonus determinations for each employee are dependent on the achievement of company goals, which we believe promote long-term value;</w:t>
      </w:r>
    </w:p>
    <w:p>
      <w:pPr>
        <w:spacing w:after="0" w:line="53"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committee’s ability to exercise discretion in determining cash bonus payouts and long-term incentive awards for executive officers other than the Chief Executive Officer;</w:t>
      </w:r>
    </w:p>
    <w:p>
      <w:pPr>
        <w:spacing w:after="0" w:line="53"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 of internal control over financial reporting and Code of Conduct, among other things, reduce the likelihood of manipulation of our financial performance to enhance payments under any of our incentive plans;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prohibition on hedging or, subject to very limited exceptions, pledging of company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Other Policies and Practices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Highlighted policies and practices that we use to ensure effective governance of compensation plans and decisions include:</w:t>
      </w:r>
    </w:p>
    <w:p>
      <w:pPr>
        <w:spacing w:after="0" w:line="117" w:lineRule="exact"/>
        <w:rPr>
          <w:sz w:val="20"/>
          <w:szCs w:val="20"/>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has the authority to hire independent counsel and other advisors;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conducts a regular review and assessment of risk as it relates to our compensation policies and practices;</w:t>
      </w:r>
    </w:p>
    <w:p>
      <w:pPr>
        <w:spacing w:after="0" w:line="117" w:lineRule="exact"/>
        <w:rPr>
          <w:rFonts w:ascii="Times New Roman" w:cs="Times New Roman" w:eastAsia="Times New Roman" w:hAnsi="Times New Roman"/>
          <w:sz w:val="18"/>
          <w:szCs w:val="18"/>
          <w:color w:val="auto"/>
        </w:rPr>
      </w:pPr>
    </w:p>
    <w:p>
      <w:pPr>
        <w:ind w:left="820" w:right="320" w:hanging="326"/>
        <w:spacing w:after="0" w:line="266"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Insider Trading Policy, our executive officers are prohibited from engaging in any hedging transactions of our common stock, including using prepaid variable forward contracts, equity swaps, collars, and exchange funds, or, subject to very limited exceptions, from pledging our common stock;</w:t>
      </w:r>
    </w:p>
    <w:p>
      <w:pPr>
        <w:spacing w:after="0" w:line="6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perquisites other than broad-based health, relocation, 401(k) plan and insurance-related benefits that we make available to all of our employees;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Plan prohibits option repricing (absent stockholder approval) and option backdating;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employment agreements do not provide for tax gross-ups;</w:t>
      </w:r>
    </w:p>
    <w:p>
      <w:pPr>
        <w:spacing w:after="0" w:line="117"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non-employee directors, other than Dr. Houston (our former President and Chief Executive Officer), are independent, including all members of our compensation committee; and</w:t>
      </w:r>
    </w:p>
    <w:p>
      <w:pPr>
        <w:spacing w:after="0" w:line="53" w:lineRule="exact"/>
        <w:rPr>
          <w:rFonts w:ascii="Times New Roman" w:cs="Times New Roman" w:eastAsia="Times New Roman" w:hAnsi="Times New Roman"/>
          <w:sz w:val="18"/>
          <w:szCs w:val="18"/>
          <w:color w:val="auto"/>
        </w:rPr>
      </w:pPr>
    </w:p>
    <w:p>
      <w:pPr>
        <w:ind w:left="820" w:right="20" w:hanging="326"/>
        <w:spacing w:after="0" w:line="261"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required to restate our financial results due to our material noncompliance with any financial reporting requirements under the applicable securities laws as a result of misconduct, our executive officers may be legally required to reimburse us for any bonus or other incentive-based or equity-based compensation they receive in accordance with the provisions of section 304 of the Sarbanes-Oxley Act of 2002 pursuant to the terms of our Compensation Recovery Policy described below.</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line="254" w:lineRule="auto"/>
        <w:rPr>
          <w:sz w:val="20"/>
          <w:szCs w:val="20"/>
          <w:color w:val="auto"/>
        </w:rPr>
      </w:pPr>
      <w:r>
        <w:rPr>
          <w:rFonts w:ascii="Times New Roman" w:cs="Times New Roman" w:eastAsia="Times New Roman" w:hAnsi="Times New Roman"/>
          <w:sz w:val="18"/>
          <w:szCs w:val="18"/>
          <w:color w:val="auto"/>
        </w:rPr>
        <w:t>We have adopted a Dodd-Frank Compensation Recovery Policy, or Clawback Policy, in accordance with Rule 10D-1 of the Exchange Act and Nasdaq listing standards, which is applicable to all of our current or former executive officers, or the Covered Persons. The Clawback Policy is administered and interpreted by our compensation committee. In the event we are required to prepare an accounting restatement due to material noncompliance with any financial reporting requirement under U.S. federal securities laws, including any required restatement to correct an error in previously issued financial statements that is material to the previously issued financial statements or that would result in a material misstatement if the error were corrected in the current period or left uncorrected in the current period, it is our policy to attempt to recover reasonably promptly the amount of erroneously awarded incentive-based compensation received by Covered Persons. The recovery of such compensation applies regardless of whether an executive engaged in misconduct or otherwise caused or contributed to the requirement for the accounting restatement. This policy is filed as Exhibit 97.1 to our Annual Report on Form 10-K for the year ended December 31, 2025.</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180" w:right="10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disclosure included in the “Compensation Discussion and Analysis” section of this Proxy Statement with management. Based on this review and discussion, the compensation committee recommended to the board of directors that the disclosure in the “Compensation Discussion and Analysis” section be included in this Proxy Statement for the year ended December 31, 2025.</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Respectfully submitted by the compensation committee,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Leslie V. Norwalk, Esq., Chair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Everett Cunningham</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Laurie Smaldone Alsup, M.D.</w:t>
      </w:r>
    </w:p>
    <w:p>
      <w:pPr>
        <w:spacing w:after="0" w:line="234" w:lineRule="exact"/>
        <w:rPr>
          <w:sz w:val="20"/>
          <w:szCs w:val="20"/>
          <w:color w:val="auto"/>
        </w:rPr>
      </w:pPr>
    </w:p>
    <w:p>
      <w:pPr>
        <w:ind w:left="180" w:right="300"/>
        <w:spacing w:after="0" w:line="282" w:lineRule="auto"/>
        <w:rPr>
          <w:sz w:val="20"/>
          <w:szCs w:val="20"/>
          <w:color w:val="auto"/>
        </w:rPr>
      </w:pPr>
      <w:r>
        <w:rPr>
          <w:rFonts w:ascii="Times New Roman" w:cs="Times New Roman" w:eastAsia="Times New Roman" w:hAnsi="Times New Roman"/>
          <w:sz w:val="18"/>
          <w:szCs w:val="18"/>
          <w:color w:val="auto"/>
        </w:rPr>
        <w:t>This Report is not incorporated by reference in any reports under the Securities Act of 1933, as amended, or the Securities Exchange Act of 1934, as amended, unless specifically indicated therein.</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each of our named executive officers during the fiscal years ended December 31, 2025, 2024 and 2023 (unless otherwise specified).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0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(2)</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(3)</w:t>
            </w:r>
          </w:p>
        </w:tc>
        <w:tc>
          <w:tcPr>
            <w:tcW w:w="12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7"/>
                <w:szCs w:val="17"/>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gridSpan w:val="2"/>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30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2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1"/>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John Houston, Ph.D.</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Former President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706,236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2,685,840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2,671,051</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457,000</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6,534,127</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684,005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5,849,150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5,773,207</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426,819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12,746,981</w:t>
            </w: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657,697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2,130,081</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4,352,454</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473,600</w:t>
            </w: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7,627,032</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Andrew Saik</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542,063</w:t>
            </w:r>
          </w:p>
        </w:tc>
        <w:tc>
          <w:tcPr>
            <w:tcW w:w="10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1,261,412</w:t>
            </w:r>
          </w:p>
        </w:tc>
        <w:tc>
          <w:tcPr>
            <w:tcW w:w="8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1,281,339</w:t>
            </w:r>
          </w:p>
        </w:tc>
        <w:tc>
          <w:tcPr>
            <w:tcW w:w="80" w:type="dxa"/>
            <w:vAlign w:val="bottom"/>
          </w:tcPr>
          <w:p>
            <w:pPr>
              <w:spacing w:after="0"/>
              <w:rPr>
                <w:sz w:val="20"/>
                <w:szCs w:val="20"/>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263,500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3,362,314</w:t>
            </w:r>
          </w:p>
        </w:tc>
        <w:tc>
          <w:tcPr>
            <w:tcW w:w="0" w:type="dxa"/>
            <w:vAlign w:val="bottom"/>
          </w:tcPr>
          <w:p>
            <w:pPr>
              <w:spacing w:after="0"/>
              <w:rPr>
                <w:sz w:val="1"/>
                <w:szCs w:val="1"/>
                <w:color w:val="auto"/>
              </w:rPr>
            </w:pPr>
          </w:p>
        </w:tc>
      </w:tr>
      <w:tr>
        <w:trPr>
          <w:trHeight w:val="210"/>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Treasurer (5)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272,596</w:t>
            </w:r>
          </w:p>
        </w:tc>
        <w:tc>
          <w:tcPr>
            <w:tcW w:w="1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1,533,383</w:t>
            </w:r>
          </w:p>
        </w:tc>
        <w:tc>
          <w:tcPr>
            <w:tcW w:w="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1,527,571</w:t>
            </w:r>
          </w:p>
        </w:tc>
        <w:tc>
          <w:tcPr>
            <w:tcW w:w="80" w:type="dxa"/>
            <w:vAlign w:val="bottom"/>
          </w:tcPr>
          <w:p>
            <w:pPr>
              <w:spacing w:after="0"/>
              <w:rPr>
                <w:sz w:val="18"/>
                <w:szCs w:val="18"/>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127,600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3,465,996</w:t>
            </w: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Noah Berkowitz, M.D.,</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Ph.D.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552,387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1,369,852</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1,389,217</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268,500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3,593,956</w:t>
            </w: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421,827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2,703,055</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2,645,753</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197,500</w:t>
            </w: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5,981,935</w:t>
            </w:r>
          </w:p>
        </w:tc>
        <w:tc>
          <w:tcPr>
            <w:tcW w:w="0" w:type="dxa"/>
            <w:vAlign w:val="bottom"/>
          </w:tcPr>
          <w:p>
            <w:pPr>
              <w:spacing w:after="0"/>
              <w:rPr>
                <w:sz w:val="1"/>
                <w:szCs w:val="1"/>
                <w:color w:val="auto"/>
              </w:rPr>
            </w:pPr>
          </w:p>
        </w:tc>
      </w:tr>
      <w:tr>
        <w:trPr>
          <w:trHeight w:val="212"/>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Angela Cacace, Ph.D.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Scientific Officer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500,763</w:t>
            </w:r>
          </w:p>
        </w:tc>
        <w:tc>
          <w:tcPr>
            <w:tcW w:w="1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1,261,412</w:t>
            </w:r>
          </w:p>
        </w:tc>
        <w:tc>
          <w:tcPr>
            <w:tcW w:w="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1,281,339</w:t>
            </w:r>
          </w:p>
        </w:tc>
        <w:tc>
          <w:tcPr>
            <w:tcW w:w="80" w:type="dxa"/>
            <w:vAlign w:val="bottom"/>
          </w:tcPr>
          <w:p>
            <w:pPr>
              <w:spacing w:after="0"/>
              <w:rPr>
                <w:sz w:val="18"/>
                <w:szCs w:val="18"/>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243,400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3,300,914</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464,753</w:t>
            </w:r>
          </w:p>
        </w:tc>
        <w:tc>
          <w:tcPr>
            <w:tcW w:w="1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1,143,160</w:t>
            </w:r>
          </w:p>
        </w:tc>
        <w:tc>
          <w:tcPr>
            <w:tcW w:w="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1,132,996</w:t>
            </w:r>
          </w:p>
        </w:tc>
        <w:tc>
          <w:tcPr>
            <w:tcW w:w="80" w:type="dxa"/>
            <w:vAlign w:val="bottom"/>
          </w:tcPr>
          <w:p>
            <w:pPr>
              <w:spacing w:after="0"/>
              <w:rPr>
                <w:sz w:val="18"/>
                <w:szCs w:val="18"/>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217,600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2,972,309</w:t>
            </w: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Ian Taylor, Ph.D.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Former President of</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152,567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364,338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362,468</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903,389</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367,937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1,844,750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1,820,973</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172,200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4,219,660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 (8)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466,856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657,326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1,343,303</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252,200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2,732,885</w:t>
            </w: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right="60" w:hanging="652"/>
        <w:spacing w:after="0" w:line="261"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aggregate grant date fair value of Options and RSUs granted during the years in question calculated in accordance with the provisions of Financial Accounting Standards Board Accounting Standard Codification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 718. See Note 9 to our audited consolidated financial statements appearing in our 2025 Annual Report for assumptions underlying the valuation of equity awards. All Options were issued at exercise prices equal to the fair market value of our Common Stock on the date of grant.</w:t>
      </w:r>
    </w:p>
    <w:p>
      <w:pPr>
        <w:spacing w:after="0" w:line="71" w:lineRule="exact"/>
        <w:rPr>
          <w:rFonts w:ascii="Times New Roman" w:cs="Times New Roman" w:eastAsia="Times New Roman" w:hAnsi="Times New Roman"/>
          <w:sz w:val="18"/>
          <w:szCs w:val="18"/>
          <w:color w:val="auto"/>
        </w:rPr>
      </w:pPr>
    </w:p>
    <w:p>
      <w:pPr>
        <w:ind w:left="660" w:right="100" w:hanging="652"/>
        <w:spacing w:after="0" w:line="261"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“Non-Equity Incentive Plan Compensation” column represent awards to our named executive officers under our annual performance-based cash bonus program. See “—Annual Cash Bonuses” for a description of this program. Annual performance-based bonus compensation for 2025 was earned in 2025 and paid in 2026. Annual performance-based bonus compensation for 2024 was earned in 2024 and paid in 2025. Annual performance-based bonus compensation for 2023 was earned in 2023 and paid in 2024.</w:t>
      </w:r>
    </w:p>
    <w:p>
      <w:pPr>
        <w:spacing w:after="0" w:line="71"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named executive officer, reflects matching contributions paid under the terms of our 401(k) plan. For Dr. Taylor also reflects $11,025 in consulting payments pursuant to his consulting agreement in 2025.</w:t>
      </w:r>
    </w:p>
    <w:p>
      <w:pPr>
        <w:spacing w:after="0" w:line="40" w:lineRule="exact"/>
        <w:rPr>
          <w:rFonts w:ascii="Times New Roman" w:cs="Times New Roman" w:eastAsia="Times New Roman" w:hAnsi="Times New Roman"/>
          <w:sz w:val="18"/>
          <w:szCs w:val="18"/>
          <w:color w:val="auto"/>
        </w:rPr>
      </w:pPr>
    </w:p>
    <w:p>
      <w:pPr>
        <w:ind w:left="660" w:right="200" w:hanging="652"/>
        <w:spacing w:after="0" w:line="239"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$457,000 lump sum payment received by Dr. Houston under a consulting agreement, the terms of which are described under “Other Agreements,” entered into effective February 12, 2026, in connection with Dr. Houston’s resignation as President and Chief Executive Officer. $457,000 is equivalent to the amount that Dr. Houston would have received as an employee for a 2025 bonus based on achievement of the Company’s 2025 corporate goals as approved by the Board, had he continued to be employed by the Company as President and Chief Executive Officer on the date of payment.</w:t>
      </w:r>
    </w:p>
    <w:p>
      <w:pPr>
        <w:spacing w:after="0" w:line="8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Saik was appointed as our Chief Financial Officer, Treasurer and principal financial officer effective June 24, 2024.</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Berkowitz was appointed as our Chief Medical Officer effective March 18, 2024.</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Cacace was appointed as our Chief Scientific Officer effective June 17, 2024.</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Taylor resigned as President of R&amp;D effective June 6, 2025. Dr. Taylor remains a consultant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non-equity and equity awards granted to each of our named executive officers during the year ended December 31, 2025. All non-equity incentive plan awards were made pursuant to our annual cash incentive plan described in more detail above. We granted Options and RSUs to each named executive officer in 2025 in recognition of performance in 2024. We also granted additional Options and RSUs to Andrew Saik, Noah Berkowitz, M.D., Ph.D., and Angela Cacace, Ph.D., as special one-time, non-recurring, retention grants. All such equity awards were granted under our 2018 Plan. All Options granted in 2025 consisted of options to purchase shares of our common stock with an exercise price equal to the fair market value of our common stock on the date of grant. The vesting schedule of each Option and RSU included in the following table is described in the footnotes to the Outstanding Equity Awards at Fiscal Year-End table.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 Incentive Plan</w:t>
            </w: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7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0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2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 Target (2)</w:t>
            </w:r>
          </w:p>
        </w:tc>
        <w:tc>
          <w:tcPr>
            <w:tcW w:w="10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Committee or</w:t>
            </w:r>
          </w:p>
        </w:tc>
        <w:tc>
          <w:tcPr>
            <w:tcW w:w="27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Price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 and</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Board of Directors</w:t>
            </w:r>
          </w:p>
        </w:tc>
        <w:tc>
          <w:tcPr>
            <w:tcW w:w="10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vMerge w:val="restart"/>
          </w:tcPr>
          <w:p>
            <w:pPr>
              <w:jc w:val="center"/>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vMerge w:val="restart"/>
          </w:tcPr>
          <w:p>
            <w:pPr>
              <w:jc w:val="center"/>
              <w:ind w:left="148"/>
              <w:spacing w:after="0" w:line="140"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of Option</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37"/>
        </w:trPr>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104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Stock or Units</w:t>
            </w:r>
          </w:p>
        </w:tc>
        <w:tc>
          <w:tcPr>
            <w:tcW w:w="10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204"/>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(1)</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1040" w:type="dxa"/>
            <w:vAlign w:val="bottom"/>
            <w:gridSpan w:val="2"/>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3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John Houston,</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152,000</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232,000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5,356,891</w:t>
            </w:r>
          </w:p>
        </w:tc>
        <w:tc>
          <w:tcPr>
            <w:tcW w:w="0" w:type="dxa"/>
            <w:vAlign w:val="bottom"/>
          </w:tcPr>
          <w:p>
            <w:pPr>
              <w:spacing w:after="0"/>
              <w:rPr>
                <w:sz w:val="1"/>
                <w:szCs w:val="1"/>
                <w:color w:val="auto"/>
              </w:rPr>
            </w:pPr>
          </w:p>
        </w:tc>
      </w:tr>
      <w:tr>
        <w:trPr>
          <w:trHeight w:val="18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Ph.D. (7)</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423,742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741,548</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Andrew Saik</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tcPr>
          <w:p>
            <w:pPr>
              <w:spacing w:after="0"/>
              <w:rPr>
                <w:sz w:val="16"/>
                <w:szCs w:val="16"/>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49,092</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74,960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1,730,481</w:t>
            </w:r>
          </w:p>
        </w:tc>
        <w:tc>
          <w:tcPr>
            <w:tcW w:w="0" w:type="dxa"/>
            <w:vAlign w:val="bottom"/>
          </w:tcPr>
          <w:p>
            <w:pPr>
              <w:spacing w:after="0"/>
              <w:rPr>
                <w:sz w:val="1"/>
                <w:szCs w:val="1"/>
                <w:color w:val="auto"/>
              </w:rPr>
            </w:pPr>
          </w:p>
        </w:tc>
      </w:tr>
      <w:tr>
        <w:trPr>
          <w:trHeight w:val="193"/>
        </w:trPr>
        <w:tc>
          <w:tcPr>
            <w:tcW w:w="13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5/9/2025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5/7/2025</w:t>
            </w:r>
          </w:p>
        </w:tc>
        <w:tc>
          <w:tcPr>
            <w:tcW w:w="100" w:type="dxa"/>
            <w:vAlign w:val="bottom"/>
          </w:tcPr>
          <w:p>
            <w:pPr>
              <w:spacing w:after="0"/>
              <w:rPr>
                <w:sz w:val="16"/>
                <w:szCs w:val="16"/>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59,600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91,000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812,269</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243,928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426,875</w:t>
            </w:r>
          </w:p>
        </w:tc>
        <w:tc>
          <w:tcPr>
            <w:tcW w:w="10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Noah Berkowitz,</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55,229</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84,330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1,946,800</w:t>
            </w:r>
          </w:p>
        </w:tc>
        <w:tc>
          <w:tcPr>
            <w:tcW w:w="0" w:type="dxa"/>
            <w:vAlign w:val="bottom"/>
          </w:tcPr>
          <w:p>
            <w:pPr>
              <w:spacing w:after="0"/>
              <w:rPr>
                <w:sz w:val="1"/>
                <w:szCs w:val="1"/>
                <w:color w:val="auto"/>
              </w:rPr>
            </w:pPr>
          </w:p>
        </w:tc>
      </w:tr>
      <w:tr>
        <w:trPr>
          <w:trHeight w:val="18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M.D., Ph.D.</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5/9/2025</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5/7/2025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59,600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812,269</w:t>
            </w:r>
          </w:p>
        </w:tc>
        <w:tc>
          <w:tcPr>
            <w:tcW w:w="0" w:type="dxa"/>
            <w:vAlign w:val="bottom"/>
          </w:tcPr>
          <w:p>
            <w:pPr>
              <w:spacing w:after="0"/>
              <w:rPr>
                <w:sz w:val="1"/>
                <w:szCs w:val="1"/>
                <w:color w:val="auto"/>
              </w:rPr>
            </w:pPr>
          </w:p>
        </w:tc>
      </w:tr>
      <w:tr>
        <w:trPr>
          <w:trHeight w:val="206"/>
        </w:trPr>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248,574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435,005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Angela Cacace,</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tcPr>
          <w:p>
            <w:pPr>
              <w:spacing w:after="0"/>
              <w:rPr>
                <w:sz w:val="12"/>
                <w:szCs w:val="12"/>
                <w:color w:val="auto"/>
              </w:rPr>
            </w:pPr>
          </w:p>
        </w:tc>
        <w:tc>
          <w:tcPr>
            <w:tcW w:w="10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49,092</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74,960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1,730,481</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Ph.D.</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5/9/2025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5/7/2025</w:t>
            </w:r>
          </w:p>
        </w:tc>
        <w:tc>
          <w:tcPr>
            <w:tcW w:w="100" w:type="dxa"/>
            <w:vAlign w:val="bottom"/>
          </w:tcPr>
          <w:p>
            <w:pPr>
              <w:spacing w:after="0"/>
              <w:rPr>
                <w:sz w:val="16"/>
                <w:szCs w:val="16"/>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59,600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91,000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812,269</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225,343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394,351</w:t>
            </w:r>
          </w:p>
        </w:tc>
        <w:tc>
          <w:tcPr>
            <w:tcW w:w="10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Ian Taylor,</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2/13/2025</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20,619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31,483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726,806</w:t>
            </w:r>
          </w:p>
        </w:tc>
        <w:tc>
          <w:tcPr>
            <w:tcW w:w="0" w:type="dxa"/>
            <w:vAlign w:val="bottom"/>
          </w:tcPr>
          <w:p>
            <w:pPr>
              <w:spacing w:after="0"/>
              <w:rPr>
                <w:sz w:val="1"/>
                <w:szCs w:val="1"/>
                <w:color w:val="auto"/>
              </w:rPr>
            </w:pPr>
          </w:p>
        </w:tc>
      </w:tr>
      <w:tr>
        <w:trPr>
          <w:trHeight w:val="188"/>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Ph.D. (8)</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116,156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394,351</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right="640" w:hanging="652"/>
        <w:spacing w:after="0" w:line="282"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approves the compensation of our non-Chief Executive Officer executive officers and our board of directors approves the compensation of our Chief Executive Officer.</w:t>
      </w:r>
    </w:p>
    <w:p>
      <w:pPr>
        <w:spacing w:after="0" w:line="53" w:lineRule="exact"/>
        <w:rPr>
          <w:rFonts w:ascii="Times New Roman" w:cs="Times New Roman" w:eastAsia="Times New Roman" w:hAnsi="Times New Roman"/>
          <w:sz w:val="18"/>
          <w:szCs w:val="18"/>
          <w:color w:val="auto"/>
        </w:rPr>
      </w:pPr>
    </w:p>
    <w:p>
      <w:pPr>
        <w:ind w:left="660" w:right="120" w:hanging="652"/>
        <w:spacing w:after="0" w:line="254"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relate to our annual cash incentive plan. The amounts shown in this column represent the 2026 target payout amount for 2025 corporate goal achievement based on the target percentage applied to each named executive officer’s base salary as of December 31, 2025, assuming 100% corporate goal achievement. While our board of directors has additional discretion in limited circumstances, the maximum amount of goal achievement is 175%. There is no threshold for goal achievement. As described in more detail above, in 2025, each of our named executive officers, other than Dr. Houston, had an individual bonus target of 45% of his or her base salary, as applicable, which was tied solely to the achievement of our corporate goals for 2025. Dr. Houston had an individual bonus target of 60% of his base salary, which was likewise tied solely to the achievement of our corporate goals for 2025. Actual amounts paid to each named executive officer under our annual cash incentive plan are included in the “Non-Equity Incentive Plan Compensation” column of the 2025 Summary Compensation Table above.</w:t>
      </w:r>
    </w:p>
    <w:p>
      <w:pPr>
        <w:spacing w:after="0" w:line="83"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time-based Options and RSUs on the date of grant calculated in accordance with ASC 718. For a discussion of the assumptions used in the valuation of the time-based Options and RSU awards granted to our named executive officers in 2025, see footnote 1 to the 2025 Summary Compensation Table above.</w:t>
      </w:r>
    </w:p>
    <w:p>
      <w:pPr>
        <w:spacing w:after="0" w:line="67" w:lineRule="exact"/>
        <w:rPr>
          <w:rFonts w:ascii="Times New Roman" w:cs="Times New Roman" w:eastAsia="Times New Roman" w:hAnsi="Times New Roman"/>
          <w:sz w:val="18"/>
          <w:szCs w:val="18"/>
          <w:color w:val="auto"/>
        </w:rPr>
      </w:pPr>
    </w:p>
    <w:p>
      <w:pPr>
        <w:ind w:left="660" w:right="180" w:hanging="652"/>
        <w:spacing w:after="0" w:line="312" w:lineRule="auto"/>
        <w:tabs>
          <w:tab w:leader="none" w:pos="65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annual grant of RSUs to the named executive officer. The RSU awards will vest over four years: 25% of the shares underlying the award shall vest on the first anniversary of the grant date, with the remainder of the shares vesting in three equal annual installments thereafter.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420" w:hanging="652"/>
        <w:spacing w:after="0" w:line="266"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annual grant of Options to the named executive officer. The shares underlying the Option will vest over four years: 25% of the shares underlying the award will vest on the first anniversary of the grant date, with the remainder of the shares vesting in 36 equal monthly installments thereafter.</w:t>
      </w:r>
    </w:p>
    <w:p>
      <w:pPr>
        <w:spacing w:after="0" w:line="67" w:lineRule="exact"/>
        <w:rPr>
          <w:rFonts w:ascii="Times New Roman" w:cs="Times New Roman" w:eastAsia="Times New Roman" w:hAnsi="Times New Roman"/>
          <w:sz w:val="18"/>
          <w:szCs w:val="18"/>
          <w:color w:val="auto"/>
        </w:rPr>
      </w:pPr>
    </w:p>
    <w:p>
      <w:pPr>
        <w:ind w:left="660" w:hanging="652"/>
        <w:spacing w:after="0" w:line="266"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special one-time, non-recurring, retention grants of RSUs and Options. The RSU awards and the shares underlying the Option will vest over two years: one-half shall vest on the first anniversary of the grant date, with the remainder of the shares vesting on the second anniversary of the grant date.</w:t>
      </w:r>
    </w:p>
    <w:p>
      <w:pPr>
        <w:spacing w:after="0" w:line="67"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Houston resigned as President and Chief Executive Officer effective February 12, 2026. Dr. Houston remains a consultant and director with the Company.</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Taylor resigned as President of R&amp;D effective June 6, 2025. Dr. Taylor remains a consultant with the Company.</w:t>
      </w:r>
    </w:p>
    <w:p>
      <w:pPr>
        <w:spacing w:after="0" w:line="3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at December 31, 2025.</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spacing w:after="0"/>
              <w:rPr>
                <w:sz w:val="12"/>
                <w:szCs w:val="12"/>
                <w:color w:val="auto"/>
              </w:rPr>
            </w:pPr>
          </w:p>
        </w:tc>
        <w:tc>
          <w:tcPr>
            <w:tcW w:w="11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spacing w:after="0"/>
              <w:rPr>
                <w:sz w:val="14"/>
                <w:szCs w:val="14"/>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That</w:t>
            </w:r>
          </w:p>
        </w:tc>
        <w:tc>
          <w:tcPr>
            <w:tcW w:w="620" w:type="dxa"/>
            <w:vAlign w:val="bottom"/>
          </w:tcPr>
          <w:p>
            <w:pPr>
              <w:spacing w:after="0"/>
              <w:rPr>
                <w:sz w:val="14"/>
                <w:szCs w:val="14"/>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20" w:type="dxa"/>
            <w:vAlign w:val="bottom"/>
          </w:tcPr>
          <w:p>
            <w:pPr>
              <w:spacing w:after="0"/>
              <w:rPr>
                <w:sz w:val="12"/>
                <w:szCs w:val="12"/>
                <w:color w:val="auto"/>
              </w:rPr>
            </w:pPr>
          </w:p>
        </w:tc>
        <w:tc>
          <w:tcPr>
            <w:tcW w:w="11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620" w:type="dxa"/>
            <w:vAlign w:val="bottom"/>
          </w:tcPr>
          <w:p>
            <w:pPr>
              <w:spacing w:after="0"/>
              <w:rPr>
                <w:sz w:val="14"/>
                <w:szCs w:val="14"/>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Not Vested (1)</w:t>
            </w: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8"/>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Houston, Ph.D.</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267,432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9/25/2028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254,597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2/25/2031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8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2/22/2032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2/21/2033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2/22/2034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2/12/2035</w:t>
            </w:r>
          </w:p>
        </w:tc>
        <w:tc>
          <w:tcPr>
            <w:tcW w:w="1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30,987</w:t>
            </w:r>
          </w:p>
        </w:tc>
        <w:tc>
          <w:tcPr>
            <w:tcW w:w="10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367,506</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737,989</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1,802,720</w:t>
            </w:r>
          </w:p>
        </w:tc>
        <w:tc>
          <w:tcPr>
            <w:tcW w:w="0" w:type="dxa"/>
            <w:vAlign w:val="bottom"/>
          </w:tcPr>
          <w:p>
            <w:pPr>
              <w:spacing w:after="0"/>
              <w:rPr>
                <w:sz w:val="1"/>
                <w:szCs w:val="1"/>
                <w:color w:val="auto"/>
              </w:rPr>
            </w:pPr>
          </w:p>
        </w:tc>
      </w:tr>
      <w:tr>
        <w:trPr>
          <w:trHeight w:val="225"/>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Saik</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57,010</w:t>
            </w:r>
          </w:p>
        </w:tc>
        <w:tc>
          <w:tcPr>
            <w:tcW w:w="100" w:type="dxa"/>
            <w:vAlign w:val="bottom"/>
          </w:tcPr>
          <w:p>
            <w:pPr>
              <w:spacing w:after="0"/>
              <w:rPr>
                <w:sz w:val="19"/>
                <w:szCs w:val="19"/>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6/23/2034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74,960</w:t>
            </w:r>
          </w:p>
        </w:tc>
        <w:tc>
          <w:tcPr>
            <w:tcW w:w="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2/12/2035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5/8/2035</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46,057</w:t>
            </w:r>
          </w:p>
        </w:tc>
        <w:tc>
          <w:tcPr>
            <w:tcW w:w="100" w:type="dxa"/>
            <w:vAlign w:val="bottom"/>
          </w:tcPr>
          <w:p>
            <w:pPr>
              <w:spacing w:after="0"/>
              <w:rPr>
                <w:sz w:val="20"/>
                <w:szCs w:val="20"/>
                <w:color w:val="auto"/>
              </w:rPr>
            </w:pPr>
          </w:p>
        </w:tc>
        <w:tc>
          <w:tcPr>
            <w:tcW w:w="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546,236</w:t>
            </w: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49,092</w:t>
            </w:r>
          </w:p>
        </w:tc>
        <w:tc>
          <w:tcPr>
            <w:tcW w:w="1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582,231</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59,600</w:t>
            </w:r>
          </w:p>
        </w:tc>
        <w:tc>
          <w:tcPr>
            <w:tcW w:w="10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706,856</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Noah Berkowitz, M.D.,</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Ph.D.</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52,807</w:t>
            </w:r>
          </w:p>
        </w:tc>
        <w:tc>
          <w:tcPr>
            <w:tcW w:w="8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3/17/2034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84,330</w:t>
            </w:r>
          </w:p>
        </w:tc>
        <w:tc>
          <w:tcPr>
            <w:tcW w:w="8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2/12/2035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8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5/8/2035</w:t>
            </w:r>
          </w:p>
        </w:tc>
        <w:tc>
          <w:tcPr>
            <w:tcW w:w="1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47,589</w:t>
            </w:r>
          </w:p>
        </w:tc>
        <w:tc>
          <w:tcPr>
            <w:tcW w:w="10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564,406</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655,016</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706,856</w:t>
            </w:r>
          </w:p>
        </w:tc>
        <w:tc>
          <w:tcPr>
            <w:tcW w:w="0" w:type="dxa"/>
            <w:vAlign w:val="bottom"/>
          </w:tcPr>
          <w:p>
            <w:pPr>
              <w:spacing w:after="0"/>
              <w:rPr>
                <w:sz w:val="1"/>
                <w:szCs w:val="1"/>
                <w:color w:val="auto"/>
              </w:rPr>
            </w:pPr>
          </w:p>
        </w:tc>
      </w:tr>
      <w:tr>
        <w:trPr>
          <w:trHeight w:val="225"/>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Angela Cacace, Ph.D.</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9/25/2028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2/28/2029</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2/26/2030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2/25/2031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2/22/2032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2/21/2033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2/22/2034</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spacing w:after="0"/>
              <w:rPr>
                <w:sz w:val="12"/>
                <w:szCs w:val="12"/>
                <w:color w:val="auto"/>
              </w:rPr>
            </w:pPr>
          </w:p>
        </w:tc>
        <w:tc>
          <w:tcPr>
            <w:tcW w:w="11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spacing w:after="0"/>
              <w:rPr>
                <w:sz w:val="14"/>
                <w:szCs w:val="14"/>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That</w:t>
            </w:r>
          </w:p>
        </w:tc>
        <w:tc>
          <w:tcPr>
            <w:tcW w:w="620" w:type="dxa"/>
            <w:vAlign w:val="bottom"/>
          </w:tcPr>
          <w:p>
            <w:pPr>
              <w:spacing w:after="0"/>
              <w:rPr>
                <w:sz w:val="14"/>
                <w:szCs w:val="14"/>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20" w:type="dxa"/>
            <w:vAlign w:val="bottom"/>
          </w:tcPr>
          <w:p>
            <w:pPr>
              <w:spacing w:after="0"/>
              <w:rPr>
                <w:sz w:val="12"/>
                <w:szCs w:val="12"/>
                <w:color w:val="auto"/>
              </w:rPr>
            </w:pPr>
          </w:p>
        </w:tc>
        <w:tc>
          <w:tcPr>
            <w:tcW w:w="11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620" w:type="dxa"/>
            <w:vAlign w:val="bottom"/>
          </w:tcPr>
          <w:p>
            <w:pPr>
              <w:spacing w:after="0"/>
              <w:rPr>
                <w:sz w:val="14"/>
                <w:szCs w:val="14"/>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Not Vested (1)</w:t>
            </w: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3"/>
        </w:trPr>
        <w:tc>
          <w:tcPr>
            <w:tcW w:w="2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6/16/2034</w:t>
            </w: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74,960</w:t>
            </w:r>
          </w:p>
        </w:tc>
        <w:tc>
          <w:tcPr>
            <w:tcW w:w="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2/12/2035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5/8/2035</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tcPr>
          <w:p>
            <w:pPr>
              <w:spacing w:after="0"/>
              <w:rPr>
                <w:sz w:val="20"/>
                <w:szCs w:val="20"/>
                <w:color w:val="auto"/>
              </w:rPr>
            </w:pPr>
          </w:p>
        </w:tc>
        <w:tc>
          <w:tcPr>
            <w:tcW w:w="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75,750</w:t>
            </w: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94,844</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49,092</w:t>
            </w:r>
          </w:p>
        </w:tc>
        <w:tc>
          <w:tcPr>
            <w:tcW w:w="1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582,231</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59,600</w:t>
            </w:r>
          </w:p>
        </w:tc>
        <w:tc>
          <w:tcPr>
            <w:tcW w:w="10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706,856</w:t>
            </w: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Ian Taylor, Ph.D. (18)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2/25/2031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8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2/22/2032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2/21/2033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2/22/2034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2/12/2035</w:t>
            </w:r>
          </w:p>
        </w:tc>
        <w:tc>
          <w:tcPr>
            <w:tcW w:w="1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113,405</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232,753</w:t>
            </w:r>
          </w:p>
        </w:tc>
        <w:tc>
          <w:tcPr>
            <w:tcW w:w="0" w:type="dxa"/>
            <w:vAlign w:val="bottom"/>
          </w:tcPr>
          <w:p>
            <w:pPr>
              <w:spacing w:after="0"/>
              <w:rPr>
                <w:sz w:val="1"/>
                <w:szCs w:val="1"/>
                <w:color w:val="auto"/>
              </w:rPr>
            </w:pPr>
          </w:p>
        </w:tc>
      </w:tr>
      <w:tr>
        <w:trPr>
          <w:trHeight w:val="264"/>
        </w:trPr>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244,541</w:t>
            </w:r>
          </w:p>
        </w:tc>
        <w:tc>
          <w:tcPr>
            <w:tcW w:w="0" w:type="dxa"/>
            <w:vAlign w:val="bottom"/>
          </w:tcPr>
          <w:p>
            <w:pPr>
              <w:spacing w:after="0"/>
              <w:rPr>
                <w:sz w:val="1"/>
                <w:szCs w:val="1"/>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right="320" w:hanging="652"/>
        <w:spacing w:after="0" w:line="282"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based on a price of $11.86 per share, which was the closing price of our common stock as reported on The Nasdaq Global Select Market on December 31, 2025, the last trading day of the year.</w:t>
      </w:r>
    </w:p>
    <w:p>
      <w:pPr>
        <w:spacing w:after="0" w:line="53"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underlying this Option vested on February 23, 2023 and the remainder vested in equal monthly increments until February 23, 2026.</w:t>
      </w:r>
    </w:p>
    <w:p>
      <w:pPr>
        <w:spacing w:after="0" w:line="53" w:lineRule="exact"/>
        <w:rPr>
          <w:rFonts w:ascii="Times New Roman" w:cs="Times New Roman" w:eastAsia="Times New Roman" w:hAnsi="Times New Roman"/>
          <w:sz w:val="18"/>
          <w:szCs w:val="18"/>
          <w:color w:val="auto"/>
        </w:rPr>
      </w:pPr>
    </w:p>
    <w:p>
      <w:pPr>
        <w:ind w:left="660" w:right="400" w:hanging="652"/>
        <w:spacing w:after="0" w:line="282"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underlying this Option vested on February 22, 2024 and the remainder vest in equal monthly increments until February 22, 2027.</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shares underlying this Option vested on February 23, 2025 and the remainder vested on February 23, 2026.</w:t>
      </w:r>
    </w:p>
    <w:p>
      <w:pPr>
        <w:spacing w:after="0" w:line="117" w:lineRule="exact"/>
        <w:rPr>
          <w:rFonts w:ascii="Times New Roman" w:cs="Times New Roman" w:eastAsia="Times New Roman" w:hAnsi="Times New Roman"/>
          <w:sz w:val="18"/>
          <w:szCs w:val="18"/>
          <w:color w:val="auto"/>
        </w:rPr>
      </w:pPr>
    </w:p>
    <w:p>
      <w:pPr>
        <w:ind w:left="660" w:right="400" w:hanging="652"/>
        <w:spacing w:after="0" w:line="282"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underlying this Option vested on February 13, 2026 and the remainder vest in equal monthly increments until February 13, 2029.</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underlying this Option vested on June 24, 2025 and the remainder vest in equal monthly increments until June 24, 2028.</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shares underlying this Option vest on May 9, 2026 and the remainder vest on May 9, 2027.</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underlying this Option vested on March 18, 2025 and the remainder vest in equal monthly increments until March 18, 2028.</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shares underlying this Option vested on June 17, 2025 and the remainder vest on June 17, 2026.</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underlying this RSU vested on February 22, 2024 and the remainder vest in equal annual increments until February 22, 2027.</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shares underlying this RSU vested on February 23, 2025 and the remainder vested on February 23, 2026.</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underlying this RSU vested on February 13, 2026 and the remainder vest in equal annual increments until February 13, 2029.</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underlying this RSU vested on June 24, 2025 and the remainder vest in equal annual increments until June 24, 2028.</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shares underlying this RSU vest on May 9, 2026 and the remainder vest on May 9, 2027.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underlying this RSU vested on March 18, 2025 and the remainder vest in equal annual increments until March 18, 2028.</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shares underlying this RSU vested on June 17, 2025 and the remainder vest on June 17, 2026.</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Houston resigned as President and Chief Executive Officer effective February 12, 2026. Dr. Houston remains a consultant and director with the Company.</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Taylor resigned as President of R&amp;D effective June 6, 2025. Dr. Taylor remains a consultant with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6" w:right="5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exercise of options to purchase our common stock and the vesting of RSUs that were held by our named executive officers during the year ended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3"/>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3"/>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5"/>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62"/>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6"/>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on</w:t>
            </w: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76"/>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on Vesting (1)</w:t>
            </w:r>
          </w:p>
        </w:tc>
      </w:tr>
      <w:tr>
        <w:trPr>
          <w:trHeight w:val="20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5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Houston, Ph.D. (2)</w:t>
            </w:r>
          </w:p>
        </w:tc>
        <w:tc>
          <w:tcPr>
            <w:tcW w:w="196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77,719</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1,381,067</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Saik</w:t>
            </w:r>
          </w:p>
        </w:tc>
        <w:tc>
          <w:tcPr>
            <w:tcW w:w="19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113,605</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Noah Berkowitz, M.D., Ph.D.</w:t>
            </w:r>
          </w:p>
        </w:tc>
        <w:tc>
          <w:tcPr>
            <w:tcW w:w="196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138,008</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Angela Cacace, Ph.D.</w:t>
            </w:r>
          </w:p>
        </w:tc>
        <w:tc>
          <w:tcPr>
            <w:tcW w:w="19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256,406</w:t>
            </w:r>
          </w:p>
        </w:tc>
      </w:tr>
      <w:tr>
        <w:trPr>
          <w:trHeight w:val="229"/>
        </w:trPr>
        <w:tc>
          <w:tcPr>
            <w:tcW w:w="5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Ian Taylor, Ph.D. (3)</w:t>
            </w:r>
          </w:p>
        </w:tc>
        <w:tc>
          <w:tcPr>
            <w:tcW w:w="1960" w:type="dxa"/>
            <w:vAlign w:val="bottom"/>
            <w:tcBorders>
              <w:bottom w:val="single" w:sz="8" w:color="auto"/>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433,712</w:t>
            </w:r>
          </w:p>
        </w:tc>
      </w:tr>
    </w:tbl>
    <w:p>
      <w:pPr>
        <w:spacing w:after="0" w:line="184" w:lineRule="exact"/>
        <w:rPr>
          <w:sz w:val="20"/>
          <w:szCs w:val="20"/>
          <w:color w:val="auto"/>
        </w:rPr>
      </w:pPr>
    </w:p>
    <w:p>
      <w:pPr>
        <w:ind w:left="660" w:right="240" w:hanging="652"/>
        <w:spacing w:after="0" w:line="282"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when the stock awards vested represents the number of shares underlying the RSUs vested multiplied by market value of the shares on the vesting date.</w:t>
      </w:r>
    </w:p>
    <w:p>
      <w:pPr>
        <w:spacing w:after="0" w:line="5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Houston resigned as President and Chief Executive Officer effective February 12, 2026. Dr. Houston remains a consultant and director with the Company.</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Taylor resigned as President of R&amp;D effective June 6, 2025. Dr. Taylor remains a consultant with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(or had, in the case of Dr. Houston and Dr. Taylor) entered into written employment agreements, offer letters or promotional letters, with each of our named executive officers, which we collectively refer to as the employment arrangements. These agreements set forth the terms of the executive officer’s compensation, including his or her base salary and annual performance bonus opportunity. In addition, the employment arrangements provide that subject to eligibility requirements under the plan documents governing such programs and our policies, these executive officers are eligible, on the same basis as other employees of the company to participate in company-sponsored medical, vision and dental benefit programs. Each executive officer will also be eligible to receive equity awards at such times and on such terms and conditions as the compensation committee or board of directors, as appropriate, may determine.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their respective agreements, as may be subsequently modified by our board of directors or the compensation committee, as appropriate, each of our currently serving named executive officers, other than Dr. Taylor who resigned as President of R&amp;D effective June 6, 2025 and Dr. Houston who resigned as President and Chief Executive Officer effective February 12, 2026, is entitled to an annual base salary, effective as of January 1, 2026, as follows: Dr. Berkowitz is entitled to receive an annual base salary of $568,959; Dr. Cacace is entitled to receive an annual base salary of $515,785; and Mr. Saik is entitled to receive an annual base salary of $558,324.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prior to his resignation, Dr. Taylor was entitled to receive an annual base salary of $258,125.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his resignation, Dr. Houston was entitled to receive an annual base salary of $706,236.</w:t>
      </w:r>
    </w:p>
    <w:p>
      <w:pPr>
        <w:spacing w:after="0" w:line="225"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Dr. Teel was not an executive officer in 2025, but was entitled to receive an annual base salary in 2025 of $500,763 in his previous role as our Chief Business Officer. Effective February 12, 2026, Dr. Teel is entitled to receive a base salary of $680,000 in his current role as our President and Chief Executive Officer.</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executive officer’s base salary is reviewed by our compensation committee and the board of directors on at least an annual basis and is subject to change in the discretion of our board of directors or compensation committee.</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Under their respective employment arrangements, each of our named executive officers, other than Dr. Houston who resigned as President and Chief Executive Officer effective February 12, 2026 and other than Dr. Taylor who resigned as President of R&amp;D effective June 6, 2025, is also eligible to earn an annual performance bonus, with a target bonus amount equal to a</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specified percentage of such officer’s annual base salary, based upon the board of director’s assessment of the executive’s performance and our attainment of targeted goals as set by the board of directors in its sole discretion. The bonus may be in the form of cash, equity award, or a combination of cash and equity. Each of Dr. Berkowitz, Dr. Cacace and Mr. Saik is eligible for an annual bonus of up to 45% of his or her base salary. Dr. Taylor was eligible for an annual bonus of up to 45% of his base salary, prior to his departure as an employee of the Company in June 2025. Dr. Taylor did not receive a cash bonus award for 2025.</w:t>
      </w:r>
    </w:p>
    <w:p>
      <w:pPr>
        <w:spacing w:after="0" w:line="18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Though not an executive officer, Dr. Teel was entitled to an annual bonus of up to 45% of his base salary in 2025 in his capacity as our Chief Business Officer. Effective February 12, 2026, Dr. Teel is eligible to receive an annual cash bonus target of 60% of his base salary. Dr. Teel’s bonus amount for 2026 will be determined by the board of directors and will be prorated based on his date of appointment as President and Chief Executive Officer as appropriate.</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his resignation, Dr. Houston was eligible to receive an annual bonus of up to 60% of his base salary. Given that Dr. Houston was not employed by us on the date of bonus payment, he did not receive this amount as an employee bonus. however, we did enter into a consulting agreement with Dr. Houston pursuant to which, among other consideration, in March 2026, we paid Dr. Houston a lump sum of $457,000, equivalent to the amount that Dr. Houston would have received as an employee for a 2025 bonus based on achievement of the Company’s 2025 corporate goals as approved by the Board, had he continued to be employed by the Company as President and Chief Executive Officer on the date of payment.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employee arrangements and the employment of each of our current named executive officers may be (or could have been, in the case of Dr. Houston and Dr. Taylor) terminated as follows: (1) upon the death or “disability” (as disability is defined in the applicable employment arrangement) of such named executive officer; (2) at our election, with or without “cause” (as cause is defined in the applicable employment arrangement); and (3) at such named executive officer’s election, with or without “good reason” (as good reason is defined in the applicable employment arrangement).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of the termination of any of Dr. Berkowitz’s, Dr. Cacace’s or Mr. Saik’s employment by us without cause, or by any of Dr. Berkowitz, Dr. Cacace, or Mr. Saik, as applicable, for good reason prior to, or more than twelve months following, a “change in control” (as change in control is defined in his or her employment agreement), such individual is entitled to the accrued obligations. In addition, subject to his or her execution and non-revocation of a release of claims in our favor and his or her continued compliance with his or her proprietary rights, non-disclosure, developments, non-competition and non-solicitation agreement and any similar agreement with us, each of Dr. Berkowitz, Dr. Cacace, and Mr. Saik, as applicable, is entitled to (1) continued payment of his or her base salary, in accordance with our regular payroll procedures, for a period of nine months and (2) provided he or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nine months following his or her date of termination.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any of Dr. Berkowitz’s, Dr. Cacace’s, or Mr. Saik’s employment by us without cause, or by any of Dr. Berkowitz, Dr. Cacace, or Mr. Saik, as applicable, for good reason within twelve months following a change in control, each of Dr. Berkowitz, Dr. Cacace, or Mr. Saik, as applicable, is entitled to the accrued obligations. In addition, subject to his or her execution and non-revocation of a release of claims in our favor and his or her continued compliance with his proprietary rights, non-disclosure, developments, non-competition and non-solicitation agreement and any similar agreement with us, each of Dr. Berkowitz, Dr. Cacace, or Mr. Saik, as applicable, is entitled to (1) continued payment of his or her base salary, in accordance with our regular payroll procedures, for a period of 12 months, (2) provided he or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or her date of termination, (3) a lump sum payment equal to 100% of his or her target bonus for the year in which his or her employment is terminated or, if higher, his or her target bonus immediately prior to the change in control, and (4) full vesting acceleration of his or her then-unvested equity awards, such that his or her equity awards become fully exercisable and non-forfeitable as of the termination date.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any of Dr. Berkowitz’s, Dr. Cacace’s, or Mr. Saik’s, as applicable, employment is terminated for any other reason, including as a result of his or her death or disability, for cause, or voluntarily by him or her without good reason, our obligations under the employment agreement cease immediately, and he or she is only entitled to the accrued obligations.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President and Chief Executive Officer in February 2026, we entered into an amended and restated employment agreement with Dr. Teel. Prior to his resignation as President and Chief Executive Officer on February 12, 2026, we had an employment agreement with Dr. Houston. The terms described below for Dr. Houston reflect payments Dr. Houston would have been entitled to under his employment agreement prior to his resignation.</w:t>
      </w:r>
    </w:p>
    <w:p>
      <w:pPr>
        <w:spacing w:after="0" w:line="20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Pursuant to Dr. Teel’s amended employment agreement (and Dr. Houston’s employment agreement prior to his resignation effective February 12, 2026), in the event of the termination of Dr. Teel’s (or Dr. Houston’s) employment by us without cause, or by him for good reason, prior to or more than twelve months following a “change in control”, Dr. Teel is (and Dr. Houston was) entitled to his base salary that has accrued and to which he is entitled as of the termination date and accrued but unused paid time off through and including the termination date and other accrued benefits, which we refer to collectively as, the accrued obligations. In addition, subject to his execution and non-revocation of a release of claims in our favor and his continued compliance with his proprietary rights, non-disclosure, developments, non-competition and non-solicitation agreement and any similar agreement with us, Dr. Teel is (and Dr. Houston was) entitled to (1) continued payment of his base salary, in accordance with our regular payroll procedures, for a period of 12 months and</w:t>
      </w:r>
    </w:p>
    <w:p>
      <w:pPr>
        <w:spacing w:after="0" w:line="2" w:lineRule="exact"/>
        <w:rPr>
          <w:sz w:val="20"/>
          <w:szCs w:val="20"/>
          <w:color w:val="auto"/>
        </w:rPr>
      </w:pPr>
    </w:p>
    <w:p>
      <w:pPr>
        <w:ind w:right="320" w:firstLine="8"/>
        <w:spacing w:after="0" w:line="255"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Dr. Teel’s (or Dr. Houston’s) employment by us without cause, or by him for good reason within twelve months following a change in control, Dr. Teel is (and Dr. Houston was) entitled to the accrued obligations. In addition, subject to his execution and non-revocation of a release of claims in our favor and his continued compliance with his proprietary rights, non-disclosure, developments, non-competition and non-solicitation agreement and any similar agreement with us, Dr. Teel is (and Dr. Houston was) entitled to (1) continued payment of his base salary,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 awards, such that his equity awards become fully exercisable and non-forfeitable as of the termination date.</w:t>
      </w:r>
    </w:p>
    <w:p>
      <w:pPr>
        <w:spacing w:after="0" w:line="1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Dr. Teel’s employment is (or Dr. Houston’s employment was) terminated for any other reason, including as a result of his death or disability, for cause, or voluntarily by Dr. Teel (or Dr. Houston) without good reason, our obligations under the employment agreement cease immediately, and Dr. Teel is (and Dr. Houston was) only entitled to the accrued obligations.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Dr. Houston</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12, 2026, Dr. Houston and the Company entered into a consulting agreement, pursuant to which Dr. Houston agreed to provide consulting and advisory services to the Company until March 1, 2027. Pursuant to the terms of the consulting agreement, Dr. Houston will be paid the following: (i) provided that Dr. Houston is eligible for and timely elects to continue his benefits under the COBRA, a lump sum of $27,914.40 equal to 12-months of premiums for health coverage that is paid by the Company for active and similarly-situated employees who receive the same type of coverage, inclusive of any dependents, within 45 days of February 12, 2026, (ii) a lump sum of $457,000, on or about March 15, 2026, equivalent to the amount that Dr. Houston would have received as an employee for a 2025 bonus based on achievement of the Company’s 2025 corporate goals as approved by our board of directors, had he continued to be employed by us as President and Chief Executive Officer on the date of payment; (iii) an additional hourly fee to the extent Dr. Houston performs the consulting services in excess of a certain amount of hours per month, and (iv) continued equity vesting.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Dr. Taylor</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Dr. Taylor’s resignation as our President of R&amp;D, we entered into a consulting agreement with Dr. Taylor, pursuant to which Dr. Taylor agreed to provide consulting and advisory services to us for one year from the resignation date, unless earlier terminated by us or Dr. Taylor with at least 10 business days' prior written notice. Dr. Taylor has remained as chair of our Scientific Advisory Board, and received no additional compensation in connection therewith.</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consulting agreement, Dr. Taylor is paid an hourly rate for his services during the consulting period and continued equity vesting during the consulting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Rights, Non-disclosure, Developments, Non-competition and Non-solicitation Agreements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entering into initial employment with us, each of Dr. Houston, Dr. Berkowitz, Dr. Cacace, Mr. Saik, Dr. Taylor and Dr. Teel signed a proprietary rights, non-disclosure, developments, non-competition and non-solicitation agreement or a proprietary information and assignments agreement. Under these agreements, each named executive officer agreed not to compete with us during his employment and for a period of one year after the termination of his or her employment, not to solicit our employees, consultants, or actual or prospective customers or business relations during his or her employment and for a period of one year after the termination of his or her employment, and to protect our confidential and proprietary information indefinitely. In addition, under this agreement, each named executive officer agreed that we own all inventions that are developed by such executive officer during his or her employment. Each named executive officer also agreed to provide us with a non-exclusive, royalty-free, perpetual license for any prior inventions that such executive officer incorporates into any of our products, processes, research or development programs or other works in the course of such named executive officer’s employment with us.</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estimate of the amount of severance benefits to which each of our named executive officers would have been entitled if a termination occurred on December 31, 2025 under the circumstances set forth in the column headings.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Dr. Houston served as President and Chief Executive Officer until February 12, 2026; therefore, the potential payments in the table below are hypothetical only. Since Dr. Houston resigned from these positions voluntarily, he was entitled to the accrued obligations under his employment agreement and he did not receive any severance payments or acceleration of equity vesting</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terms of his employment agreement. Dr. Houston did receive and is entitled to receive certain payments pursuant to a consulting agreement with us as further described above under “Other Agreements.”</w:t>
      </w:r>
    </w:p>
    <w:p>
      <w:pPr>
        <w:spacing w:after="0" w:line="175"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Dr. Taylor ceased to be an executive officer on June 6, 2025 and did not receive payments in connection with his resignation, and therefore is not included in the table below. Dr. Taylor did receive and is entitled to receive certain payments pursuant to a consulting agreement with us as further described above under “Other Agreements.”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Teel was not an executive officer during 2025. Therefore, Dr. Teel is not included in the table below.</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by the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by the</w:t>
            </w: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 or by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 Good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 or by</w:t>
            </w: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Payments</w:t>
            </w: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Reason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Executive for Good</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 Change 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149"/>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4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Benefits</w:t>
            </w: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Control)</w:t>
            </w:r>
          </w:p>
        </w:tc>
        <w:tc>
          <w:tcPr>
            <w:tcW w:w="0" w:type="dxa"/>
            <w:vAlign w:val="bottom"/>
          </w:tcPr>
          <w:p>
            <w:pPr>
              <w:spacing w:after="0"/>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upon Termination (1)</w:t>
            </w:r>
          </w:p>
        </w:tc>
        <w:tc>
          <w:tcPr>
            <w:tcW w:w="1520" w:type="dxa"/>
            <w:vAlign w:val="bottom"/>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29"/>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Houston, Ph.D. (6)</w:t>
            </w:r>
          </w:p>
        </w:tc>
        <w:tc>
          <w:tcPr>
            <w:tcW w:w="10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Severance (2)</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706,236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1,059,354</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Non-Equity Incentive Plan Compensation (3)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635,612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2,908,214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Benefits (5)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0" w:type="dxa"/>
            <w:vAlign w:val="bottom"/>
          </w:tcPr>
          <w:p>
            <w:pPr>
              <w:spacing w:after="0"/>
              <w:rPr>
                <w:sz w:val="1"/>
                <w:szCs w:val="1"/>
                <w:color w:val="auto"/>
              </w:rPr>
            </w:pPr>
          </w:p>
        </w:tc>
      </w:tr>
      <w:tr>
        <w:trPr>
          <w:trHeight w:val="263"/>
        </w:trPr>
        <w:tc>
          <w:tcPr>
            <w:tcW w:w="38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730,926</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4,640,214</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Saik</w:t>
            </w: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Severance (2)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542,063</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Non-Equity Incentive Plan Compensation (3)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243,928</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(4)</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1,835,323</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Benefits (5)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35,197</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432,945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3,134,261</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Noah Berkowitz, MD., Ph.D.</w:t>
            </w: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Severance (2)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414,290</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552,387</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Non-Equity Incentive Plan Compensation (3)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1,926,277</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Benefits (5)</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3,204,988</w:t>
            </w: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Angela Cacace, Ph.D.</w:t>
            </w: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Severance (2)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500,763</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Non-Equity Incentive Plan Compensation (3)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225,343</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(4)</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1,553,577</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Benefits (5)</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2,757,433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right="440" w:hanging="652"/>
        <w:spacing w:after="0" w:line="282"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payable under the terms of the employment agreements with our executive officers. All amounts listed in the table are in addition to any amounts earned or accrued but unpaid as of the date of termination.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20" w:hanging="652"/>
        <w:spacing w:after="0" w:line="266"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 months of base salary continuation under no change in control and 18 months of base salary continuation under a change in control for Dr. Houston. Represents nine months of base salary continuation under no change in control and 12 months of base salary continuation under a change in control for Mr. Saik, Dr. Berkowitz and Dr. Cacace.</w:t>
      </w:r>
    </w:p>
    <w:p>
      <w:pPr>
        <w:spacing w:after="0" w:line="67" w:lineRule="exact"/>
        <w:rPr>
          <w:rFonts w:ascii="Times New Roman" w:cs="Times New Roman" w:eastAsia="Times New Roman" w:hAnsi="Times New Roman"/>
          <w:sz w:val="18"/>
          <w:szCs w:val="18"/>
          <w:color w:val="auto"/>
        </w:rPr>
      </w:pPr>
    </w:p>
    <w:p>
      <w:pPr>
        <w:ind w:left="660" w:hanging="652"/>
        <w:spacing w:after="0" w:line="261"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payment amount assumes no bonus amounts for 2025 have been paid to the executive as of December 31, 2025, and that all 2024 bonus amounts have been paid as of such date, in each case, as would be consistent with the company’s historical practice. Represents an amount equal to 150% of Dr. Houston’s annual target bonus for 2025. Represents an amount equal to 100% of the annual target bonus for 2025 for Mr. Saik, Dr. Berkowitz and Dr. Cacace.</w:t>
      </w:r>
    </w:p>
    <w:p>
      <w:pPr>
        <w:spacing w:after="0" w:line="71" w:lineRule="exact"/>
        <w:rPr>
          <w:rFonts w:ascii="Times New Roman" w:cs="Times New Roman" w:eastAsia="Times New Roman" w:hAnsi="Times New Roman"/>
          <w:sz w:val="18"/>
          <w:szCs w:val="18"/>
          <w:color w:val="auto"/>
        </w:rPr>
      </w:pPr>
    </w:p>
    <w:p>
      <w:pPr>
        <w:ind w:left="660" w:right="40" w:hanging="652"/>
        <w:spacing w:after="0" w:line="258"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reflects the in-the-money value of the unvested portion of such named executive officer’s options. The value is calculated by multiplying the amount (if any) by which $11.86, the closing price of our common stock on The Nasdaq Global Select Market on December 31, 2025, exceeds the exercise price of the Option by the number of shares subject to the accelerated portion of the Option. With respect to RSUs and restricted stock, the value is calculated by multiplying the number of unvested RSUs and restricted stock with vesting provisions based solely on time by $11.86, the closing price of our common stock on The Nasdaq Global Select Market on December 31, 2025.</w:t>
      </w:r>
    </w:p>
    <w:p>
      <w:pPr>
        <w:spacing w:after="0" w:line="75" w:lineRule="exact"/>
        <w:rPr>
          <w:rFonts w:ascii="Times New Roman" w:cs="Times New Roman" w:eastAsia="Times New Roman" w:hAnsi="Times New Roman"/>
          <w:sz w:val="18"/>
          <w:szCs w:val="18"/>
          <w:color w:val="auto"/>
        </w:rPr>
      </w:pPr>
    </w:p>
    <w:p>
      <w:pPr>
        <w:ind w:left="660" w:right="80" w:hanging="652"/>
        <w:spacing w:after="0" w:line="258"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 months and 18 months of reimbursement of a portion of Dr. Houston’s and dependents’ health and dental COBRA premiums to the same extent as if the executive remained employed for no change in control and change in control respectively. Represents nine months and 12 months of reimbursement of a portion of Mr. Saik’s and dependents’ health and dental COBRA premiums to the same extent as if the executive remained employed for no change in control and change in control respectively. Dr. Berkowitz and Dr. Cacace do not participate in our health and dental plans and therefore are not currently entitled to any COBRA premiums.</w:t>
      </w:r>
    </w:p>
    <w:p>
      <w:pPr>
        <w:spacing w:after="0" w:line="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Dr. Houston resigned as President and Chief Executive Officer effective February 12, 2026.</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 Ratio</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required by the Dodd-Frank Act and SEC rules, we are providing the following information about the relationship of the annual total compensation of our employees and the annual total compensation of John Houston, our President and Chief Executive Officer throughout 2025, who resigned effective February 12, 2026.</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2025, we estimate the pay ratio of the annual total compensation of our President and Chief Executive Officer ($6,534,127 as reported in the 2025 Summary Compensation Table above) to the annual total compensation of our median employee ($327,724) to be approximately 20 to 1. We believe this ratio represents a reasonable estimate calculated in a manner consistent with Item 402(u) of Regulation S-K.</w:t>
      </w:r>
    </w:p>
    <w:p>
      <w:pPr>
        <w:spacing w:after="0" w:line="162"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18"/>
          <w:szCs w:val="18"/>
          <w:color w:val="auto"/>
        </w:rPr>
        <w:t>We identified our median employee by examining our total employee population on October 15, 2025, of approximately 250 full-time employees, excluding our President and Chief Executive Officer. We did not have any part-time or temporary employees on October 15, 2025. We then used base salary, incentive compensation (including annual cash bonuses and long-term incentives) and other incentive payments, as applicable, to determine the annual total compensation of our median employee. We did not make any cost-of-living or other adjustments.</w:t>
      </w:r>
    </w:p>
    <w:p>
      <w:pPr>
        <w:spacing w:after="0" w:line="1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56"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In accordance with rules adopted by the U.S. Securities and Exchange Commission pursuant to the Dodd-Frank Wall Street Reform and Consumer Protection Act of 2010, we provide the following disclosure regarding executive compensation for our principal executive officer, or PEO, and non-PEO named executive officers, or Non-PEO NEOs, and our Company performance for the fiscal years listed below. We did not use any financial performance measures to link Compensation Actually Paid to our performance in 2025. Therefore, this disclosure presents neither a Tabular List of most important financial performance measures nor a Company-Selected Measure. Further, The Compensation Committee did not consider the pay versus performance disclosure below in making its pay decisions for any of the years shown. The Compensation Committee did not consider the pay versus performance disclosure below in making its pay decisions for any of the years shown.</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320" w:type="dxa"/>
            <w:vAlign w:val="bottom"/>
          </w:tcPr>
          <w:p>
            <w:pPr>
              <w:spacing w:after="0"/>
              <w:rPr>
                <w:sz w:val="13"/>
                <w:szCs w:val="13"/>
                <w:color w:val="auto"/>
              </w:rPr>
            </w:pPr>
          </w:p>
        </w:tc>
      </w:tr>
      <w:tr>
        <w:trPr>
          <w:trHeight w:val="217"/>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based on:</w:t>
            </w:r>
            <w:r>
              <w:rPr>
                <w:rFonts w:ascii="Times New Roman" w:cs="Times New Roman" w:eastAsia="Times New Roman" w:hAnsi="Times New Roman"/>
                <w:sz w:val="18"/>
                <w:szCs w:val="18"/>
                <w:b w:val="1"/>
                <w:bCs w:val="1"/>
                <w:color w:val="auto"/>
                <w:vertAlign w:val="superscript"/>
              </w:rPr>
              <w:t>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58"/>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Average Summary</w:t>
            </w: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tcPr>
          <w:p>
            <w:pPr>
              <w:spacing w:after="0"/>
              <w:rPr>
                <w:sz w:val="13"/>
                <w:szCs w:val="13"/>
                <w:color w:val="auto"/>
              </w:rPr>
            </w:pPr>
          </w:p>
        </w:tc>
        <w:tc>
          <w:tcPr>
            <w:tcW w:w="11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Peer Group</w:t>
            </w:r>
          </w:p>
        </w:tc>
        <w:tc>
          <w:tcPr>
            <w:tcW w:w="1320" w:type="dxa"/>
            <w:vAlign w:val="bottom"/>
          </w:tcPr>
          <w:p>
            <w:pPr>
              <w:spacing w:after="0"/>
              <w:rPr>
                <w:sz w:val="13"/>
                <w:szCs w:val="13"/>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Pr>
          <w:p>
            <w:pPr>
              <w:spacing w:after="0"/>
              <w:rPr>
                <w:sz w:val="14"/>
                <w:szCs w:val="14"/>
                <w:color w:val="auto"/>
              </w:rPr>
            </w:pPr>
          </w:p>
        </w:tc>
      </w:tr>
      <w:tr>
        <w:trPr>
          <w:trHeight w:val="146"/>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6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Total for</w:t>
            </w:r>
          </w:p>
        </w:tc>
        <w:tc>
          <w:tcPr>
            <w:tcW w:w="15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 Shareholder</w:t>
            </w:r>
          </w:p>
        </w:tc>
        <w:tc>
          <w:tcPr>
            <w:tcW w:w="11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320" w:type="dxa"/>
            <w:vAlign w:val="bottom"/>
          </w:tcPr>
          <w:p>
            <w:pPr>
              <w:spacing w:after="0"/>
              <w:rPr>
                <w:sz w:val="12"/>
                <w:szCs w:val="12"/>
                <w:color w:val="auto"/>
              </w:rPr>
            </w:pPr>
          </w:p>
        </w:tc>
      </w:tr>
      <w:tr>
        <w:trPr>
          <w:trHeight w:val="178"/>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PEO.¹</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PEO.¹</w:t>
            </w:r>
            <w:r>
              <w:rPr>
                <w:rFonts w:ascii="Arial" w:cs="Arial" w:eastAsia="Arial" w:hAnsi="Arial"/>
                <w:sz w:val="14"/>
                <w:szCs w:val="14"/>
                <w:color w:val="auto"/>
                <w:w w:val="99"/>
              </w:rPr>
              <w:t>˒</w:t>
            </w:r>
            <w:r>
              <w:rPr>
                <w:rFonts w:ascii="Times New Roman" w:cs="Times New Roman" w:eastAsia="Times New Roman" w:hAnsi="Times New Roman"/>
                <w:sz w:val="14"/>
                <w:szCs w:val="14"/>
                <w:b w:val="1"/>
                <w:bCs w:val="1"/>
                <w:color w:val="auto"/>
                <w:w w:val="99"/>
              </w:rPr>
              <w:t>²</w:t>
            </w:r>
            <w:r>
              <w:rPr>
                <w:rFonts w:ascii="Arial" w:cs="Arial" w:eastAsia="Arial" w:hAnsi="Arial"/>
                <w:sz w:val="14"/>
                <w:szCs w:val="14"/>
                <w:color w:val="auto"/>
                <w:w w:val="99"/>
              </w:rPr>
              <w:t>˒</w:t>
            </w:r>
            <w:r>
              <w:rPr>
                <w:rFonts w:ascii="Times New Roman" w:cs="Times New Roman" w:eastAsia="Times New Roman" w:hAnsi="Times New Roman"/>
                <w:sz w:val="14"/>
                <w:szCs w:val="14"/>
                <w:b w:val="1"/>
                <w:bCs w:val="1"/>
                <w:color w:val="auto"/>
                <w:w w:val="99"/>
              </w:rPr>
              <w:t>³</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NEOs¹</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Non-PEO NEOs¹</w:t>
            </w: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²</w:t>
            </w: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³</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Net Income</w:t>
            </w:r>
          </w:p>
        </w:tc>
      </w:tr>
      <w:tr>
        <w:trPr>
          <w:trHeight w:val="190"/>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Millions)</w:t>
            </w:r>
          </w:p>
        </w:tc>
      </w:tr>
      <w:tr>
        <w:trPr>
          <w:trHeight w:val="23"/>
        </w:trPr>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6,534,127</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2,578,444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2,790,143</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1,909,340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13.96</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124.75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3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12,746,981</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3,228,269</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3,420,357</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1,277,260</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22.57</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93.49</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(199)</w:t>
            </w:r>
          </w:p>
        </w:tc>
      </w:tr>
      <w:tr>
        <w:trPr>
          <w:trHeight w:val="22"/>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7,627,032</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5,982,932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2,733,034</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2,167,245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48.46</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94.03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(367)</w:t>
            </w:r>
          </w:p>
        </w:tc>
      </w:tr>
      <w:tr>
        <w:trPr>
          <w:trHeight w:val="23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9,545,846</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(6,680,330)</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3,521,254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(1,686,145)</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40.28</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89.90</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(283)</w:t>
            </w:r>
          </w:p>
        </w:tc>
      </w:tr>
      <w:tr>
        <w:trPr>
          <w:trHeight w:val="22"/>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12,601,014</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9,298,565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4,261,285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3,296,740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96.71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-1040130</wp:posOffset>
            </wp:positionV>
            <wp:extent cx="94615" cy="53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5397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-1040130</wp:posOffset>
            </wp:positionV>
            <wp:extent cx="94615" cy="53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53975"/>
                    </a:xfrm>
                    <a:prstGeom prst="rect">
                      <a:avLst/>
                    </a:prstGeom>
                    <a:noFill/>
                  </pic:spPr>
                </pic:pic>
              </a:graphicData>
            </a:graphic>
          </wp:anchor>
        </w:drawing>
      </w:r>
    </w:p>
    <w:p>
      <w:pPr>
        <w:spacing w:after="0" w:line="164" w:lineRule="exact"/>
        <w:rPr>
          <w:sz w:val="20"/>
          <w:szCs w:val="20"/>
          <w:color w:val="auto"/>
        </w:rPr>
      </w:pPr>
    </w:p>
    <w:p>
      <w:pPr>
        <w:ind w:left="660" w:right="60" w:hanging="652"/>
        <w:spacing w:after="0" w:line="282"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Houston, Ph.D. was our PEO for each year presented. Dr. Houston resigned as PEO effective February 12, 2026. The individuals comprising the Non-PEO NEOs for each year presented are listed below.</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2021 - 2023</w:t>
            </w:r>
          </w:p>
        </w:tc>
        <w:tc>
          <w:tcPr>
            <w:tcW w:w="10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Sean Cassidy</w:t>
            </w: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Andrew Saik</w:t>
            </w:r>
          </w:p>
        </w:tc>
        <w:tc>
          <w:tcPr>
            <w:tcW w:w="1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Andrew Saik</w:t>
            </w:r>
          </w:p>
        </w:tc>
      </w:tr>
      <w:tr>
        <w:trPr>
          <w:trHeight w:val="234"/>
        </w:trPr>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Ronald Peck</w:t>
            </w: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Sean Cassidy</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Noah Berkowitz, M.D., Ph.D.</w:t>
            </w:r>
          </w:p>
        </w:tc>
      </w:tr>
      <w:tr>
        <w:trPr>
          <w:trHeight w:val="22"/>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Ian Taylor, Ph.D.</w:t>
            </w:r>
          </w:p>
        </w:tc>
        <w:tc>
          <w:tcPr>
            <w:tcW w:w="3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Randy Teel, Ph.D.</w:t>
            </w: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Angela Cacace, Ph.D.</w:t>
            </w:r>
          </w:p>
        </w:tc>
      </w:tr>
      <w:tr>
        <w:trPr>
          <w:trHeight w:val="234"/>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Noah Berkowitz, M.D., Ph.D.</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Ian Taylor, Ph.D.</w:t>
            </w:r>
          </w:p>
        </w:tc>
      </w:tr>
      <w:tr>
        <w:trPr>
          <w:trHeight w:val="22"/>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3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Angela Cacace, Ph.D.</w:t>
            </w:r>
          </w:p>
        </w:tc>
        <w:tc>
          <w:tcPr>
            <w:tcW w:w="3220" w:type="dxa"/>
            <w:vAlign w:val="bottom"/>
            <w:tcBorders>
              <w:bottom w:val="single" w:sz="8" w:color="CCEEFF"/>
            </w:tcBorders>
            <w:shd w:val="clear" w:color="auto" w:fill="CCEEFF"/>
          </w:tcPr>
          <w:p>
            <w:pPr>
              <w:spacing w:after="0"/>
              <w:rPr>
                <w:sz w:val="20"/>
                <w:szCs w:val="20"/>
                <w:color w:val="auto"/>
              </w:rPr>
            </w:pPr>
          </w:p>
        </w:tc>
      </w:tr>
      <w:tr>
        <w:trPr>
          <w:trHeight w:val="234"/>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Ian Taylor, Ph.D.</w:t>
            </w:r>
          </w:p>
        </w:tc>
        <w:tc>
          <w:tcPr>
            <w:tcW w:w="3220" w:type="dxa"/>
            <w:vAlign w:val="bottom"/>
          </w:tcPr>
          <w:p>
            <w:pPr>
              <w:spacing w:after="0"/>
              <w:rPr>
                <w:sz w:val="20"/>
                <w:szCs w:val="20"/>
                <w:color w:val="auto"/>
              </w:rPr>
            </w:pP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right="260" w:hanging="652"/>
        <w:spacing w:after="0" w:line="266"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our named executive officers during the applicable year. These amounts reflect the Summary Compensation Table Total with certain adjustments made in accordance with Item 402(v) and as described in footnote 3 below.</w:t>
      </w:r>
    </w:p>
    <w:p>
      <w:pPr>
        <w:spacing w:after="0" w:line="67" w:lineRule="exact"/>
        <w:rPr>
          <w:rFonts w:ascii="Times New Roman" w:cs="Times New Roman" w:eastAsia="Times New Roman" w:hAnsi="Times New Roman"/>
          <w:sz w:val="18"/>
          <w:szCs w:val="18"/>
          <w:color w:val="auto"/>
        </w:rPr>
      </w:pPr>
    </w:p>
    <w:p>
      <w:pPr>
        <w:ind w:left="660" w:right="220" w:hanging="652"/>
        <w:spacing w:after="0" w:line="266"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columns are the totals from the Stock Awards and Option Awards columns set forth in the Summary Compensation Table.</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Exclusion of Stock Awards and</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Inclusion of Equity Values for</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for PEO</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 Awards for PEO</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r>
      <w:tr>
        <w:trPr>
          <w:trHeight w:val="20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8"/>
        </w:trPr>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6,534,127</w:t>
            </w:r>
          </w:p>
        </w:tc>
        <w:tc>
          <w:tcPr>
            <w:tcW w:w="1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(5,356,891)</w:t>
            </w:r>
          </w:p>
        </w:tc>
        <w:tc>
          <w:tcPr>
            <w:tcW w:w="1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1,401,208</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2,578,444</w:t>
            </w:r>
          </w:p>
        </w:tc>
      </w:tr>
      <w:tr>
        <w:trPr>
          <w:trHeight w:val="360"/>
        </w:trPr>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1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Exclusion of Stock</w:t>
            </w:r>
          </w:p>
        </w:tc>
        <w:tc>
          <w:tcPr>
            <w:tcW w:w="2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Table Total for</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 and Option Awards for</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Inclusion of Equity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 Actually</w:t>
            </w: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Values for Non-PEO NEOs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to Non-PEO NEOs</w:t>
            </w:r>
          </w:p>
        </w:tc>
      </w:tr>
      <w:tr>
        <w:trPr>
          <w:trHeight w:val="19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4"/>
        </w:trPr>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2,790,143</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(2,142,844)</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1,262,041</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1,909,340</w:t>
            </w:r>
          </w:p>
        </w:tc>
      </w:tr>
      <w:tr>
        <w:trPr>
          <w:trHeight w:val="20"/>
        </w:trPr>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Year-End Fair Value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from Last Day of</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 Last</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Equity Awards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Day of Year of</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Vesting-Date Fair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Prior Year to Vesting</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Granted During Year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and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of Equity</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of Unvested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at Last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That Remained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Unvested Equity</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Day of Prior Year of</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 and</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Granted in</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During Year that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Granted in any Prior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Inclusion of</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Unvested as of Last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any Prior Year for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Vested During Year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 that Vested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Forfeited During Year</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Day of Year for PEO</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PEO</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During Year for PEO</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PEO</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209"/>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73"/>
        </w:trPr>
        <w:tc>
          <w:tcPr>
            <w:tcW w:w="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3,577,248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(1,437,614)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(738,426)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1,401,208</w:t>
            </w:r>
          </w:p>
        </w:tc>
        <w:tc>
          <w:tcPr>
            <w:tcW w:w="0" w:type="dxa"/>
            <w:vAlign w:val="bottom"/>
          </w:tcPr>
          <w:p>
            <w:pPr>
              <w:spacing w:after="0"/>
              <w:rPr>
                <w:sz w:val="1"/>
                <w:szCs w:val="1"/>
                <w:color w:val="auto"/>
              </w:rPr>
            </w:pPr>
          </w:p>
        </w:tc>
      </w:tr>
      <w:tr>
        <w:trPr>
          <w:trHeight w:val="725"/>
        </w:trPr>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Average Year-End</w:t>
            </w:r>
          </w:p>
        </w:tc>
        <w:tc>
          <w:tcPr>
            <w:tcW w:w="15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of Equity</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from Last</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from Last</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Vesting-Date</w:t>
            </w: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Fair Value at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During Year That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Last Day of Year of</w:t>
            </w:r>
          </w:p>
        </w:tc>
        <w:tc>
          <w:tcPr>
            <w:tcW w:w="1520" w:type="dxa"/>
            <w:vAlign w:val="bottom"/>
            <w:gridSpan w:val="2"/>
            <w:vMerge w:val="continue"/>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Vesting Date of</w:t>
            </w:r>
          </w:p>
        </w:tc>
        <w:tc>
          <w:tcPr>
            <w:tcW w:w="152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and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of Equity</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Equity</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Last Day of Prior</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of Equity</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Unvested as of Last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Granted in</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During Year that</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any Prior Year that</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Forfeited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Inclusion of Equity</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Day of Year for Non-</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any Prior Year for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Vested During Year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Vested During Year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During Year for Non-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Values for Non-PEO</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Non-PEO NEOs</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Non-PEO NEOs</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204"/>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2,137,269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(508,376)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(366,852)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1,262,041</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hanging="652"/>
        <w:spacing w:after="0" w:line="261"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Nasdaq Biotechnology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Nasdaq Biotechnology Index, respectively. Historical stock performance is not necessarily indicative of future stock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Company Total Shareholder Return (“TSR”)</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five most recently completed fiscal years for the Company and the Nasdaq Biotechnology Index TSR over the same period.</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474980</wp:posOffset>
            </wp:positionV>
            <wp:extent cx="5760720" cy="31546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6072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45720</wp:posOffset>
            </wp:positionV>
            <wp:extent cx="5760720" cy="3103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6072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and Other Compensation Plans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two equity incentive plans described in this section are the 2018 Plan and the 2018 ESPP. We have also made inducement awards to certain new hires, which awards were not approved by our stockholders.</w:t>
      </w:r>
    </w:p>
    <w:p>
      <w:pPr>
        <w:sectPr>
          <w:pgSz w:w="11900" w:h="16838" w:orient="portrait"/>
          <w:cols w:equalWidth="0" w:num="1">
            <w:col w:w="11140"/>
          </w:cols>
          <w:pgMar w:left="320" w:top="126" w:right="4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plans as of December 31, 2025. As of December 31, 2025, we had two equity compensation plans: our 2018 Plan and our 2018 ESPP, each of which was approved by our stockholders.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1744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44" w:lineRule="exact"/>
        <w:rPr>
          <w:sz w:val="20"/>
          <w:szCs w:val="20"/>
          <w:color w:val="auto"/>
        </w:rPr>
      </w:pPr>
    </w:p>
    <w:p>
      <w:pPr>
        <w:ind w:left="240" w:right="1860" w:hanging="215"/>
        <w:spacing w:after="0" w:line="268" w:lineRule="auto"/>
        <w:rPr>
          <w:sz w:val="20"/>
          <w:szCs w:val="20"/>
          <w:color w:val="auto"/>
        </w:rPr>
      </w:pPr>
      <w:r>
        <w:rPr>
          <w:rFonts w:ascii="Times New Roman" w:cs="Times New Roman" w:eastAsia="Times New Roman" w:hAnsi="Times New Roman"/>
          <w:sz w:val="18"/>
          <w:szCs w:val="18"/>
          <w:color w:val="auto"/>
        </w:rPr>
        <w:t>Equity compensation plans approved by security holders 2018 Plan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2018 ESPP (3)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75"/>
        </w:trPr>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r>
      <w:tr>
        <w:trPr>
          <w:trHeight w:val="16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175"/>
        </w:trPr>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17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8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75"/>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w:t>
            </w:r>
          </w:p>
        </w:tc>
        <w:tc>
          <w:tcPr>
            <w:tcW w:w="8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162"/>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upon exercise of</w:t>
            </w:r>
          </w:p>
        </w:tc>
        <w:tc>
          <w:tcPr>
            <w:tcW w:w="8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75"/>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8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column(a))</w:t>
            </w:r>
          </w:p>
        </w:tc>
      </w:tr>
      <w:tr>
        <w:trPr>
          <w:trHeight w:val="17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RSUs</w:t>
            </w:r>
          </w:p>
        </w:tc>
        <w:tc>
          <w:tcPr>
            <w:tcW w:w="154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190"/>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4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4"/>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466"/>
        </w:trPr>
        <w:tc>
          <w:tcPr>
            <w:tcW w:w="14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11,871,741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24"/>
                <w:szCs w:val="24"/>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2,966,406</w:t>
            </w:r>
          </w:p>
        </w:tc>
      </w:tr>
      <w:tr>
        <w:trPr>
          <w:trHeight w:val="229"/>
        </w:trPr>
        <w:tc>
          <w:tcPr>
            <w:tcW w:w="14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3,577,025</w:t>
            </w:r>
          </w:p>
        </w:tc>
      </w:tr>
      <w:tr>
        <w:trPr>
          <w:trHeight w:val="234"/>
        </w:trPr>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383,385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12,255,126</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6,543,431</w:t>
            </w: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60" w:space="720"/>
            <w:col w:w="4560"/>
          </w:cols>
          <w:pgMar w:left="320" w:top="126" w:right="339" w:bottom="1440" w:gutter="0" w:footer="0" w:header="0"/>
          <w:type w:val="continuous"/>
        </w:sectPr>
      </w:pPr>
    </w:p>
    <w:p>
      <w:pPr>
        <w:spacing w:after="0" w:line="227" w:lineRule="exact"/>
        <w:rPr>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include RSUs, which have no exercise price.</w:t>
      </w:r>
    </w:p>
    <w:p>
      <w:pPr>
        <w:spacing w:after="0" w:line="117"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do not reflect an additional 2,541,289 shares of common stock authorized for issuance under the 2018 Plan as of January 1, 2026 in accordance with the terms of the applicable plan. The 2018 Plan provides for further annual increases to be added as of the first day of each fiscal year until, and including, January 1, 2028, equal to the lesser of 4,989,593 shares of our common stock, 4% of the number of shares of our common stock outstanding on such first day of the fiscal year in question or an amount determined by our board of directors.</w:t>
      </w:r>
    </w:p>
    <w:p>
      <w:pPr>
        <w:spacing w:after="0" w:line="71" w:lineRule="exact"/>
        <w:rPr>
          <w:rFonts w:ascii="Times New Roman" w:cs="Times New Roman" w:eastAsia="Times New Roman" w:hAnsi="Times New Roman"/>
          <w:sz w:val="18"/>
          <w:szCs w:val="18"/>
          <w:color w:val="auto"/>
        </w:rPr>
      </w:pPr>
    </w:p>
    <w:p>
      <w:pPr>
        <w:ind w:left="660" w:right="80" w:hanging="652"/>
        <w:spacing w:after="0" w:line="281" w:lineRule="auto"/>
        <w:tabs>
          <w:tab w:leader="none" w:pos="65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disclosed do not reflect an additional 635,322 shares of common stock authorized for issuance under the 2018 ESPP as of January 1, 2026 in accordance with the terms of the applicable plan. The 2018 ESPP provides for further annual increases to be added as of the first day of each fiscal year until, and including, January 1, 2029, in an amount equal to the lesser of 1,247,398 shares of our common stock, 1% of the total number of shares of our common stock outstanding on the first day of the applicable year, or an amount determined by our board of directors.</w:t>
      </w:r>
    </w:p>
    <w:p>
      <w:pPr>
        <w:spacing w:after="0" w:line="56" w:lineRule="exact"/>
        <w:rPr>
          <w:rFonts w:ascii="Times New Roman" w:cs="Times New Roman" w:eastAsia="Times New Roman" w:hAnsi="Times New Roman"/>
          <w:sz w:val="17"/>
          <w:szCs w:val="17"/>
          <w:color w:val="auto"/>
        </w:rPr>
      </w:pPr>
    </w:p>
    <w:p>
      <w:pPr>
        <w:jc w:val="both"/>
        <w:ind w:left="660" w:right="100" w:hanging="652"/>
        <w:spacing w:after="0" w:line="263"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inducement stock option and inducement RSU awards granted to employees in accordance with Nasdaq Listing Rule 5635(c)(4), with an exercise price equal to the closing price of our common stock on the date of grant, for inducement stock option awards. This aggregate amount includes the following inducement awards made to two of our officers (as defined in Exchange Act Rule 16a-1(f)):</w:t>
      </w:r>
    </w:p>
    <w:tbl>
      <w:tblPr>
        <w:tblLayout w:type="fixed"/>
        <w:tblInd w:w="660" w:type="dxa"/>
        <w:tblCellMar>
          <w:top w:w="0" w:type="dxa"/>
          <w:left w:w="0" w:type="dxa"/>
          <w:bottom w:w="0" w:type="dxa"/>
          <w:right w:w="0" w:type="dxa"/>
        </w:tblCellMar>
      </w:tblPr>
      <w:tr>
        <w:trPr>
          <w:trHeight w:val="148"/>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2"/>
          </w:tcPr>
          <w:p>
            <w:pPr>
              <w:ind w:left="220"/>
              <w:spacing w:after="0" w:line="148"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1460" w:type="dxa"/>
            <w:vAlign w:val="bottom"/>
            <w:gridSpan w:val="2"/>
          </w:tcPr>
          <w:p>
            <w:pPr>
              <w:ind w:left="500"/>
              <w:spacing w:after="0" w:line="148" w:lineRule="exact"/>
              <w:rPr>
                <w:sz w:val="20"/>
                <w:szCs w:val="20"/>
                <w:color w:val="auto"/>
              </w:rPr>
            </w:pPr>
            <w:r>
              <w:rPr>
                <w:rFonts w:ascii="Times New Roman" w:cs="Times New Roman" w:eastAsia="Times New Roman" w:hAnsi="Times New Roman"/>
                <w:sz w:val="14"/>
                <w:szCs w:val="14"/>
                <w:b w:val="1"/>
                <w:bCs w:val="1"/>
                <w:color w:val="auto"/>
              </w:rPr>
              <w:t>RSUs</w:t>
            </w:r>
          </w:p>
        </w:tc>
        <w:tc>
          <w:tcPr>
            <w:tcW w:w="13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Andrew Saik, </w:t>
            </w:r>
            <w:r>
              <w:rPr>
                <w:rFonts w:ascii="Times New Roman" w:cs="Times New Roman" w:eastAsia="Times New Roman" w:hAnsi="Times New Roman"/>
                <w:sz w:val="18"/>
                <w:szCs w:val="18"/>
                <w:i w:val="1"/>
                <w:iCs w:val="1"/>
                <w:color w:val="auto"/>
              </w:rPr>
              <w:t>Chief Financial Officer and Treasurer</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6/24/2024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Noah Berkowitz, M.D., Ph.D., </w:t>
            </w:r>
            <w:r>
              <w:rPr>
                <w:rFonts w:ascii="Times New Roman" w:cs="Times New Roman" w:eastAsia="Times New Roman" w:hAnsi="Times New Roman"/>
                <w:sz w:val="18"/>
                <w:szCs w:val="18"/>
                <w:i w:val="1"/>
                <w:iCs w:val="1"/>
                <w:color w:val="auto"/>
              </w:rPr>
              <w:t>Chief Medical Officer</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93,879</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3/18/2024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300" w:right="200" w:hanging="644"/>
        <w:spacing w:after="0" w:line="282" w:lineRule="auto"/>
        <w:tabs>
          <w:tab w:leader="none" w:pos="12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over a term of four years, with 25% of the shares underlying the Options vesting on the first anniversary of the grant date, with the remainder of the shares underlying the Options vesting in equal monthly installments until the fourth such anniversary.</w:t>
      </w:r>
    </w:p>
    <w:p>
      <w:pPr>
        <w:spacing w:after="0" w:line="53"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over a term of four years, with 25% of the shares underlying the RSUs vesting on each anniversary of the grant date until the fourth such anniversary.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Stock Incentive Plan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September 2018, our board of directors adopted and our stockholders approved 2018 Plan, which became effective immediately prior to our IPO. The 2018 Plan provides for the grant of incentive stock options, nonstatutory stock options, stock appreciation rights, awards of restricted stock, RSUs and other stock-based awards. The number of shares of our common stock that are reserved for issuance under the 2018 Plan is the sum of (1) 4,067,007 shares of common stock; plus (2) the number of shares (up to 1,277,181) equal to the number of shares of our common stock issued in respect of incentive units granted under the Incentive Plan that were subject to vesting immediately prior to the effectiveness of the registration statement for our initial public offering that expire, terminate or are otherwise surrendered, cancelled, forfeited or repurchased by us at their original issuance price pursuant to a contractual repurchase right; plus (3) an annual increase, to be added the first day of each fiscal year, beginning with the fiscal year ending December 31, 2019 and continuing until, and including, the fiscal year ending December 31, 2028, equal to the lesser of 4,989,593 shares of our common stock, 4% of the number of shares of our common stock outstanding on the first day of the fiscal year or an amount determined by our board of directors. As of December 31, 2025, 2,966,406 shares were available for issuance under the 2018 Plan.</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employees, officers, directors, consultants, and advisors are eligible to receive awards under the 2018 Plan; however, incentive stock options may only be granted to our employees.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2018 Plan will be added back to the shares of common stock available for issuance under our 2018 Plan.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the 2018 Plan, our board of directors (or a committee delegated by our board of directors) administers the 2018 Plan and, subject to any limitations set forth in the 2018 Plan, will select the recipients of awards and determine:</w:t>
      </w:r>
    </w:p>
    <w:p>
      <w:pPr>
        <w:spacing w:after="0" w:line="54" w:lineRule="exact"/>
        <w:rPr>
          <w:sz w:val="20"/>
          <w:szCs w:val="20"/>
          <w:color w:val="auto"/>
        </w:rPr>
      </w:pPr>
    </w:p>
    <w:p>
      <w:pPr>
        <w:ind w:left="2100" w:hanging="634"/>
        <w:spacing w:after="0"/>
        <w:tabs>
          <w:tab w:leader="none" w:pos="2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covered by options and the dates upon which those options become exercisable;</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options to be granted;</w:t>
      </w:r>
    </w:p>
    <w:p>
      <w:pPr>
        <w:spacing w:after="0" w:line="117" w:lineRule="exact"/>
        <w:rPr>
          <w:rFonts w:ascii="Times New Roman" w:cs="Times New Roman" w:eastAsia="Times New Roman" w:hAnsi="Times New Roman"/>
          <w:sz w:val="18"/>
          <w:szCs w:val="18"/>
          <w:color w:val="auto"/>
        </w:rPr>
      </w:pPr>
    </w:p>
    <w:p>
      <w:pPr>
        <w:ind w:left="2120" w:right="240" w:hanging="654"/>
        <w:spacing w:after="0" w:line="282" w:lineRule="auto"/>
        <w:tabs>
          <w:tab w:leader="none" w:pos="21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options, which price must be at least equal to the fair market value of our common stock on the date of grant;</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options, which may not be in excess of ten years;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methods of payment of the exercise price of options; and</w:t>
      </w:r>
    </w:p>
    <w:p>
      <w:pPr>
        <w:spacing w:after="0" w:line="117" w:lineRule="exact"/>
        <w:rPr>
          <w:rFonts w:ascii="Times New Roman" w:cs="Times New Roman" w:eastAsia="Times New Roman" w:hAnsi="Times New Roman"/>
          <w:sz w:val="18"/>
          <w:szCs w:val="18"/>
          <w:color w:val="auto"/>
        </w:rPr>
      </w:pPr>
    </w:p>
    <w:p>
      <w:pPr>
        <w:ind w:left="2120" w:hanging="654"/>
        <w:spacing w:after="0" w:line="258" w:lineRule="auto"/>
        <w:tabs>
          <w:tab w:leader="none" w:pos="21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subject to and the terms and conditions of any stock appreciation rights, awards of restricted stock, RSUs, other stock-based awards, including conditions for repurchase, measurement price, issue price and repurchase price and performance conditions (though the measurement price of stock appreciation rights must be at least equal to the fair market value of our common stock on the date of grant and the duration of such awards may not be in excess of ten years), if any.</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our board of directors delegates authority to an officer to grant awards under the 2018 Plan, the officer will have the power to make awards to all of our employees, except officers and executive officers (as such terms are defined in the 2018 Plan). Our board of directors will fix the terms of the awards to be granted by such officer, the maximum number of shares subject to awards that such officer may grant and the time period in which such awards may be granted.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2018 Plan contains limits on awards that may be made under the 2018 Plan to our non-employee directors. In any calendar year, the sum of cash compensation paid to any non-employee director for service as a director and the value of awards under the 2018 Plan made to such non-employee director (calculated based on the grant date fair value of such awards for financial reporting purposes) may not exceed $1.0 million. However, our board of directors may make exceptions to this limit for individual non-employee directors in extraordinary circumstances, provided that the non-employee director receiving such additional compensation may not participate in the decision to award such compensation.</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2018 Plan to make equitable adjustments (or make substitute awards, if applicable), in a manner determined by our board, to:</w:t>
      </w:r>
    </w:p>
    <w:p>
      <w:pPr>
        <w:spacing w:after="0" w:line="68" w:lineRule="exact"/>
        <w:rPr>
          <w:sz w:val="20"/>
          <w:szCs w:val="20"/>
          <w:color w:val="auto"/>
        </w:rPr>
      </w:pPr>
    </w:p>
    <w:p>
      <w:pPr>
        <w:ind w:left="2100" w:hanging="634"/>
        <w:spacing w:after="0"/>
        <w:tabs>
          <w:tab w:leader="none" w:pos="2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 of securities available under the 2018 Plan;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100" w:hanging="634"/>
        <w:spacing w:after="0"/>
        <w:tabs>
          <w:tab w:leader="none" w:pos="2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counting rules and sublimits under the 2018 Plan;</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 of securities and exercise price per share of each outstanding option;</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and per-share provisions and measurement price of each outstanding stock appreciation right;</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the repurchase price per share subject to each outstanding restricted stock award; and</w:t>
      </w:r>
    </w:p>
    <w:p>
      <w:pPr>
        <w:spacing w:after="0" w:line="117" w:lineRule="exact"/>
        <w:rPr>
          <w:rFonts w:ascii="Times New Roman" w:cs="Times New Roman" w:eastAsia="Times New Roman" w:hAnsi="Times New Roman"/>
          <w:sz w:val="18"/>
          <w:szCs w:val="18"/>
          <w:color w:val="auto"/>
        </w:rPr>
      </w:pPr>
    </w:p>
    <w:p>
      <w:pPr>
        <w:ind w:left="2120" w:right="240" w:hanging="654"/>
        <w:spacing w:after="0" w:line="282" w:lineRule="auto"/>
        <w:tabs>
          <w:tab w:leader="none" w:pos="21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and per-share related provisions and purchase price, if any, of each outstanding RSU award and other stock-based award.</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Upon a merger or other reorganization event (as defined in our 2018 Plan), our board of directors, may, on such terms as our board determines (except to the extent specifically provided otherwise in an applicable award agreement or other agreement between the participant and us), take any one or more of the following actions pursuant to the 2018 Plan, as to some or all outstanding awards, other than awards of restricted stock:</w:t>
      </w:r>
    </w:p>
    <w:p>
      <w:pPr>
        <w:spacing w:after="0" w:line="68" w:lineRule="exact"/>
        <w:rPr>
          <w:sz w:val="20"/>
          <w:szCs w:val="20"/>
          <w:color w:val="auto"/>
        </w:rPr>
      </w:pPr>
    </w:p>
    <w:p>
      <w:pPr>
        <w:ind w:left="2120" w:right="100" w:hanging="654"/>
        <w:spacing w:after="0" w:line="282" w:lineRule="auto"/>
        <w:tabs>
          <w:tab w:leader="none" w:pos="21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outstanding awards will be assumed or substantially equivalent awards will be substituted by the acquiring or succeeding corporation (or an affiliate thereof);</w:t>
      </w:r>
    </w:p>
    <w:p>
      <w:pPr>
        <w:spacing w:after="0" w:line="53" w:lineRule="exact"/>
        <w:rPr>
          <w:rFonts w:ascii="Times New Roman" w:cs="Times New Roman" w:eastAsia="Times New Roman" w:hAnsi="Times New Roman"/>
          <w:sz w:val="18"/>
          <w:szCs w:val="18"/>
          <w:color w:val="auto"/>
        </w:rPr>
      </w:pPr>
    </w:p>
    <w:p>
      <w:pPr>
        <w:ind w:left="2120" w:right="40" w:hanging="654"/>
        <w:spacing w:after="0" w:line="261" w:lineRule="auto"/>
        <w:tabs>
          <w:tab w:leader="none" w:pos="21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all of the participant’s unvested awards will be forfeited immediately prior to the consummation of the reorganization event and/or unexercised awards will terminate immediately prior to the consummation of such transaction unless exercised to the extent exercisable, by the participant within a specified period following the date of such notice;</w:t>
      </w:r>
    </w:p>
    <w:p>
      <w:pPr>
        <w:spacing w:after="0" w:line="71" w:lineRule="exact"/>
        <w:rPr>
          <w:rFonts w:ascii="Times New Roman" w:cs="Times New Roman" w:eastAsia="Times New Roman" w:hAnsi="Times New Roman"/>
          <w:sz w:val="18"/>
          <w:szCs w:val="18"/>
          <w:color w:val="auto"/>
        </w:rPr>
      </w:pPr>
    </w:p>
    <w:p>
      <w:pPr>
        <w:ind w:left="2120" w:right="80" w:hanging="654"/>
        <w:spacing w:after="0" w:line="282" w:lineRule="auto"/>
        <w:tabs>
          <w:tab w:leader="none" w:pos="21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outstanding awards will become exercisable, realizable, or deliverable, or restrictions applicable to an award will lapse, in whole or in part, prior to or upon the reorganization event;</w:t>
      </w:r>
    </w:p>
    <w:p>
      <w:pPr>
        <w:spacing w:after="0" w:line="53" w:lineRule="exact"/>
        <w:rPr>
          <w:rFonts w:ascii="Times New Roman" w:cs="Times New Roman" w:eastAsia="Times New Roman" w:hAnsi="Times New Roman"/>
          <w:sz w:val="18"/>
          <w:szCs w:val="18"/>
          <w:color w:val="auto"/>
        </w:rPr>
      </w:pPr>
    </w:p>
    <w:p>
      <w:pPr>
        <w:ind w:left="2120" w:right="120" w:hanging="654"/>
        <w:spacing w:after="0" w:line="255" w:lineRule="auto"/>
        <w:tabs>
          <w:tab w:leader="none" w:pos="21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reorganization event pursuant to which holders of our common stock will receive a cash payment for each share surrendered in the reorganization event, make or provide for a cash payment to the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80" w:lineRule="exact"/>
        <w:rPr>
          <w:rFonts w:ascii="Times New Roman" w:cs="Times New Roman" w:eastAsia="Times New Roman" w:hAnsi="Times New Roman"/>
          <w:sz w:val="18"/>
          <w:szCs w:val="18"/>
          <w:color w:val="auto"/>
        </w:rPr>
      </w:pPr>
    </w:p>
    <w:p>
      <w:pPr>
        <w:ind w:left="2120" w:right="40" w:hanging="654"/>
        <w:spacing w:after="0" w:line="282" w:lineRule="auto"/>
        <w:tabs>
          <w:tab w:leader="none" w:pos="21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in connection with our liquidation or dissolution, awards convert into the right to receive liquidation proceeds (if applicable, net of exercise, measurement or purchase price thereof and any applicable tax withholdings); or</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not obligated by the 2018 Plan to treat all awards, all awards held by a participant, or all awards of the same type, identically.</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case of certain RSUs, no assumption or substitution is permitted, and the RSUs will instead be settled in accordance with the terms of the applicable RSU agreement.</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the occurrence of a reorganization event other than our liquidation or dissolution, the repurchase and other rights with respect to each outstanding award of restricted stock will continue for the benefit of the successor company and will, unless our board of directors determines otherwise, apply to the cash, securities, or other property which our common stock is converted into or exchanged for pursuant to the reorganization event. However, our board may provide for the termination or deemed satisfaction of such repurchase or other rights under the restricted stock award agreement or any other agreement between the participant and us, either initially or by amendment. Upon the occurrence of a reorganization event involving our liquidation or dissolution, all restrictions and conditions on each outstanding restricted stock award will automatically be deemed terminated or satisfied, unless otherwise provided in the agreement evidencing the restricted stock award or in any other agreement between the participant and us.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board of directors may at any time provide that any award under the 2018 Plan shall become immediately exercisable in whole or in part, free of some or all restrictions or conditions, or otherwise realizable in whole or in part, as the case may be.</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Unless our stockholders approve such action, the 2018 Plan provides that we may not (except as otherwise permitted in connection with a change in capitalization or reorganization event):</w:t>
      </w:r>
    </w:p>
    <w:p>
      <w:pPr>
        <w:spacing w:after="0" w:line="54" w:lineRule="exact"/>
        <w:rPr>
          <w:sz w:val="20"/>
          <w:szCs w:val="20"/>
          <w:color w:val="auto"/>
        </w:rPr>
      </w:pPr>
    </w:p>
    <w:p>
      <w:pPr>
        <w:ind w:left="2120" w:right="180" w:hanging="654"/>
        <w:spacing w:after="0" w:line="266" w:lineRule="auto"/>
        <w:tabs>
          <w:tab w:leader="none" w:pos="21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outstanding stock option or stock appreciation right granted under the 2018 Plan to provide an exercise or measurement price per share that is lower than the then-current exercise or measurement price per share of such outstanding award;</w:t>
      </w:r>
    </w:p>
    <w:p>
      <w:pPr>
        <w:spacing w:after="0" w:line="67" w:lineRule="exact"/>
        <w:rPr>
          <w:rFonts w:ascii="Times New Roman" w:cs="Times New Roman" w:eastAsia="Times New Roman" w:hAnsi="Times New Roman"/>
          <w:sz w:val="18"/>
          <w:szCs w:val="18"/>
          <w:color w:val="auto"/>
        </w:rPr>
      </w:pPr>
    </w:p>
    <w:p>
      <w:pPr>
        <w:ind w:left="2120" w:right="60" w:hanging="654"/>
        <w:spacing w:after="0" w:line="258" w:lineRule="auto"/>
        <w:tabs>
          <w:tab w:leader="none" w:pos="21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outstanding option or stock appreciation right (whether or not granted under the 2018 Plan) and grant a new award under the 2018 Plan in substitution for the cancelled award (other than substitute awards permitted in connection with a merger or consolidation of an entity with us or our acquisition of property or stock of another entity) covering the same or a different number of shares of our common stock and having an exercise or measurement price per share lower than the then-current exercise or measurement price per share of the cancelled award;</w:t>
      </w:r>
    </w:p>
    <w:p>
      <w:pPr>
        <w:spacing w:after="0" w:line="75" w:lineRule="exact"/>
        <w:rPr>
          <w:rFonts w:ascii="Times New Roman" w:cs="Times New Roman" w:eastAsia="Times New Roman" w:hAnsi="Times New Roman"/>
          <w:sz w:val="18"/>
          <w:szCs w:val="18"/>
          <w:color w:val="auto"/>
        </w:rPr>
      </w:pPr>
    </w:p>
    <w:p>
      <w:pPr>
        <w:ind w:left="2120" w:right="120" w:hanging="654"/>
        <w:spacing w:after="0" w:line="266" w:lineRule="auto"/>
        <w:tabs>
          <w:tab w:leader="none" w:pos="21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in exchange for a cash payment any outstanding option or stock appreciation right with an exercise or measurement price per share above the then-current fair market value of our common stock (valued in the manner determined by (or in the manner approved by) our board of directors); or</w:t>
      </w:r>
    </w:p>
    <w:p>
      <w:pPr>
        <w:spacing w:after="0" w:line="67" w:lineRule="exact"/>
        <w:rPr>
          <w:rFonts w:ascii="Times New Roman" w:cs="Times New Roman" w:eastAsia="Times New Roman" w:hAnsi="Times New Roman"/>
          <w:sz w:val="18"/>
          <w:szCs w:val="18"/>
          <w:color w:val="auto"/>
        </w:rPr>
      </w:pPr>
    </w:p>
    <w:p>
      <w:pPr>
        <w:ind w:left="2120" w:right="220" w:hanging="654"/>
        <w:spacing w:after="0" w:line="282" w:lineRule="auto"/>
        <w:tabs>
          <w:tab w:leader="none" w:pos="21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that constitutes a “repricing” within the meaning of Nasdaq Global Select Market rules or rules of any other exchange or marketplace on which our common stock is listed or traded.</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 award may be granted under the 2018 Plan after ten years from the effectiveness of the 2018 Plan. Our board of directors may amend, suspend, or terminate the 2018 Plan at any time, except that stockholder approval will be required to comply with applicable law or stock market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Employee Stock Purchase Plan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September 2018, our board of directors adopted and our stockholders approved the 2018 ESPP, which became effective immediately prior to the effectiveness of the registration statement for our IPO. The 2018 ESPP is administered by our board of directors or by a committee appointed by our board of directors. The 2018 ESPP initially provided participating employees with the opportunity to purchase an aggregate of 311,850 shares of our common stock. The number of shares of our common stock reserved for issuance under the 2018 ESPP increased, pursuant to the terms of the 2018 ESPP, by additional shares equal to 1% of our then-outstanding common stock, effective as of January 1 of each year. As of December 31, 2025, 3,577,025 shares remained available for purchase.</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All of our employees and employees of any of our designated subsidiaries, as defined in the 2018 ESPP, are eligible to participate in the 2018 ESPP, provided that:</w:t>
      </w:r>
    </w:p>
    <w:p>
      <w:pPr>
        <w:spacing w:after="0" w:line="54" w:lineRule="exact"/>
        <w:rPr>
          <w:sz w:val="20"/>
          <w:szCs w:val="20"/>
          <w:color w:val="auto"/>
        </w:rPr>
      </w:pPr>
    </w:p>
    <w:p>
      <w:pPr>
        <w:ind w:left="2120" w:right="200" w:hanging="654"/>
        <w:spacing w:after="0" w:line="282" w:lineRule="auto"/>
        <w:tabs>
          <w:tab w:leader="none" w:pos="21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customarily employed by us or a designated subsidiary for more than 20 hours a week and for more than five months in a calendar year;</w:t>
      </w:r>
    </w:p>
    <w:p>
      <w:pPr>
        <w:spacing w:after="0" w:line="53" w:lineRule="exact"/>
        <w:rPr>
          <w:rFonts w:ascii="Times New Roman" w:cs="Times New Roman" w:eastAsia="Times New Roman" w:hAnsi="Times New Roman"/>
          <w:sz w:val="18"/>
          <w:szCs w:val="18"/>
          <w:color w:val="auto"/>
        </w:rPr>
      </w:pPr>
    </w:p>
    <w:p>
      <w:pPr>
        <w:ind w:left="2120" w:right="340" w:hanging="654"/>
        <w:spacing w:after="0" w:line="282" w:lineRule="auto"/>
        <w:tabs>
          <w:tab w:leader="none" w:pos="21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been employed by us or by a designated subsidiary for at least three months prior to enrolling in the 2018 ESPP; and</w:t>
      </w:r>
    </w:p>
    <w:p>
      <w:pPr>
        <w:spacing w:after="0" w:line="53" w:lineRule="exact"/>
        <w:rPr>
          <w:rFonts w:ascii="Times New Roman" w:cs="Times New Roman" w:eastAsia="Times New Roman" w:hAnsi="Times New Roman"/>
          <w:sz w:val="18"/>
          <w:szCs w:val="18"/>
          <w:color w:val="auto"/>
        </w:rPr>
      </w:pPr>
    </w:p>
    <w:p>
      <w:pPr>
        <w:ind w:left="2120" w:right="320" w:hanging="654"/>
        <w:spacing w:after="0" w:line="282" w:lineRule="auto"/>
        <w:tabs>
          <w:tab w:leader="none" w:pos="21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was our employee or an employee of a designated subsidiary on the first day of the applicable offering period under the 2018 ESPP.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retain the discretion to determine which eligible employees may participate in an offering under applicable Treasury regulations.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to make one or more offerings to our eligible employees to purchase stock under the 2018 ESPP beginning at such time and on such dates as our board of directors may determine, or the first business day thereafter. Each offering will consist of a six-month offering period during which payroll deductions will be made and held for the purchase of our common stock at the end of the offering period. Our board of directors or a committee appointed by our board of directors, may, at its discretion, choose a different period of not more than 12 months for offerings. The first offering period under our 2018 ESPP commenced on January 1, 2020.</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each offering commencement date, each participant will be granted the right to purchase, on the last business day of the offering period, a number of shares of our common stock determined by multiplying $2,083 by the number of full months in the offering period and dividing that product by the closing price of our common stock on the first day of the offering period. No employee may be granted an option under the 2018 ESPP that permits the employee’s rights to purchase shares under the 2018 ESPP and any other employee stock purchase plan of ours or of any of our subsidiaries to accrue at a rate that exceeds $25,000 of the fair market value of our common stock (determined as of the first day of each offering period) for each calendar year in which the option is outstanding. (Our board of directors or a committee appointed by our board of directors may also set a fixed maximum number of shares that a participant in the 2018 ESPP may purchase in any offering period provided that the number may not be greater than the number described in the first sentence of this paragraph and must be subject to the limit described in the second sentence of this paragraph). In addition, no employee may purchase shares of our common stock under the 2018 ESPP that would result in the employee owning 5% or more of the total combined voting power or value of our stock or the stock of any of our subsidiaries.</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the commencement date of each offering period, each eligible employee may authorize up to a maximum of 15% of the compensation he or she receives during the offering period to be deducted by us during the offering period. Each employee who continues to be a participant in the 2018 ESPP on the last business day of the offering period will be deemed to have exercised an option to purchase from us the number of whole shares of our common stock that his or her accumulated payroll deductions on such date will buy, not in excess of the maximum numbers set forth above. Under the terms of the 2018 ESPP, the purchase price shall be determined by our board of directors for each offering period and will be at least 85% of the applicable closing price of our common stock. If our board of directors does not make a determination of the purchase price, the purchase price will be 85% of the lesser of the closing price of our common stock on the first business day of the offering period or the last business day of the offering period.</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 employee may at any time prior to the close of business on the fifteenth business day (or such other number of days as we may determine) prior to the end of an offering period, and for any reason, permanently withdraw from participation in an offering prior to the end of an offering period and permanently withdraw the balance accumulated in the employee’s account.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taken and the balance in the employee’s account will be paid to the employee.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will be required to make equitable adjustments to the extent determined by our board of directors or a committee of our board of directors to the number and class of securities available under the 2018 ESPP, the share limitations under the 2018 ESPP and the purchase price for an offering period under the 2018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a merger or other reorganization event (as defined in the 2018 ESPP), our board of directors or a committee of our board of directors may take any one or more of the following actions as to outstanding options to purchase shares of our common stock under the 2018 ESPP on such terms as our board of directors or committee determines:</w:t>
      </w:r>
    </w:p>
    <w:p>
      <w:pPr>
        <w:spacing w:after="0" w:line="68" w:lineRule="exact"/>
        <w:rPr>
          <w:sz w:val="20"/>
          <w:szCs w:val="20"/>
          <w:color w:val="auto"/>
        </w:rPr>
      </w:pPr>
    </w:p>
    <w:p>
      <w:pPr>
        <w:ind w:left="2120" w:right="140" w:hanging="654"/>
        <w:spacing w:after="0" w:line="282" w:lineRule="auto"/>
        <w:tabs>
          <w:tab w:leader="none" w:pos="21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options shall be assumed, or substantially equivalent options shall be substituted, by the acquiring or succeeding corporation (or an affiliate thereof);</w:t>
      </w:r>
    </w:p>
    <w:p>
      <w:pPr>
        <w:spacing w:after="0" w:line="53" w:lineRule="exact"/>
        <w:rPr>
          <w:rFonts w:ascii="Times New Roman" w:cs="Times New Roman" w:eastAsia="Times New Roman" w:hAnsi="Times New Roman"/>
          <w:sz w:val="18"/>
          <w:szCs w:val="18"/>
          <w:color w:val="auto"/>
        </w:rPr>
      </w:pPr>
    </w:p>
    <w:p>
      <w:pPr>
        <w:ind w:left="2120" w:right="140" w:hanging="654"/>
        <w:spacing w:after="0" w:line="261" w:lineRule="auto"/>
        <w:tabs>
          <w:tab w:leader="none" w:pos="21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our board of directors or committee in such notice, which date shall not be less than ten days preceding the effective date of the reorganization event;</w:t>
      </w:r>
    </w:p>
    <w:p>
      <w:pPr>
        <w:spacing w:after="0" w:line="71" w:lineRule="exact"/>
        <w:rPr>
          <w:rFonts w:ascii="Times New Roman" w:cs="Times New Roman" w:eastAsia="Times New Roman" w:hAnsi="Times New Roman"/>
          <w:sz w:val="18"/>
          <w:szCs w:val="18"/>
          <w:color w:val="auto"/>
        </w:rPr>
      </w:pPr>
    </w:p>
    <w:p>
      <w:pPr>
        <w:ind w:left="2120" w:right="120" w:hanging="654"/>
        <w:spacing w:after="0" w:line="266" w:lineRule="auto"/>
        <w:tabs>
          <w:tab w:leader="none" w:pos="21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67" w:lineRule="exact"/>
        <w:rPr>
          <w:rFonts w:ascii="Times New Roman" w:cs="Times New Roman" w:eastAsia="Times New Roman" w:hAnsi="Times New Roman"/>
          <w:sz w:val="18"/>
          <w:szCs w:val="18"/>
          <w:color w:val="auto"/>
        </w:rPr>
      </w:pPr>
    </w:p>
    <w:p>
      <w:pPr>
        <w:jc w:val="both"/>
        <w:ind w:left="2120" w:right="60" w:hanging="654"/>
        <w:spacing w:after="0" w:line="272" w:lineRule="auto"/>
        <w:tabs>
          <w:tab w:leader="none" w:pos="21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w:t>
      </w:r>
    </w:p>
    <w:p>
      <w:pPr>
        <w:spacing w:after="0" w:line="1" w:lineRule="exact"/>
        <w:rPr>
          <w:rFonts w:ascii="Times New Roman" w:cs="Times New Roman" w:eastAsia="Times New Roman" w:hAnsi="Times New Roman"/>
          <w:sz w:val="17"/>
          <w:szCs w:val="17"/>
          <w:color w:val="auto"/>
        </w:rPr>
      </w:pPr>
    </w:p>
    <w:p>
      <w:pPr>
        <w:ind w:left="212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cash payment for each share surrendered in the reorganization event times the number of shares of our common stock that the employee’s accumulated payroll</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120" w:right="60"/>
        <w:spacing w:after="0" w:line="258" w:lineRule="auto"/>
        <w:rPr>
          <w:sz w:val="20"/>
          <w:szCs w:val="20"/>
          <w:color w:val="auto"/>
        </w:rPr>
      </w:pPr>
      <w:r>
        <w:rPr>
          <w:rFonts w:ascii="Times New Roman" w:cs="Times New Roman" w:eastAsia="Times New Roman" w:hAnsi="Times New Roman"/>
          <w:sz w:val="18"/>
          <w:szCs w:val="18"/>
          <w:color w:val="auto"/>
        </w:rPr>
        <w:t>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2018 ESPP minus (2) the result of multiplying such number of shares by the purchase price; and/or</w:t>
      </w:r>
    </w:p>
    <w:p>
      <w:pPr>
        <w:spacing w:after="0" w:line="75" w:lineRule="exact"/>
        <w:rPr>
          <w:sz w:val="20"/>
          <w:szCs w:val="20"/>
          <w:color w:val="auto"/>
        </w:rPr>
      </w:pPr>
    </w:p>
    <w:p>
      <w:pPr>
        <w:ind w:left="2120" w:right="560" w:hanging="654"/>
        <w:spacing w:after="0" w:line="282" w:lineRule="auto"/>
        <w:tabs>
          <w:tab w:leader="none" w:pos="21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in connection with our liquidation or dissolution, options shall convert into the right to receive liquidation proceeds (net of the purchase price thereof).</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may at any time, and from time to time, amend or suspend the 2018 ESPP, or any portion of the 2018 ESPP. We will obtain stockholder approval for any amendment if such approval is required by Section 423 of the Code. Further, our board of directors may not make any amendment that would cause the 2018 ESPP to fail to comply with Section 423 of the Code. The 2018 ESPP may be terminated at any time by our board of directors. Upon termination, we will refund all amounts in the accounts of participating employees.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compensation committee, and in the case of our Chief Executive Officer, our board of directors, typically grants equity-based awards to our executive officers and other key employees, in the form of Options and RSUs, on an annual grant cycle in February of each year and may make off cycle awards from time to time for recognition, retention, promotions or new hires. The board of directors also grants equity awards to non-employee directors following the annual meeting of stockholders and their election to the board pursuant to our director compensation program. The value of our equity awards is calculated using the 30-day average stock price as of the first Friday of January of the year and a specified Black-Scholes factor as a percentage of face value.</w:t>
      </w:r>
    </w:p>
    <w:p>
      <w:pPr>
        <w:spacing w:after="0" w:line="21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Except in unusual and compelling circumstances, it is not the practice of the compensation committee or the board of directors to grant Options or similar equity awards to employees or non-employee directors during periods in which there is material nonpublic information, or MNPI, about the company, including (1) outside a “trading window” established in connection with the public release of earnings information under our Insider Trading Policy, or (2) at any time during the four business days prior to or the one business day following the filing of our periodic reports or the filing or furnishing of a Form 8-K that discloses MNPI. During the last fiscal year, neither our compensation committee nor our board of directors took MNPI into account when determining the timing and terms of equity awards, nor did we time the disclosure of MNPI for the purpose of affecting the value of executive compensation.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limits the personal liability of directors for breach of fiduciary duty to the maximum extent permitted by the Delaware General Corporation Law and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68" w:lineRule="exact"/>
        <w:rPr>
          <w:sz w:val="20"/>
          <w:szCs w:val="20"/>
          <w:color w:val="auto"/>
        </w:rPr>
      </w:pPr>
    </w:p>
    <w:p>
      <w:pPr>
        <w:ind w:left="2100" w:hanging="634"/>
        <w:spacing w:after="0"/>
        <w:tabs>
          <w:tab w:leader="none" w:pos="2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for or assenting to unlawful payments of dividends, stock repurchases or other distributions; or</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such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our restated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maintain a general liability insurance policy that covers specified liabilities of our directors and officers arising out of claims based on acts or omissions in their capacities as directors or officers. We have entered into indemnification agreements with all of our directors and executive officers. These indemnification agreements may require us, among other things, to indemnify each such director or officer for some expenses, including attorneys’ fees, judgments, fines, and settlement amounts incurred by him in any action or proceeding arising out of his or her service as one of our directors or officers.</w:t>
      </w:r>
    </w:p>
    <w:p>
      <w:pPr>
        <w:spacing w:after="0" w:line="1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or the Securities Act, may be permitted to directors, executive officers or persons controlling us,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 subject to compliance with the terms of our Insider Trading Policy and our pre-clearance procedures.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do not pay any compensation to our President and Chief Executive Officer in connection with his service on our board of directors. Therefore, we did not pay any compensation to Dr. Houston in 2025 in connection with his service on our board of directors, and we do not currently pay or plan to pay Dr. Teel compensation in connection with his service on our board of directors. The compensation that we paid in 2025 to our then-President and Chief Executive Officer is discussed earlier in this “Executive and Director Compensation” section.</w:t>
      </w:r>
    </w:p>
    <w:p>
      <w:pPr>
        <w:spacing w:after="0" w:line="19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Under our director compensation program, we pay our non-employee directors a cash retainer for service on the board of directors and for service on each committee on which the director is a member. The chair of the board and of each committee receive higher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or any committee thereof. Our approved fees for the non-employee members and the chair of the board of directors, as well as any lead independent director appear in the table below. These fees were originally approved in May 2024 and affirmed in June 2025 based on a review of the cash and equity compensation paid to our board of directors versus directors of our peer companies, and with assistance of Aon, our compensation consultant.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Non-Employee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Non-Employee Chair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Lead</w:t>
            </w:r>
          </w:p>
        </w:tc>
        <w:tc>
          <w:tcPr>
            <w:tcW w:w="0" w:type="dxa"/>
            <w:vAlign w:val="bottom"/>
          </w:tcPr>
          <w:p>
            <w:pPr>
              <w:spacing w:after="0"/>
              <w:rPr>
                <w:sz w:val="1"/>
                <w:szCs w:val="1"/>
                <w:color w:val="auto"/>
              </w:rPr>
            </w:pPr>
          </w:p>
        </w:tc>
      </w:tr>
      <w:tr>
        <w:trPr>
          <w:trHeight w:val="146"/>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Member</w:t>
            </w:r>
          </w:p>
        </w:tc>
        <w:tc>
          <w:tcPr>
            <w:tcW w:w="15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Incremental</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Independent Director</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travel and other expenses incurred in connection with attending our board of director and committee meetings.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under our director compensation program, as reviewed and amended in June 2025, each non-employee director receives under the 2018 Plan, upon his or her initial election to our board of directors, equity having an aggregate grant date fair value of $470,000 as calculated by the company in accordance with ASC 718, with one-half of the value of such award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being issued as an option to purchase common stock, or the Initial Option Grant, and one-half of the value of such award being issued in RSUs, or the Initial RSU Grant, subject to the maximum annual compensation limits set forth in the program and such other limits as may be set forth in the 2018 Plan. Subject to the non-employee director’s continued service as a director, (a) the Initial Option Grant will vest with respect to 1/36th of the shares of common stock subject thereto at the end of each successive one-month period following the grant date until the third anniversary of the grant date and (b) the Initial RSU Grant will vest annually over three years until the third anniversary of the grant date, and in the event of a change in control of the Company, the vesting schedule of the Initial Option Grant and the Initial RSU Grant will accelerate in full. The exercise price of the Initial Option Grant will be equal to the fair market value of the common stock on the date of grant, which shall be the closing trading price.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on the date of each of our annual meetings of stockholders, each non-employee director who has served on our board of directors for at least six months receives, under the 2018 Plan, equity having an aggregate grant date fair value of $250,000 as calculated by the company in accordance with ASC 718, with one-half of the value of such award being issued as an option to purchase common stock, or the Annual Option Grant, and one-half of the value of such award being issued in RSUs, or the Annual RSU Grant, subject to the maximum annual compensation limits set forth in the program and such other limits as may be set forth in the 2018 Plan. Each of the Annual Option Grant and Annual RSU Grant will vest in full on the earlier of the first anniversary of the grant date or the first board of directors meeting held after the following annual meeting of stockholders, subject to the non-employee director’s continued service as a director. All options issued to our non-employee directors under our director compensation program are issued at exercise prices equal to the fair market value of our common stock on the date of grant.</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non-employee directors during the year ended December 31, 2025. There were no outstanding equity awards held by our non-employee directors as of December 31, 2025 other than as described in footnote 1 to the following table.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Stock Awards (1)</w:t>
            </w:r>
          </w:p>
        </w:tc>
        <w:tc>
          <w:tcPr>
            <w:tcW w:w="1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15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60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860" w:type="dxa"/>
            <w:vAlign w:val="bottom"/>
            <w:gridSpan w:val="2"/>
            <w:vMerge w:val="continue"/>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5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Sunil Agarwal, M.D.</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314,965</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Linda Bain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314,965</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Everett Cunningham</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312,465</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Kennedy, Jr.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304,965</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Briggs Morrison, M.D.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337,465</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Leslie V. Norwalk, Esq.</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312,465</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Laurie Smaldone Alsup, M.D.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309,965</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John Young (2)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124,995</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124,970</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279,965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right="120" w:hanging="652"/>
        <w:spacing w:after="0" w:line="272" w:lineRule="auto"/>
        <w:tabs>
          <w:tab w:leader="none" w:pos="65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aggregate grant date fair value of RSUs and Options granted during the year in question calculated in accordance with the provisions of ASC 718. See Note 9 to our audited consolidated financial statements appearing in our 2025 Annual Report for assumptions underlying the valuation of equity awards. The following non-employee directors held the following number of unvested RSUs and vested and unvested option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awards as of December 31, 2025: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Option Awards</w:t>
            </w:r>
          </w:p>
        </w:tc>
      </w:tr>
      <w:tr>
        <w:trPr>
          <w:trHeight w:val="23"/>
        </w:trPr>
        <w:tc>
          <w:tcPr>
            <w:tcW w:w="66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660" w:type="dxa"/>
            <w:vAlign w:val="bottom"/>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Sunil Agarwal, M.D.</w:t>
            </w:r>
          </w:p>
        </w:tc>
        <w:tc>
          <w:tcPr>
            <w:tcW w:w="3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Bain</w:t>
            </w:r>
          </w:p>
        </w:tc>
        <w:tc>
          <w:tcPr>
            <w:tcW w:w="4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86,665</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Everett Cunningham</w:t>
            </w:r>
          </w:p>
        </w:tc>
        <w:tc>
          <w:tcPr>
            <w:tcW w:w="4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Kennedy, Jr.</w:t>
            </w:r>
          </w:p>
        </w:tc>
        <w:tc>
          <w:tcPr>
            <w:tcW w:w="4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120,458</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Briggs Morrison, M.D.</w:t>
            </w:r>
          </w:p>
        </w:tc>
        <w:tc>
          <w:tcPr>
            <w:tcW w:w="4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95,042</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V. Norwalk, Esq.</w:t>
            </w:r>
          </w:p>
        </w:tc>
        <w:tc>
          <w:tcPr>
            <w:tcW w:w="4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100,511</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Laurie Smaldone Alsup, M.D.</w:t>
            </w:r>
          </w:p>
        </w:tc>
        <w:tc>
          <w:tcPr>
            <w:tcW w:w="4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100,511</w:t>
            </w:r>
          </w:p>
        </w:tc>
        <w:tc>
          <w:tcPr>
            <w:tcW w:w="760" w:type="dxa"/>
            <w:vAlign w:val="bottom"/>
          </w:tcPr>
          <w:p>
            <w:pPr>
              <w:spacing w:after="0"/>
              <w:rPr>
                <w:sz w:val="19"/>
                <w:szCs w:val="19"/>
                <w:color w:val="auto"/>
              </w:rPr>
            </w:pPr>
          </w:p>
        </w:tc>
      </w:tr>
      <w:tr>
        <w:trPr>
          <w:trHeight w:val="892"/>
        </w:trPr>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200" w:type="dxa"/>
            <w:vAlign w:val="bottom"/>
          </w:tcPr>
          <w:p>
            <w:pPr>
              <w:jc w:val="right"/>
              <w:ind w:right="1611"/>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8"/>
        </w:trPr>
        <w:tc>
          <w:tcPr>
            <w:tcW w:w="66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652"/>
        <w:spacing w:after="0" w:line="282" w:lineRule="auto"/>
        <w:tabs>
          <w:tab w:leader="none" w:pos="6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Young served as a director until June 30, 2025. As such, Mr. Young’s RSU and Option Awards granted during 2025 will not vest. As of December 31, 2025, Mr. Young did not hold any unvested RSUs or vested or unvested Options.</w:t>
      </w:r>
    </w:p>
    <w:p>
      <w:pPr>
        <w:spacing w:after="0" w:line="200" w:lineRule="exact"/>
        <w:rPr>
          <w:sz w:val="20"/>
          <w:szCs w:val="20"/>
          <w:color w:val="auto"/>
        </w:rPr>
      </w:pPr>
    </w:p>
    <w:p>
      <w:pPr>
        <w:spacing w:after="0" w:line="37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6" w:right="8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3—RATIFICATION OF THE APPOINTMENT OF DELOITTE &amp; TOUCHE LLP AS OUR INDEPENDENT REGISTERED PUBLIC ACCOUNTING FIRM FOR THE FISCAL YEAR ENDING DECEMBER 31, 2026</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the board of directors of Deloitte &amp; Touche LLP as our independent registered public accounting firm for the fiscal year ending December 31, 2026.</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2026. Stockholder approval is not required to appoint Deloitte &amp; Touche LLP as our independent registered public accounting firm. However, our board of directors believes that submitting the appointment of Deloitte &amp; Touche LLP to the stockholders for ratification is good corporate governance. If the stockholders do not ratify this appointment, the audit committee will reconsider whether to retain Deloitte &amp; Touche LLP. If the selection of Deloitte &amp; Touche LLP is ratified, the audit committee, in its discretion, may direct the appointment of a different independent registered public accounting firm at any time it decides that such a change would be in the best interest of our company and our stockholders.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representative of Deloitte &amp; Touche LLP is expected to virtually attend the Annual Meeting and will have an opportunity to make a statement if he or she desires to do so and to respond to appropriate questions from our stockholders.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Deloitte &amp; Touche LLP for the audit of the consolidated financial statements and for other services provided during the years ended December 31,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1,117,400</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 (2)</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 (3)</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 (4)</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48"/>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1,119,295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right="240" w:hanging="652"/>
        <w:spacing w:after="0" w:line="266"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by Deloitte &amp; Touche LLP for audit and quarterly review of our consolidated financial statements and related services that are normally provided in connection with statutory and regulatory filings or engagements, including registration statements.</w:t>
      </w:r>
    </w:p>
    <w:p>
      <w:pPr>
        <w:spacing w:after="0" w:line="67"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assurance and related services that are reasonably related to the performance of audits or reviews of our financial statements and were not reported above under “Audit fees”. There were no audit-related fees in fiscal years 2025 and 2024.</w:t>
      </w:r>
    </w:p>
    <w:p>
      <w:pPr>
        <w:spacing w:after="0" w:line="53"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 There were no tax fees billed for professional services by Deloitte &amp; Touche LLP in fiscal years 2025 and 2024.</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user access fees to Deloitte Accounting Research Tool.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fees included in the audit fees and tax fees are those fees billed for the fiscal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for the pre-approval of audit and non-audit services for the purpose of maintaining the independence of our independent auditor. We may not engage our independent auditor to render any audit or non-audit service unless either the service is approved in advance by the audit committee, or the engagement to render the service is entered into pursuant to the audit committee’s pre-approval policies and procedures.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our audit committee may pre-approve services that are expected to be provided to us by the independent auditor during the following 12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auditor shall report to the audit committee regarding each service actually provided to us pursuant to such pre-approval. The audit committee has delegated to its chair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authority to grant pre-approvals of audit or non-audit services to be provided by the independent auditor. Any approval of services by the chair of the audit committee is reported to the committee at its next regularly scheduled meeting.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our 2025 and 2024 fiscal years, no services were provided to us by Deloitte &amp; Touche LLP other than in accordance with the pre-approval policies and procedures described above.</w:t>
      </w:r>
    </w:p>
    <w:p>
      <w:pPr>
        <w:spacing w:after="0" w:line="15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3 to ratify the appointment of Deloitte &amp; Touche LLP as our independent registered public accounting firm for the fiscal year ending December 31, 2026.</w:t>
      </w:r>
    </w:p>
    <w:p>
      <w:pPr>
        <w:spacing w:after="0" w:line="1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properly submitted proxy will be voted in favor of the ratification of the appointment of Deloitte &amp; Touche LLP as our independent registered public accounting firm for the fiscal year ending December 31, 2026 unless a contrary specification is made in the proxy.</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audit committee has reviewed our audited financial statements for the year ended December 31, 2025 and discussed them with our management and our independent registered public accounting firm, Deloitte &amp; Touche LLP.</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audit committee has also received from, and discussed with, Deloitte &amp; Touche LLP various communications that Deloitte &amp; Touche LLP is required to provide to our audit committee, including the matters required to be discussed by the applicable requirements of the Public Company Accounting Oversight Board and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Deloitte &amp; Touche LLP provided our audit committee with the written disclosures and the letter required by applicable requirements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Company Accounting Oversight Board regarding the independent registered public accounting firm’s communications with the audit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independence, and the audit committee has discussed with the company’s independent registered public accounting firm their independence.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our audit committee recommended to our board of directors that our financial statements audited by Deloitte &amp; Touche LLP be included in our Annual Report on Form 10-K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audit committee of the board of directors of Arvinas,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Bain,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Everett Cunningham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Leslie V. Norwalk, Esq.</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March 31, 2026, by:</w:t>
      </w:r>
    </w:p>
    <w:p>
      <w:pPr>
        <w:spacing w:after="0" w:line="117" w:lineRule="exact"/>
        <w:rPr>
          <w:sz w:val="20"/>
          <w:szCs w:val="20"/>
          <w:color w:val="auto"/>
        </w:rPr>
      </w:pPr>
    </w:p>
    <w:p>
      <w:pPr>
        <w:ind w:left="2100" w:hanging="634"/>
        <w:spacing w:after="0"/>
        <w:tabs>
          <w:tab w:leader="none" w:pos="2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beneficially own more than 5% of our common stock;</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64,511,536 shares of our common stock outstanding as of March 31, 2026.</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Securities and Exchange Commission and includes voting or investment power with respect to securities. Under these rules, beneficial ownership includes any shares as to which the individual or entity has sole or shared voting power or investment power. Unless otherwise indicated,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after March 31, 2026 are considered outstanding, although these shares are not considered outstanding for purposes of computing the percentage ownership of any other person. Therefore, the denominator used in calculating beneficial ownership of each of the stockholders may be different. Unless otherwise indicated, the address of all listed stockholders is 5 Science Park, 395 Winchester Ave., New Haven, CT 06511. Each of the stockholders listed has sole voting and investment power with respect to the shares beneficially owned by the stockholder unless noted otherwise, subject to community property laws where applicable.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Percentage of Shares</w:t>
            </w:r>
          </w:p>
        </w:tc>
      </w:tr>
      <w:tr>
        <w:trPr>
          <w:trHeight w:val="20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23"/>
        </w:trPr>
        <w:tc>
          <w:tcPr>
            <w:tcW w:w="7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806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The Vanguard Group </w:t>
            </w:r>
            <w:r>
              <w:rPr>
                <w:rFonts w:ascii="Times New Roman" w:cs="Times New Roman" w:eastAsia="Times New Roman" w:hAnsi="Times New Roman"/>
                <w:sz w:val="23"/>
                <w:szCs w:val="23"/>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8,362,200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30"/>
        </w:trPr>
        <w:tc>
          <w:tcPr>
            <w:tcW w:w="80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3"/>
                <w:szCs w:val="23"/>
                <w:color w:val="auto"/>
                <w:vertAlign w:val="superscript"/>
              </w:rPr>
              <w:t>(2)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5,422,796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806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Pfizer, Inc. </w:t>
            </w:r>
            <w:r>
              <w:rPr>
                <w:rFonts w:ascii="Times New Roman" w:cs="Times New Roman" w:eastAsia="Times New Roman" w:hAnsi="Times New Roman"/>
                <w:sz w:val="23"/>
                <w:szCs w:val="23"/>
                <w:color w:val="auto"/>
                <w:vertAlign w:val="superscript"/>
              </w:rPr>
              <w:t>(3)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3,457,815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30"/>
        </w:trPr>
        <w:tc>
          <w:tcPr>
            <w:tcW w:w="80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 Shaw &amp; Co., L.P. (and affiliated entities) </w:t>
            </w:r>
            <w:r>
              <w:rPr>
                <w:rFonts w:ascii="Times New Roman" w:cs="Times New Roman" w:eastAsia="Times New Roman" w:hAnsi="Times New Roman"/>
                <w:sz w:val="23"/>
                <w:szCs w:val="23"/>
                <w:color w:val="auto"/>
                <w:vertAlign w:val="superscript"/>
              </w:rPr>
              <w:t>(4)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3,405,026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80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Randy Teel, Ph.D. </w:t>
            </w:r>
            <w:r>
              <w:rPr>
                <w:rFonts w:ascii="Times New Roman" w:cs="Times New Roman" w:eastAsia="Times New Roman" w:hAnsi="Times New Roman"/>
                <w:sz w:val="23"/>
                <w:szCs w:val="23"/>
                <w:color w:val="auto"/>
                <w:vertAlign w:val="superscript"/>
              </w:rPr>
              <w:t>(5)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515,422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Andrew Saik </w:t>
            </w:r>
            <w:r>
              <w:rPr>
                <w:rFonts w:ascii="Times New Roman" w:cs="Times New Roman" w:eastAsia="Times New Roman" w:hAnsi="Times New Roman"/>
                <w:sz w:val="23"/>
                <w:szCs w:val="23"/>
                <w:color w:val="auto"/>
                <w:vertAlign w:val="superscript"/>
              </w:rPr>
              <w:t>(6)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160,423</w:t>
            </w:r>
          </w:p>
        </w:tc>
        <w:tc>
          <w:tcPr>
            <w:tcW w:w="10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Noah Berkowitz, M.D., Ph.D. </w:t>
            </w:r>
            <w:r>
              <w:rPr>
                <w:rFonts w:ascii="Times New Roman" w:cs="Times New Roman" w:eastAsia="Times New Roman" w:hAnsi="Times New Roman"/>
                <w:sz w:val="23"/>
                <w:szCs w:val="23"/>
                <w:color w:val="auto"/>
                <w:vertAlign w:val="superscript"/>
              </w:rPr>
              <w:t>(7)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Angela Cacace, Ph.D. </w:t>
            </w:r>
            <w:r>
              <w:rPr>
                <w:rFonts w:ascii="Times New Roman" w:cs="Times New Roman" w:eastAsia="Times New Roman" w:hAnsi="Times New Roman"/>
                <w:sz w:val="23"/>
                <w:szCs w:val="23"/>
                <w:color w:val="auto"/>
                <w:vertAlign w:val="superscript"/>
              </w:rPr>
              <w:t>(8)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375,832</w:t>
            </w:r>
          </w:p>
        </w:tc>
        <w:tc>
          <w:tcPr>
            <w:tcW w:w="10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Ian Taylor, Ph.D. </w:t>
            </w:r>
            <w:r>
              <w:rPr>
                <w:rFonts w:ascii="Times New Roman" w:cs="Times New Roman" w:eastAsia="Times New Roman" w:hAnsi="Times New Roman"/>
                <w:sz w:val="23"/>
                <w:szCs w:val="23"/>
                <w:color w:val="auto"/>
                <w:vertAlign w:val="superscript"/>
              </w:rPr>
              <w:t>(9)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513,709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Sunil Agarwal, M.D. </w:t>
            </w:r>
            <w:r>
              <w:rPr>
                <w:rFonts w:ascii="Times New Roman" w:cs="Times New Roman" w:eastAsia="Times New Roman" w:hAnsi="Times New Roman"/>
                <w:sz w:val="23"/>
                <w:szCs w:val="23"/>
                <w:color w:val="auto"/>
                <w:vertAlign w:val="superscript"/>
              </w:rPr>
              <w:t>(10)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44,718</w:t>
            </w:r>
          </w:p>
        </w:tc>
        <w:tc>
          <w:tcPr>
            <w:tcW w:w="10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Linda Bain </w:t>
            </w:r>
            <w:r>
              <w:rPr>
                <w:rFonts w:ascii="Times New Roman" w:cs="Times New Roman" w:eastAsia="Times New Roman" w:hAnsi="Times New Roman"/>
                <w:sz w:val="23"/>
                <w:szCs w:val="23"/>
                <w:color w:val="auto"/>
                <w:vertAlign w:val="superscript"/>
              </w:rPr>
              <w:t>(11)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Everett Cunningham </w:t>
            </w:r>
            <w:r>
              <w:rPr>
                <w:rFonts w:ascii="Times New Roman" w:cs="Times New Roman" w:eastAsia="Times New Roman" w:hAnsi="Times New Roman"/>
                <w:sz w:val="23"/>
                <w:szCs w:val="23"/>
                <w:color w:val="auto"/>
                <w:vertAlign w:val="superscript"/>
              </w:rPr>
              <w:t>(12)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61,972</w:t>
            </w:r>
          </w:p>
        </w:tc>
        <w:tc>
          <w:tcPr>
            <w:tcW w:w="10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John Houston, Ph.D. </w:t>
            </w:r>
            <w:r>
              <w:rPr>
                <w:rFonts w:ascii="Times New Roman" w:cs="Times New Roman" w:eastAsia="Times New Roman" w:hAnsi="Times New Roman"/>
                <w:sz w:val="23"/>
                <w:szCs w:val="23"/>
                <w:color w:val="auto"/>
                <w:vertAlign w:val="superscript"/>
              </w:rPr>
              <w:t>(13)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806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Edward Kennedy, Jr. </w:t>
            </w:r>
            <w:r>
              <w:rPr>
                <w:rFonts w:ascii="Times New Roman" w:cs="Times New Roman" w:eastAsia="Times New Roman" w:hAnsi="Times New Roman"/>
                <w:sz w:val="23"/>
                <w:szCs w:val="23"/>
                <w:color w:val="auto"/>
                <w:vertAlign w:val="superscript"/>
              </w:rPr>
              <w:t>(14)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150,091</w:t>
            </w:r>
          </w:p>
        </w:tc>
        <w:tc>
          <w:tcPr>
            <w:tcW w:w="10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Briggs Morrison, M.D. </w:t>
            </w:r>
            <w:r>
              <w:rPr>
                <w:rFonts w:ascii="Times New Roman" w:cs="Times New Roman" w:eastAsia="Times New Roman" w:hAnsi="Times New Roman"/>
                <w:sz w:val="23"/>
                <w:szCs w:val="23"/>
                <w:color w:val="auto"/>
                <w:vertAlign w:val="superscript"/>
              </w:rPr>
              <w:t>(15)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Leslie V. Norwalk, Esq. </w:t>
            </w:r>
            <w:r>
              <w:rPr>
                <w:rFonts w:ascii="Times New Roman" w:cs="Times New Roman" w:eastAsia="Times New Roman" w:hAnsi="Times New Roman"/>
                <w:sz w:val="23"/>
                <w:szCs w:val="23"/>
                <w:color w:val="auto"/>
                <w:vertAlign w:val="superscript"/>
              </w:rPr>
              <w:t>(16)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87,426</w:t>
            </w:r>
          </w:p>
        </w:tc>
        <w:tc>
          <w:tcPr>
            <w:tcW w:w="10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Laurie Smaldone Alsup, M.D. </w:t>
            </w:r>
            <w:r>
              <w:rPr>
                <w:rFonts w:ascii="Times New Roman" w:cs="Times New Roman" w:eastAsia="Times New Roman" w:hAnsi="Times New Roman"/>
                <w:sz w:val="23"/>
                <w:szCs w:val="23"/>
                <w:color w:val="auto"/>
                <w:vertAlign w:val="superscript"/>
              </w:rPr>
              <w:t>(17)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Borders>
              <w:bottom w:val="single" w:sz="8" w:color="auto"/>
            </w:tcBorders>
            <w:gridSpan w:val="2"/>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All Executive Officers and Directors as a Group (12 persons) </w:t>
            </w:r>
            <w:r>
              <w:rPr>
                <w:rFonts w:ascii="Times New Roman" w:cs="Times New Roman" w:eastAsia="Times New Roman" w:hAnsi="Times New Roman"/>
                <w:sz w:val="23"/>
                <w:szCs w:val="23"/>
                <w:color w:val="auto"/>
                <w:vertAlign w:val="superscript"/>
              </w:rPr>
              <w:t>(18)</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4,450,468</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bl>
    <w:p>
      <w:pPr>
        <w:spacing w:after="0" w:line="184"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6" w:lineRule="exact"/>
        <w:rPr>
          <w:sz w:val="20"/>
          <w:szCs w:val="20"/>
          <w:color w:val="auto"/>
        </w:rPr>
      </w:pPr>
    </w:p>
    <w:p>
      <w:pPr>
        <w:ind w:left="660" w:right="80" w:hanging="652"/>
        <w:spacing w:after="0" w:line="239"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figures and the accompanying notes are based on information set forth in Schedule 13G/A filed with the SEC on April 30, 2025. Under this report, there is shared voting power as to 70,908 shares, sole dispositive power over 8,228,057 shares and shared dispositive power as to 134,143 shares. Various persons have the right to receive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color w:val="auto"/>
        </w:rPr>
        <w:t>or the power to direct the receipt of dividends from, or the proceeds from the sale of the common stock of Arvinas, Inc. No one person’s interest in our common stock of is more than five percent of the total outstanding common shares. The address of The Vanguard Group is 100 Vanguard Blvd., Malvern, PA 19355. In a Schedule 13G/A filed with the SEC on March 26, 2026, The Vanguard Group subsequently reported that due to an internal realignment it no longer has, or is deemed to have, beneficial ownership over our securities beneficially owned by various Vanguard subsidiaries and/or business divisions. In a Schedule 13G filed with the SEC on April 28, 2026, Vanguard Portfolio Management LLC reported sole voting power as to 28,043 shares and sole dispositive power as to 3,917,671 shares. The Schedule 13G indicates that it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and that the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18" w:lineRule="exact"/>
        <w:rPr>
          <w:sz w:val="20"/>
          <w:szCs w:val="20"/>
          <w:color w:val="auto"/>
        </w:rPr>
      </w:pPr>
    </w:p>
    <w:p>
      <w:pPr>
        <w:ind w:left="660" w:right="220" w:hanging="652"/>
        <w:spacing w:after="0" w:line="242"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figures and the accompanying notes are based on information set forth in Schedule 13G filed with the SEC on April 17, 2025. Under this report, there is sole voting power as to 5,352,809 shares and sole dispositive power as to 5,422,796 shares. Various persons have the right to receive or the power to direct the receipt of dividends from, or the proceeds from the sale of the common stock of Arvinas, Inc. No one person's interest in our common stock is more than five percent of the total outstanding common shares. The address of BlackRock, Inc. is 50 Hudson Yards, New York, NY 10001.</w:t>
      </w:r>
    </w:p>
    <w:p>
      <w:pPr>
        <w:spacing w:after="0" w:line="90" w:lineRule="exact"/>
        <w:rPr>
          <w:rFonts w:ascii="Times New Roman" w:cs="Times New Roman" w:eastAsia="Times New Roman" w:hAnsi="Times New Roman"/>
          <w:sz w:val="18"/>
          <w:szCs w:val="18"/>
          <w:color w:val="auto"/>
        </w:rPr>
      </w:pPr>
    </w:p>
    <w:p>
      <w:pPr>
        <w:ind w:left="660" w:right="160" w:hanging="652"/>
        <w:spacing w:after="0" w:line="266"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figures and the accompanying notes are based on information set forth in Schedule 13G filed with the SEC on September 20, 2021. Under this report, there is sole voting power and sole dispositive power as to 3,457,815 shares. The address of Pfizer Inc. is 235 E. 42nd Street, New York, NY 10017.</w:t>
      </w:r>
    </w:p>
    <w:p>
      <w:pPr>
        <w:spacing w:after="0" w:line="67" w:lineRule="exact"/>
        <w:rPr>
          <w:rFonts w:ascii="Times New Roman" w:cs="Times New Roman" w:eastAsia="Times New Roman" w:hAnsi="Times New Roman"/>
          <w:sz w:val="18"/>
          <w:szCs w:val="18"/>
          <w:color w:val="auto"/>
        </w:rPr>
      </w:pPr>
    </w:p>
    <w:p>
      <w:pPr>
        <w:ind w:left="660" w:right="20" w:hanging="652"/>
        <w:spacing w:after="0" w:line="258"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figures and the accompanying notes are based on information set forth in Schedule 13G filed with the SEC on November 14, 2025 by D.E. Shaw &amp; Co., L.P., D.E. Shaw &amp; Co., L.L.C., and David E. Shaw (collectively, the “D.E. Shaw Entities”). Under this report, D.E. Shaw &amp; Co., L.P and David E. Shaw each reported shared voting power as to 3,403,326 shares and shared dispositive power as to 3,405,026 shares, and D.E. Shaw &amp; Co., L.L.C. reported shared voting power and shared dispositive power as to 3,364,826 shares. The address of the D.E. Shaw Entities is Two Manhattan West, 375 Ninth Avenue, 52nd Floor, New York, NY 10001.</w:t>
      </w:r>
    </w:p>
    <w:p>
      <w:pPr>
        <w:spacing w:after="0" w:line="75" w:lineRule="exact"/>
        <w:rPr>
          <w:rFonts w:ascii="Times New Roman" w:cs="Times New Roman" w:eastAsia="Times New Roman" w:hAnsi="Times New Roman"/>
          <w:sz w:val="18"/>
          <w:szCs w:val="18"/>
          <w:color w:val="auto"/>
        </w:rPr>
      </w:pPr>
    </w:p>
    <w:p>
      <w:pPr>
        <w:jc w:val="both"/>
        <w:ind w:left="660" w:right="60" w:hanging="652"/>
        <w:spacing w:after="0" w:line="266"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45,274 shares of common stock, (ii) 36,450 shares of common stock that will be acquired upon the vesting of RSUs within 60 days after March 31, 2026, provided that certain of such shares will be automatically sold to cover tax withholding obligations, and (iii) 433,698 shares of common stock issuable upon the exercise of options exercisable within 60 days after March 31, 2026.</w:t>
      </w:r>
    </w:p>
    <w:p>
      <w:pPr>
        <w:spacing w:after="0" w:line="67" w:lineRule="exact"/>
        <w:rPr>
          <w:rFonts w:ascii="Times New Roman" w:cs="Times New Roman" w:eastAsia="Times New Roman" w:hAnsi="Times New Roman"/>
          <w:sz w:val="18"/>
          <w:szCs w:val="18"/>
          <w:color w:val="auto"/>
        </w:rPr>
      </w:pPr>
    </w:p>
    <w:p>
      <w:pPr>
        <w:jc w:val="both"/>
        <w:ind w:left="660" w:right="180" w:hanging="652"/>
        <w:spacing w:after="0" w:line="266"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16,791 shares of common stock and (ii) 29,800 shares of common stock that will be acquired upon the vesting of RSUs within 60 days after March 31, 2026, provided that certain of such shares will be automatically sold to cover tax withholding obligations, and (iii) 113,832 shares of common stock issuable upon the exercise of options exercisable within 60 days after March 31, 2026.</w:t>
      </w:r>
    </w:p>
    <w:p>
      <w:pPr>
        <w:spacing w:after="0" w:line="108" w:lineRule="exact"/>
        <w:rPr>
          <w:rFonts w:ascii="Times New Roman" w:cs="Times New Roman" w:eastAsia="Times New Roman" w:hAnsi="Times New Roman"/>
          <w:sz w:val="18"/>
          <w:szCs w:val="18"/>
          <w:color w:val="auto"/>
        </w:rPr>
      </w:pPr>
    </w:p>
    <w:p>
      <w:pPr>
        <w:jc w:val="both"/>
        <w:ind w:left="660" w:right="160" w:hanging="652"/>
        <w:spacing w:after="0" w:line="266"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24,755 shares of common stock and (ii) 29,800 shares of common stock that will be acquired upon the vesting of RSUs within 60 days after March 31, 2026, provided that certain of such shares will be automatically sold to cover tax withholding obligations, and (iii) 122,704 shares of common stock issuable upon the exercise of options exercisable within 60 days after March 31, 2026.</w:t>
      </w:r>
    </w:p>
    <w:p>
      <w:pPr>
        <w:spacing w:after="0" w:line="67" w:lineRule="exact"/>
        <w:rPr>
          <w:rFonts w:ascii="Times New Roman" w:cs="Times New Roman" w:eastAsia="Times New Roman" w:hAnsi="Times New Roman"/>
          <w:sz w:val="18"/>
          <w:szCs w:val="18"/>
          <w:color w:val="auto"/>
        </w:rPr>
      </w:pPr>
    </w:p>
    <w:p>
      <w:pPr>
        <w:jc w:val="both"/>
        <w:ind w:left="660" w:right="180" w:hanging="652"/>
        <w:spacing w:after="0" w:line="266"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40,016 shares of common stock and (ii) 29,800 shares of common stock that will be acquired upon the vesting of RSUs within 60 days after March 31, 2026, provided that certain of such shares will be automatically sold to cover tax withholding obligations, and (iii) 306,016 shares of common stock issuable upon the exercise of options exercisable within 60 days after March 31, 2026.</w:t>
      </w:r>
    </w:p>
    <w:p>
      <w:pPr>
        <w:spacing w:after="0" w:line="108"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138,876 shares of common stock and (ii) 374,833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11,393 shares of common stock, and (ii) 33,325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4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10,020 shares of common stock, and (ii) 63,560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10,020 shares of common stock, and (ii) 51,952 shares of common stock issuable upon the exercise of options exercisable within 60 days after March 31, 2026.</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460" w:hanging="652"/>
        <w:spacing w:after="0" w:line="282" w:lineRule="auto"/>
        <w:tabs>
          <w:tab w:leader="none" w:pos="6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992,689 shares of common stock and (ii) 1,571,697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660" w:right="140" w:hanging="652"/>
        <w:spacing w:after="0" w:line="258" w:lineRule="auto"/>
        <w:tabs>
          <w:tab w:leader="none" w:pos="6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52,738 shares of common stock, including 29,333 shares of common stock held by the Edward M. Kennedy Jr. 2011 Trusts For Children (UAD 11/23/11) where Mr. Kennedy acts as a trustee and members of the Mr. Kennedy’s immediate family are the sole beneficiaries of the trust, and (ii) 97,353 shares of common stock issuable upon the exercise of options exercisable within 60 days after March 31, 2026.</w:t>
      </w:r>
    </w:p>
    <w:p>
      <w:pPr>
        <w:spacing w:after="0" w:line="61" w:lineRule="exact"/>
        <w:rPr>
          <w:rFonts w:ascii="Times New Roman" w:cs="Times New Roman" w:eastAsia="Times New Roman" w:hAnsi="Times New Roman"/>
          <w:sz w:val="18"/>
          <w:szCs w:val="18"/>
          <w:color w:val="auto"/>
        </w:rPr>
      </w:pPr>
    </w:p>
    <w:p>
      <w:pPr>
        <w:ind w:left="660" w:hanging="652"/>
        <w:spacing w:after="0" w:line="282" w:lineRule="auto"/>
        <w:tabs>
          <w:tab w:leader="none" w:pos="6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79,996 shares of common stock, and (ii) 71,937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10,020 shares of common stock, and (ii) 77,406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10,020 shares of common stock, and (ii) 77,406 shares of common stock issuable upon the exercise of options exercisable within 60 days after March 31, 2026.</w:t>
      </w:r>
    </w:p>
    <w:p>
      <w:pPr>
        <w:spacing w:after="0" w:line="53"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1,442,608 shares of common stock, (ii) 125,850 shares of common stock that will be acquired upon the vesting of RSUs within 60 days after March 31, 2026, and (iii) 3,395,719 shares of common stock issuable upon exercise of options exercisable within 60 days after March 31, 2026. Includes current executive officers and directors, and does not include Dr. Taylor.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2025, where the amount involved exceeds $120,000,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 with John Houston, Ph.D.</w:t>
      </w:r>
    </w:p>
    <w:p>
      <w:pPr>
        <w:spacing w:after="0" w:line="256"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color w:val="auto"/>
        </w:rPr>
        <w:t>On February 12, 2026, upon approval of the Board, we and Dr. Houston entered into a consulting agreement, the terms of which are described above under “Other Agreements.</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See the “Executive and Director Compensation—Employment Agreements with our Executive Officers” section of this proxy statement for further discussion of these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EcoR1 Capital, LLC Warrant Exercises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November 24, 2023, we entered into a securities purchase agreement with respect to the sale and issuance of shares of our common stock and pre-funded warrants to purchase shares of common stock to certain institutional accredited investors in a private placement undertaken in reliance on Section 4(a)(2) of the Securities Act of 1933, as amended. In connection with the offering, as previously disclosed, we sold and issued shares of common stock and pre-funded warrants to certain persons, or such person’s affiliates, who beneficially owned greater than 5% of our voting securities, including EcoR1 Capital, LLC or its affiliated persons, or EcoR1. In March 2025, EcoR1 exercised its pre-funded warrants through a cashless exercise in accordance with the terms of the pre-funded warrants. Subsequently, on May 15, 2025, EcoR1 filed a Schedule 13G/A noting that EcoR1 no longer beneficially owned shares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provides that we will indemnify our directors and officers to the fullest extent permitted by Delaware law. In addition, we entered into indemnification agreements with all of our directors and executive officers. See the “Executive and Director Compensation— Limitation of Liability and Indemnification” section of this proxy statement for additional information regarding these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to set forth policies and procedures for the review and approval or ratification of related person transactions. We amended this policy in June 2022 to make certain clarifying adjustments. This policy covers any transaction, arrangement, or relationship, or any series of similar transactions, arrangements, or relationships, in which we were or are to be a participant,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related person transaction policy contains exceptions for any transaction or interest that is not considered a related person transaction under SEC rules as in effect from time to time. In addition, the policy provides that an interest arising solely from a related person’s position as an executive officer of another entity that is a participant in a transaction with us will not be subject to the policy if each of the following conditions is met:</w:t>
      </w:r>
    </w:p>
    <w:p>
      <w:pPr>
        <w:spacing w:after="0" w:line="68" w:lineRule="exact"/>
        <w:rPr>
          <w:sz w:val="20"/>
          <w:szCs w:val="20"/>
          <w:color w:val="auto"/>
        </w:rPr>
      </w:pPr>
    </w:p>
    <w:p>
      <w:pPr>
        <w:ind w:left="2100" w:hanging="634"/>
        <w:spacing w:after="0"/>
        <w:tabs>
          <w:tab w:leader="none" w:pos="2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 and all other related persons own in the aggregate less than a 10% equity interest in such entity;</w:t>
      </w:r>
    </w:p>
    <w:p>
      <w:pPr>
        <w:spacing w:after="0" w:line="117" w:lineRule="exact"/>
        <w:rPr>
          <w:rFonts w:ascii="Times New Roman" w:cs="Times New Roman" w:eastAsia="Times New Roman" w:hAnsi="Times New Roman"/>
          <w:sz w:val="18"/>
          <w:szCs w:val="18"/>
          <w:color w:val="auto"/>
        </w:rPr>
      </w:pPr>
    </w:p>
    <w:p>
      <w:pPr>
        <w:ind w:left="2120" w:right="40" w:hanging="654"/>
        <w:spacing w:after="0" w:line="282" w:lineRule="auto"/>
        <w:tabs>
          <w:tab w:leader="none" w:pos="21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 and his or her immediate family members are not involved in the negotiation of the terms of the transaction; and</w:t>
      </w:r>
    </w:p>
    <w:p>
      <w:pPr>
        <w:spacing w:after="0" w:line="53" w:lineRule="exact"/>
        <w:rPr>
          <w:rFonts w:ascii="Times New Roman" w:cs="Times New Roman" w:eastAsia="Times New Roman" w:hAnsi="Times New Roman"/>
          <w:sz w:val="18"/>
          <w:szCs w:val="18"/>
          <w:color w:val="auto"/>
        </w:rPr>
      </w:pPr>
    </w:p>
    <w:p>
      <w:pPr>
        <w:ind w:left="2120" w:right="500" w:hanging="654"/>
        <w:spacing w:after="0" w:line="282" w:lineRule="auto"/>
        <w:tabs>
          <w:tab w:leader="none" w:pos="21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equals less than the greater of $200,000 or 5% of the annual gross revenue of the company.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policy provides that any related person transaction proposed to be entered into by us must be reported to our Chief Financial Officer and will be reviewed and approved by our audit committee in accordance with the terms of the policy, prior to effectiveness or consummation of the transaction whenever practicable. The policy provides that if our Chief Financial Officer determines that advance approval of a related person transaction is not practicable under the circumstances, our audit committee will review and, in its discretion, may ratify the related person transaction at the next meeting of the audit committee following such transaction or following the date that such transaction comes to the attention of the Chief Financial Officer. The policy also provides that alternatively, our Chief Financial Officer may present a related person transaction arising in the time period between meetings of the audit committee to the chair of the audit committee, who will review and may approve the related person transaction, subject to ratification by the audit committee at the next meeting of the audit committee.</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policy provides that any related person transaction previously approved by the audit committee or otherwise already existing that is ongoing in nature will be reviewed by the audit committee annually to ensure that such related person transaction has been conducted in accordance with the previous approval granted by the audit committee, if any, and that all required disclosures regarding the related person transaction are made.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will be reviewed and approved by our compensation committee in the manner to be specified in the charter of the compensation committee.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related person transaction reviewed under this policy will be considered approved or ratified if it is authorized by the audit committee in accordance with the standards set forth in the policy after full disclosure of the related person’s interests in the transaction. As appropriate for the circumstances, the policy provides that the audit committee will review and consider:</w:t>
      </w:r>
    </w:p>
    <w:p>
      <w:pPr>
        <w:spacing w:after="0" w:line="68" w:lineRule="exact"/>
        <w:rPr>
          <w:sz w:val="20"/>
          <w:szCs w:val="20"/>
          <w:color w:val="auto"/>
        </w:rPr>
      </w:pPr>
    </w:p>
    <w:p>
      <w:pPr>
        <w:ind w:left="2100" w:hanging="634"/>
        <w:spacing w:after="0"/>
        <w:tabs>
          <w:tab w:leader="none" w:pos="2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17" w:lineRule="exact"/>
        <w:rPr>
          <w:rFonts w:ascii="Times New Roman" w:cs="Times New Roman" w:eastAsia="Times New Roman" w:hAnsi="Times New Roman"/>
          <w:sz w:val="18"/>
          <w:szCs w:val="18"/>
          <w:color w:val="auto"/>
        </w:rPr>
      </w:pPr>
    </w:p>
    <w:p>
      <w:pPr>
        <w:ind w:left="2120" w:right="240" w:hanging="654"/>
        <w:spacing w:after="0" w:line="266" w:lineRule="auto"/>
        <w:tabs>
          <w:tab w:leader="none" w:pos="21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 including the related person’s position(s) or relationship(s) with, or ownership in, a firm, corporation or other entity that is a party to, or has an interest in, the related person transaction;</w:t>
      </w:r>
    </w:p>
    <w:p>
      <w:pPr>
        <w:spacing w:after="0" w:line="67" w:lineRule="exact"/>
        <w:rPr>
          <w:rFonts w:ascii="Times New Roman" w:cs="Times New Roman" w:eastAsia="Times New Roman" w:hAnsi="Times New Roman"/>
          <w:sz w:val="18"/>
          <w:szCs w:val="18"/>
          <w:color w:val="auto"/>
        </w:rPr>
      </w:pPr>
    </w:p>
    <w:p>
      <w:pPr>
        <w:ind w:left="2120" w:right="180" w:hanging="654"/>
        <w:spacing w:after="0" w:line="282" w:lineRule="auto"/>
        <w:tabs>
          <w:tab w:leader="none" w:pos="21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related person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related person transaction was undertaken in the ordinary course of business of our company;</w:t>
      </w:r>
    </w:p>
    <w:p>
      <w:pPr>
        <w:spacing w:after="0" w:line="117" w:lineRule="exact"/>
        <w:rPr>
          <w:rFonts w:ascii="Times New Roman" w:cs="Times New Roman" w:eastAsia="Times New Roman" w:hAnsi="Times New Roman"/>
          <w:sz w:val="18"/>
          <w:szCs w:val="18"/>
          <w:color w:val="auto"/>
        </w:rPr>
      </w:pPr>
    </w:p>
    <w:p>
      <w:pPr>
        <w:ind w:left="2120" w:right="720" w:hanging="654"/>
        <w:spacing w:after="0" w:line="282" w:lineRule="auto"/>
        <w:tabs>
          <w:tab w:leader="none" w:pos="21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related person transaction with the related person is proposed to be, or was, entered into on terms no less favorable to us than the terms that could have been reached with an unrelated third party;</w:t>
      </w:r>
    </w:p>
    <w:p>
      <w:pPr>
        <w:spacing w:after="0" w:line="53" w:lineRule="exact"/>
        <w:rPr>
          <w:rFonts w:ascii="Times New Roman" w:cs="Times New Roman" w:eastAsia="Times New Roman" w:hAnsi="Times New Roman"/>
          <w:sz w:val="18"/>
          <w:szCs w:val="18"/>
          <w:color w:val="auto"/>
        </w:rPr>
      </w:pPr>
    </w:p>
    <w:p>
      <w:pPr>
        <w:ind w:left="2100" w:hanging="634"/>
        <w:spacing w:after="0"/>
        <w:tabs>
          <w:tab w:leader="none" w:pos="2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related person transaction; and</w:t>
      </w:r>
    </w:p>
    <w:p>
      <w:pPr>
        <w:spacing w:after="0" w:line="117" w:lineRule="exact"/>
        <w:rPr>
          <w:rFonts w:ascii="Times New Roman" w:cs="Times New Roman" w:eastAsia="Times New Roman" w:hAnsi="Times New Roman"/>
          <w:sz w:val="18"/>
          <w:szCs w:val="18"/>
          <w:color w:val="auto"/>
        </w:rPr>
      </w:pPr>
    </w:p>
    <w:p>
      <w:pPr>
        <w:ind w:left="2120" w:right="120" w:hanging="654"/>
        <w:spacing w:after="0" w:line="282" w:lineRule="auto"/>
        <w:tabs>
          <w:tab w:leader="none" w:pos="21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policy provides that the audit committee will review all relevant information available to it about the related person transaction. The policy provides that the audit committee may approve or ratify the related person transaction only if the audit committee determines that, under all of the circumstances, the transaction is in, or is not inconsistent with, our best interests. The policy provides that the audit committee may, in its sole discretion, impose such conditions as it deems appropriate on us or the related person in connection with approval of the related person transaction.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30,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20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required notice must meet the requirements set forth in our bylaws (including providing the information required by Rule 14a-19 under the Exchange Act if the stockholder intends to comply with the SEC’s universal proxy rules and to solicit proxies in support of director nominees other than the company’s nominees). 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24, 2027 and no later than March 26, 2027.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proposals should be addressed to Arvinas, Inc., 5 Science Park, 395 Winchester Ave., New Haven, CT 06511, Attention: Investor Relations.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annual reports, and notices of Internet availability of proxy materials. This means that only one copy of our documents, including the Notice, may have been sent to multiple stockholders in your household. We will promptly deliver a separate copy of any such document to you upon written or oral request to Arvinas, Inc.,</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5 Science Park, 395 Winchester Ave., New Haven, CT 06511, Attention: Investor Relations, telephone: 203-535-1456. If you want to receive separate copies of our proxy statements, annual reports, or notices of Internet availability of proxy materials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Randy Teel,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Randy Teel, Ph.D.</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8477250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560705</wp:posOffset>
            </wp:positionV>
            <wp:extent cx="5657850" cy="7132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7132320"/>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406400</wp:posOffset>
            </wp:positionV>
            <wp:extent cx="5657850" cy="68319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6831965"/>
                    </a:xfrm>
                    <a:prstGeom prst="rect">
                      <a:avLst/>
                    </a:prstGeom>
                    <a:noFill/>
                  </pic:spPr>
                </pic:pic>
              </a:graphicData>
            </a:graphic>
          </wp:anchor>
        </w:drawing>
      </w:r>
    </w:p>
    <w:sectPr>
      <w:pgSz w:w="11900" w:h="16838" w:orient="portrait"/>
      <w:cols w:equalWidth="0" w:num="1">
        <w:col w:w="10139"/>
      </w:cols>
      <w:pgMar w:left="32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o"/>
      <w:numFmt w:val="bullet"/>
      <w:start w:val="1"/>
    </w:lvl>
  </w:abstractNum>
  <w:abstractNum w:abstractNumId="1">
    <w:nsid w:val="440BADFC"/>
    <w:multiLevelType w:val="hybridMultilevel"/>
    <w:lvl w:ilvl="0">
      <w:lvlJc w:val="left"/>
      <w:lvlText w:val="x"/>
      <w:numFmt w:val="bullet"/>
      <w:start w:val="1"/>
    </w:lvl>
  </w:abstractNum>
  <w:abstractNum w:abstractNumId="2">
    <w:nsid w:val="5072367"/>
    <w:multiLevelType w:val="hybridMultilevel"/>
    <w:lvl w:ilvl="0">
      <w:lvlJc w:val="left"/>
      <w:lvlText w:val="o"/>
      <w:numFmt w:val="bullet"/>
      <w:start w:val="1"/>
    </w:lvl>
  </w:abstractNum>
  <w:abstractNum w:abstractNumId="3">
    <w:nsid w:val="3804823E"/>
    <w:multiLevelType w:val="hybridMultilevel"/>
    <w:lvl w:ilvl="0">
      <w:lvlJc w:val="left"/>
      <w:lvlText w:val="x"/>
      <w:numFmt w:val="bullet"/>
      <w:start w:val="1"/>
    </w:lvl>
  </w:abstractNum>
  <w:abstractNum w:abstractNumId="4">
    <w:nsid w:val="77465F01"/>
    <w:multiLevelType w:val="hybridMultilevel"/>
    <w:lvl w:ilvl="0">
      <w:lvlJc w:val="left"/>
      <w:lvlText w:val="o"/>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lvl w:ilvl="1">
      <w:lvlJc w:val="left"/>
      <w:lvlText w:val="◦"/>
      <w:numFmt w:val="bullet"/>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5"/>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15"/>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2"/>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2"/>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2"/>
    </w:lvl>
  </w:abstractNum>
  <w:abstractNum w:abstractNumId="47">
    <w:nsid w:val="47398C89"/>
    <w:multiLevelType w:val="hybridMultilevel"/>
    <w:lvl w:ilvl="0">
      <w:lvlJc w:val="left"/>
      <w:lvlText w:val="(%1)"/>
      <w:numFmt w:val="decimal"/>
      <w:start w:val="4"/>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2"/>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2"/>
    </w:lvl>
  </w:abstractNum>
  <w:abstractNum w:abstractNumId="66">
    <w:nsid w:val="5DB70AE5"/>
    <w:multiLevelType w:val="hybridMultilevel"/>
    <w:lvl w:ilvl="0">
      <w:lvlJc w:val="left"/>
      <w:lvlText w:val="(%1)"/>
      <w:numFmt w:val="decimal"/>
      <w:start w:val="13"/>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2026-04-29T08:36:59Z</dcterms:created>
  <dcterms:modified xsi:type="dcterms:W3CDTF">2026-04-29T08:36:59Z</dcterms:modified>
</cp:coreProperties>
</file>