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filed with the Securities and Exchange Commission on August 31, 2026 </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40"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40"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 xml:space="preserve">ARVINAS,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center"/>
        <w:rPr/>
      </w:pPr>
      <w:r>
        <w:rPr/>
      </w:r>
    </w:p>
    <w:tbl>
      <w:tblPr>
        <w:tblW w:w="4826" w:type="dxa"/>
        <w:jc w:val="left"/>
        <w:tblInd w:w="0" w:type="dxa"/>
        <w:tblLayout w:type="fixed"/>
        <w:tblCellMar>
          <w:top w:w="28" w:type="dxa"/>
          <w:left w:w="28" w:type="dxa"/>
          <w:bottom w:w="28" w:type="dxa"/>
          <w:right w:w="28" w:type="dxa"/>
        </w:tblCellMar>
      </w:tblPr>
      <w:tblGrid>
        <w:gridCol w:w="1091"/>
        <w:gridCol w:w="957"/>
        <w:gridCol w:w="967"/>
        <w:gridCol w:w="109"/>
        <w:gridCol w:w="109"/>
        <w:gridCol w:w="109"/>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47-2566120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Science Park</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395 Winchester Ave.</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New Haven,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06511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240" w:after="283"/>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Inducement Restricted Stock Unit Award (August 2026)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(Full Title of the Plan)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Randy Teel, Ph.D.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Arvinas,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5 Science Park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395 Winchester Ave.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New Haven, Connecticut 06511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and Address of Agent for Service)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(203) 535-1456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(Telephone Number, Including Area Code, of Agent for Service)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xml:space="preserve">PART I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INFORMATION REQUIRED IN THE SECTION 10(a)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Plan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Item 1 is omitted from this registration statement and included in documents sent or given to participants in the plan covered by this registration statement pursuant to Rule 428(b)(1) of the Securities Act of 1933, as amended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Registrant Information and Employee Plan Annual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written statement required by Item 2 is omitted from this registration statement and included in documents sent or given to participants in the plan covered by this registration statement pursuant to Rule 428(b)(1)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II</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240" w:after="283"/>
        <w:jc w:val="left"/>
        <w:rPr/>
      </w:pPr>
      <w:r>
        <w:rPr>
          <w:rFonts w:ascii="Times New Roman;serif" w:hAnsi="Times New Roman;serif"/>
          <w:b w:val="false"/>
          <w:color w:val="000000"/>
          <w:sz w:val="20"/>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w:t>
      </w:r>
      <w:r>
        <w:rPr>
          <w:color w:val="000000"/>
        </w:rPr>
        <w:t xml:space="preserve"> </w:t>
      </w:r>
      <w:r>
        <w:rPr>
          <w:rFonts w:ascii="Times New Roman;serif" w:hAnsi="Times New Roman;serif"/>
          <w:b w:val="false"/>
          <w:color w:val="000000"/>
          <w:sz w:val="20"/>
        </w:rPr>
        <w:t>The following documents, which are on file with the Commission, are incorporated in this registration statement by reference: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    The registrant’s latest </w:t>
      </w:r>
      <w:hyperlink r:id="rId2">
        <w:r>
          <w:rPr>
            <w:rStyle w:val="InternetLink"/>
            <w:rFonts w:ascii="Times New Roman;serif" w:hAnsi="Times New Roman;serif"/>
            <w:b w:val="false"/>
            <w:color w:val="0000FF"/>
            <w:sz w:val="20"/>
            <w:u w:val="single"/>
          </w:rPr>
          <w:t>annual report</w:t>
        </w:r>
      </w:hyperlink>
      <w:r>
        <w:rPr>
          <w:color w:val="000000"/>
        </w:rPr>
        <w:t xml:space="preserve"> </w:t>
      </w:r>
      <w:r>
        <w:rPr>
          <w:rFonts w:ascii="Times New Roman;serif" w:hAnsi="Times New Roman;serif"/>
          <w:b w:val="false"/>
          <w:color w:val="000000"/>
          <w:sz w:val="20"/>
        </w:rPr>
        <w:t xml:space="preserve">filed pursuant to Section 13(a) or 15(d) of the Exchange Act or the latest prospectus filed pursuant to Rule 424(b) under the Securities Act that contains audited financial statements for the registrant’s latest fiscal year for which such statements have been filed;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All other reports filed pursuant to Section 13(a) or 15(d) of the Exchange Act since the end of the fiscal year covered by the document referred to in (a) above; and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(c)    The description of the registrant’s common stock contained in the registrant’s registration statement on </w:t>
      </w:r>
      <w:hyperlink r:id="rId3">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as filed with the Commission on September</w:t>
      </w:r>
      <w:r>
        <w:rPr>
          <w:color w:val="000000"/>
        </w:rPr>
        <w:t xml:space="preserve"> </w:t>
      </w:r>
      <w:r>
        <w:rPr>
          <w:rFonts w:ascii="Times New Roman;serif" w:hAnsi="Times New Roman;serif"/>
          <w:b w:val="false"/>
          <w:color w:val="000000"/>
          <w:sz w:val="20"/>
        </w:rPr>
        <w:t xml:space="preserve">21, 2018, as the description therein has been updated and superseded by the description of the registrant’s capital stock contained in </w:t>
      </w:r>
      <w:hyperlink r:id="rId4">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the registrant’s annual report on Form 10-K for the fiscal year ended December 31, 2019, as filed with the Commission on March 16, 2020, and including any amendments and reports filed for the purpose of updating such description.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summary is qualified in its entirety by reference to the complete Delaware General Corporation Law (“DGCL”) and the registrant’s certificate of incorporation and bylaws.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102 of the DGCL permits a corporation to eliminate the personal liability of its directors or officers to the corporation or its stockholders for monetary damages for a breach of fiduciary duty as a director or officer, except (1) where the director or officer breached his or her duty of loyalty, failed to act in good faith, engaged in intentional misconduct, knowingly violated a law or obtained an improper personal benefit, (2) where any director authorized the payment of a dividend or approved a stock repurchase in violation of Delaware corporate law, or (3) for any officer, in any action by or in the right of the corporation. The registrant’s certificate of incorporation provides that no director shall be personally liable to the registrant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certificate of incorporation provides that it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certificate of incorporation also provides that it will indemnify any Indemnitee who was or is a party to an action or suit by or in the right of the registrant to procure a judgment in the registrant’s favor by reason of the fact that the Indemnitee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him or her or on his or her behalf in connection therewith. If the registrant does not assume the defense, expenses must be advanced to an Indemnitee under certain circumstances.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has entered into indemnification agreements with all of its directors and executive officers. In general, these agreements provide that the registrant will indemnify the director or executive officer to the fullest extent permitted by law for claims arising in his or her capacity as a director or officer of the registrant or in connection with their service at the registrant’s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maintains a general liability insurance policy which covers certain liabilities of the directors and officers of the registrant arising out of claims based on acts or omissions in their capacities as directors or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incorporated herein by reference:</w:t>
      </w:r>
    </w:p>
    <w:tbl>
      <w:tblPr>
        <w:tblW w:w="10205" w:type="dxa"/>
        <w:jc w:val="left"/>
        <w:tblInd w:w="0" w:type="dxa"/>
        <w:tblLayout w:type="fixed"/>
        <w:tblCellMar>
          <w:top w:w="28" w:type="dxa"/>
          <w:left w:w="28" w:type="dxa"/>
          <w:bottom w:w="28" w:type="dxa"/>
          <w:right w:w="28" w:type="dxa"/>
        </w:tblCellMar>
      </w:tblPr>
      <w:tblGrid>
        <w:gridCol w:w="617"/>
        <w:gridCol w:w="543"/>
        <w:gridCol w:w="548"/>
        <w:gridCol w:w="109"/>
        <w:gridCol w:w="109"/>
        <w:gridCol w:w="109"/>
        <w:gridCol w:w="2389"/>
        <w:gridCol w:w="2389"/>
        <w:gridCol w:w="3392"/>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Restated Certificate of Incorporation of the Registrant</w:t>
              </w:r>
            </w:hyperlink>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Second Amended and Restated Bylaws of the Registrant</w:t>
              </w:r>
            </w:hyperlink>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vn-ex51toinducementgrant.htm">
              <w:r>
                <w:rPr>
                  <w:rStyle w:val="InternetLink"/>
                  <w:rFonts w:ascii="Times New Roman;serif" w:hAnsi="Times New Roman;serif"/>
                  <w:b w:val="false"/>
                  <w:color w:val="0000FF"/>
                  <w:sz w:val="20"/>
                  <w:u w:val="single"/>
                </w:rPr>
                <w:t>Opinion of Wilmer Cutler Pickering Hale and Dorr LLP, counsel to the Registrant</w:t>
              </w:r>
            </w:hyperlink>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vn-ex51toinducementgrant.htm">
              <w:r>
                <w:rPr>
                  <w:rStyle w:val="InternetLink"/>
                  <w:rFonts w:ascii="Times New Roman;serif" w:hAnsi="Times New Roman;serif"/>
                  <w:b w:val="false"/>
                  <w:color w:val="0000FF"/>
                  <w:sz w:val="20"/>
                  <w:u w:val="single"/>
                </w:rPr>
                <w:t>Consent of Wilmer Cutler Pickering Hale and Dorr LLP (included in Exhibit 5.1)</w:t>
              </w:r>
            </w:hyperlink>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nsentofindependentregist.htm">
              <w:r>
                <w:rPr>
                  <w:rStyle w:val="InternetLink"/>
                  <w:rFonts w:ascii="Times New Roman;serif" w:hAnsi="Times New Roman;serif"/>
                  <w:b w:val="false"/>
                  <w:color w:val="0000FF"/>
                  <w:sz w:val="20"/>
                  <w:u w:val="single"/>
                </w:rPr>
                <w:t>Consent of Deloitte &amp; Touche LLP, independent registered public accounting firm for the Registrant</w:t>
              </w:r>
            </w:hyperlink>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2c964b606485c8cd074da4ba4a280_40">
              <w:r>
                <w:rPr>
                  <w:rStyle w:val="InternetLink"/>
                  <w:rFonts w:ascii="Times New Roman;serif" w:hAnsi="Times New Roman;serif"/>
                  <w:b w:val="false"/>
                  <w:color w:val="0000FF"/>
                  <w:sz w:val="20"/>
                  <w:u w:val="single"/>
                </w:rPr>
                <w:t>Power of Attorney (included on the signature pages of this registration statement)</w:t>
              </w:r>
            </w:hyperlink>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Inducement Restricted Stock Unit Award Agreement</w:t>
              </w:r>
            </w:hyperlink>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FILING FEES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vn0826_exfilingfee.htm">
              <w:r>
                <w:rPr>
                  <w:rStyle w:val="InternetLink"/>
                  <w:rFonts w:ascii="Times New Roman;serif" w:hAnsi="Times New Roman;serif"/>
                  <w:b w:val="false"/>
                  <w:color w:val="0000FF"/>
                  <w:sz w:val="20"/>
                  <w:u w:val="single"/>
                </w:rPr>
                <w:t>Calculation of Filing Fee Tables</w:t>
              </w:r>
            </w:hyperlink>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 with the Securities and Exchange Commission on October 1, 2018 as Exhibit 3.1 to the Registrant’s Current Report on Form 8-K (File No. 001-38672) and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 with the Securities and Exchange Commission on June 21, 2023 as Exhibit 3.1 to the Registrant’s Current Report on Form 8-K (File No. 001-38672) and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 with the Securities and Exchange Commission on January 16, 2024 as Exhibit 99.4 to the Registrant’s Registration Statement on Form S-8 (File No. 333-276519) and incorporated herein by reference.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undersigned registrant hereby undertakes: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 provided, however, that paragraphs (1)(i) and (1)(ii)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firstLine="5"/>
        <w:jc w:val="left"/>
        <w:rPr>
          <w:rFonts w:ascii="Times New Roman;serif" w:hAnsi="Times New Roman;serif"/>
          <w:b w:val="false"/>
          <w:color w:val="000000"/>
          <w:sz w:val="20"/>
        </w:rPr>
      </w:pPr>
      <w:r>
        <w:rPr>
          <w:rFonts w:ascii="Times New Roman;serif" w:hAnsi="Times New Roman;serif"/>
          <w:b w:val="false"/>
          <w:color w:val="000000"/>
          <w:sz w:val="20"/>
        </w:rPr>
        <w:t>3.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Haven, State of Connecticut, on this 31st day of August, 2026. </w:t>
      </w:r>
    </w:p>
    <w:tbl>
      <w:tblPr>
        <w:tblW w:w="4154" w:type="dxa"/>
        <w:jc w:val="left"/>
        <w:tblInd w:w="0" w:type="dxa"/>
        <w:tblLayout w:type="fixed"/>
        <w:tblCellMar>
          <w:top w:w="28" w:type="dxa"/>
          <w:left w:w="28" w:type="dxa"/>
          <w:bottom w:w="28" w:type="dxa"/>
          <w:right w:w="28" w:type="dxa"/>
        </w:tblCellMar>
      </w:tblPr>
      <w:tblGrid>
        <w:gridCol w:w="175"/>
        <w:gridCol w:w="154"/>
        <w:gridCol w:w="154"/>
        <w:gridCol w:w="154"/>
        <w:gridCol w:w="154"/>
        <w:gridCol w:w="154"/>
        <w:gridCol w:w="935"/>
        <w:gridCol w:w="935"/>
        <w:gridCol w:w="1339"/>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9"/>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ARVINAS, INC.</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Teel, Ph.D.</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Teel, Ph.D.</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83"/>
        <w:jc w:val="center"/>
        <w:rPr>
          <w:rFonts w:ascii="Times New Roman;serif" w:hAnsi="Times New Roman;serif"/>
          <w:b/>
          <w:color w:val="000000"/>
          <w:sz w:val="20"/>
        </w:rPr>
      </w:pPr>
      <w:r>
        <w:rPr>
          <w:rFonts w:ascii="Times New Roman;serif" w:hAnsi="Times New Roman;serif"/>
          <w:b/>
          <w:color w:val="000000"/>
          <w:sz w:val="20"/>
        </w:rPr>
        <w:t xml:space="preserve">POWER OF ATTORNEY AND 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the undersigned officers and directors of Arvinas, Inc., hereby severally constitute and appoint Randy Teel, Ph.D. and Andrew Saik,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names and on our behalf in our capacities as officers and directors to enable Arvinas,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r>
    </w:p>
    <w:tbl>
      <w:tblPr>
        <w:tblW w:w="8828" w:type="dxa"/>
        <w:jc w:val="left"/>
        <w:tblInd w:w="0" w:type="dxa"/>
        <w:tblLayout w:type="fixed"/>
        <w:tblCellMar>
          <w:top w:w="28" w:type="dxa"/>
          <w:left w:w="28" w:type="dxa"/>
          <w:bottom w:w="28" w:type="dxa"/>
          <w:right w:w="28" w:type="dxa"/>
        </w:tblCellMar>
      </w:tblPr>
      <w:tblGrid>
        <w:gridCol w:w="1000"/>
        <w:gridCol w:w="876"/>
        <w:gridCol w:w="884"/>
        <w:gridCol w:w="109"/>
        <w:gridCol w:w="109"/>
        <w:gridCol w:w="109"/>
        <w:gridCol w:w="1299"/>
        <w:gridCol w:w="1299"/>
        <w:gridCol w:w="1316"/>
        <w:gridCol w:w="109"/>
        <w:gridCol w:w="109"/>
        <w:gridCol w:w="109"/>
        <w:gridCol w:w="438"/>
        <w:gridCol w:w="438"/>
        <w:gridCol w:w="62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u w:val="single"/>
              </w:rPr>
            </w:pPr>
            <w:r>
              <w:rPr>
                <w:rFonts w:ascii="Times New Roman;serif" w:hAnsi="Times New Roman;serif"/>
                <w:b/>
                <w:i/>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Teel, Ph.D.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40" w:before="0" w:after="20"/>
              <w:jc w:val="center"/>
              <w:rPr>
                <w:color w:val="000000"/>
              </w:rPr>
            </w:pPr>
            <w:r>
              <w:rPr>
                <w:color w:val="000000"/>
              </w:rPr>
              <w:t> </w:t>
            </w:r>
            <w:r>
              <w:rPr>
                <w:rFonts w:ascii="Times New Roman;serif" w:hAnsi="Times New Roman;serif"/>
                <w:b w:val="false"/>
                <w:color w:val="000000"/>
                <w:sz w:val="20"/>
              </w:rPr>
              <w:t>(principal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Teel,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Saik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Saik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 Loomis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 Loomis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Briggs Morrison, M.D.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Briggs Morrison, M.D.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Linda Bain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Bain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Houston, Ph.D.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Houston,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Kennedy, Jr.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Kennedy, Jr.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Norwalk, Esq.</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Norwalk, Esq.</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Laurie Smaldone Alsup, M.D.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Smaldone Alsup, M.D.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arvn0826_exfilingfee.htm"/>
      <w:bookmarkStart w:id="1" w:name="ksarvn0826_exfilingfee"/>
      <w:bookmarkStart w:id="2" w:name="arvn0826_exfilingfee.htm"/>
      <w:bookmarkStart w:id="3" w:name="ksarvn0826_exfilingfee"/>
      <w:bookmarkEnd w:id="2"/>
      <w:bookmarkEnd w:id="3"/>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ARVINAS,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3"/>
        <w:gridCol w:w="970"/>
        <w:gridCol w:w="1116"/>
        <w:gridCol w:w="1314"/>
        <w:gridCol w:w="1222"/>
        <w:gridCol w:w="1290"/>
        <w:gridCol w:w="1459"/>
        <w:gridCol w:w="1128"/>
        <w:gridCol w:w="1463"/>
      </w:tblGrid>
      <w:tr>
        <w:trPr/>
        <w:tc>
          <w:tcPr>
            <w:tcW w:w="243" w:type="dxa"/>
            <w:tcBorders/>
            <w:shd w:fill="9ADAF6" w:val="clear"/>
            <w:vAlign w:val="center"/>
          </w:tcPr>
          <w:p>
            <w:pPr>
              <w:pStyle w:val="TableHeading"/>
              <w:bidi w:val="0"/>
              <w:spacing w:before="0" w:after="283"/>
              <w:rPr>
                <w:sz w:val="4"/>
                <w:szCs w:val="4"/>
              </w:rPr>
            </w:pPr>
            <w:r>
              <w:rPr>
                <w:sz w:val="4"/>
                <w:szCs w:val="4"/>
              </w:rPr>
            </w:r>
          </w:p>
        </w:tc>
        <w:tc>
          <w:tcPr>
            <w:tcW w:w="97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1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9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45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8"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6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3" w:type="dxa"/>
            <w:tcBorders/>
            <w:shd w:fill="E7E7E2" w:val="clear"/>
            <w:vAlign w:val="center"/>
          </w:tcPr>
          <w:p>
            <w:pPr>
              <w:pStyle w:val="TableContents"/>
              <w:bidi w:val="0"/>
              <w:spacing w:before="0" w:after="283"/>
              <w:jc w:val="center"/>
              <w:rPr/>
            </w:pPr>
            <w:r>
              <w:rPr/>
              <w:t xml:space="preserve">1 </w:t>
            </w:r>
          </w:p>
        </w:tc>
        <w:tc>
          <w:tcPr>
            <w:tcW w:w="970" w:type="dxa"/>
            <w:tcBorders/>
            <w:shd w:fill="E7E7E2" w:val="clear"/>
            <w:vAlign w:val="center"/>
          </w:tcPr>
          <w:p>
            <w:pPr>
              <w:pStyle w:val="TableContents"/>
              <w:bidi w:val="0"/>
              <w:spacing w:before="0" w:after="283"/>
              <w:jc w:val="left"/>
              <w:rPr/>
            </w:pPr>
            <w:r>
              <w:rPr/>
              <w:t xml:space="preserve">Equity </w:t>
            </w:r>
          </w:p>
        </w:tc>
        <w:tc>
          <w:tcPr>
            <w:tcW w:w="1116" w:type="dxa"/>
            <w:tcBorders/>
            <w:shd w:fill="E7E7E2" w:val="clear"/>
            <w:vAlign w:val="center"/>
          </w:tcPr>
          <w:p>
            <w:pPr>
              <w:pStyle w:val="TableContents"/>
              <w:bidi w:val="0"/>
              <w:spacing w:before="0" w:after="283"/>
              <w:jc w:val="left"/>
              <w:rPr/>
            </w:pPr>
            <w:r>
              <w:rPr/>
              <w:t xml:space="preserve">Common Stock, $0.001 par value per share </w:t>
            </w:r>
          </w:p>
        </w:tc>
        <w:tc>
          <w:tcPr>
            <w:tcW w:w="1314" w:type="dxa"/>
            <w:tcBorders/>
            <w:shd w:fill="E7E7E2" w:val="clear"/>
            <w:vAlign w:val="center"/>
          </w:tcPr>
          <w:p>
            <w:pPr>
              <w:pStyle w:val="TableContents"/>
              <w:bidi w:val="0"/>
              <w:spacing w:before="0" w:after="283"/>
              <w:jc w:val="center"/>
              <w:rPr/>
            </w:pPr>
            <w:r>
              <w:rPr/>
              <w:t xml:space="preserve">Other </w:t>
            </w:r>
          </w:p>
        </w:tc>
        <w:tc>
          <w:tcPr>
            <w:tcW w:w="1222" w:type="dxa"/>
            <w:tcBorders/>
            <w:shd w:fill="E7E7E2" w:val="clear"/>
            <w:vAlign w:val="center"/>
          </w:tcPr>
          <w:p>
            <w:pPr>
              <w:pStyle w:val="TableContents"/>
              <w:bidi w:val="0"/>
              <w:spacing w:before="0" w:after="283"/>
              <w:jc w:val="right"/>
              <w:rPr/>
            </w:pPr>
            <w:r>
              <w:rPr/>
              <w:t xml:space="preserve">45,696 </w:t>
            </w:r>
          </w:p>
        </w:tc>
        <w:tc>
          <w:tcPr>
            <w:tcW w:w="1290" w:type="dxa"/>
            <w:tcBorders/>
            <w:shd w:fill="E7E7E2" w:val="clear"/>
            <w:vAlign w:val="center"/>
          </w:tcPr>
          <w:p>
            <w:pPr>
              <w:pStyle w:val="TableContents"/>
              <w:bidi w:val="0"/>
              <w:spacing w:before="0" w:after="283"/>
              <w:jc w:val="right"/>
              <w:rPr/>
            </w:pPr>
            <w:r>
              <w:rPr/>
              <w:t xml:space="preserve">$ 9.14 </w:t>
            </w:r>
          </w:p>
        </w:tc>
        <w:tc>
          <w:tcPr>
            <w:tcW w:w="1459" w:type="dxa"/>
            <w:tcBorders/>
            <w:shd w:fill="E7E7E2" w:val="clear"/>
            <w:vAlign w:val="center"/>
          </w:tcPr>
          <w:p>
            <w:pPr>
              <w:pStyle w:val="TableContents"/>
              <w:bidi w:val="0"/>
              <w:spacing w:before="0" w:after="283"/>
              <w:jc w:val="right"/>
              <w:rPr/>
            </w:pPr>
            <w:r>
              <w:rPr/>
              <w:t xml:space="preserve">$ 417,661.44 </w:t>
            </w:r>
          </w:p>
        </w:tc>
        <w:tc>
          <w:tcPr>
            <w:tcW w:w="1128" w:type="dxa"/>
            <w:tcBorders/>
            <w:shd w:fill="E7E7E2" w:val="clear"/>
            <w:vAlign w:val="center"/>
          </w:tcPr>
          <w:p>
            <w:pPr>
              <w:pStyle w:val="TableContents"/>
              <w:bidi w:val="0"/>
              <w:spacing w:before="0" w:after="283"/>
              <w:jc w:val="right"/>
              <w:rPr/>
            </w:pPr>
            <w:r>
              <w:rPr/>
              <w:t xml:space="preserve">0.0001381 </w:t>
            </w:r>
          </w:p>
        </w:tc>
        <w:tc>
          <w:tcPr>
            <w:tcW w:w="1463" w:type="dxa"/>
            <w:tcBorders/>
            <w:shd w:fill="E7E7E2" w:val="clear"/>
            <w:vAlign w:val="center"/>
          </w:tcPr>
          <w:p>
            <w:pPr>
              <w:pStyle w:val="TableContents"/>
              <w:bidi w:val="0"/>
              <w:spacing w:before="0" w:after="283"/>
              <w:jc w:val="right"/>
              <w:rPr/>
            </w:pPr>
            <w:r>
              <w:rPr/>
              <w:t xml:space="preserve">$ 57.68 </w:t>
            </w:r>
          </w:p>
        </w:tc>
      </w:tr>
      <w:tr>
        <w:trPr/>
        <w:tc>
          <w:tcPr>
            <w:tcW w:w="4865" w:type="dxa"/>
            <w:gridSpan w:val="5"/>
            <w:tcBorders/>
            <w:vAlign w:val="center"/>
          </w:tcPr>
          <w:p>
            <w:pPr>
              <w:pStyle w:val="TableContents"/>
              <w:bidi w:val="0"/>
              <w:spacing w:before="0" w:after="0"/>
              <w:ind w:left="0" w:right="0" w:hanging="0"/>
              <w:jc w:val="right"/>
              <w:rPr/>
            </w:pPr>
            <w:r>
              <w:rPr/>
              <w:t>Total Offering Amounts:</w:t>
            </w:r>
          </w:p>
        </w:tc>
        <w:tc>
          <w:tcPr>
            <w:tcW w:w="129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0"/>
              <w:ind w:left="0" w:right="0" w:hanging="0"/>
              <w:jc w:val="right"/>
              <w:rPr/>
            </w:pPr>
            <w:bookmarkStart w:id="4" w:name="MaxAggtOfferingPrice"/>
            <w:bookmarkEnd w:id="4"/>
            <w:r>
              <w:rPr/>
              <w:t xml:space="preserve">$ 417,661.44 </w:t>
            </w:r>
          </w:p>
        </w:tc>
        <w:tc>
          <w:tcPr>
            <w:tcW w:w="1128" w:type="dxa"/>
            <w:tcBorders/>
            <w:vAlign w:val="center"/>
          </w:tcPr>
          <w:p>
            <w:pPr>
              <w:pStyle w:val="TableContents"/>
              <w:bidi w:val="0"/>
              <w:spacing w:before="0" w:after="283"/>
              <w:jc w:val="left"/>
              <w:rPr>
                <w:sz w:val="4"/>
                <w:szCs w:val="4"/>
              </w:rPr>
            </w:pPr>
            <w:r>
              <w:rPr>
                <w:sz w:val="4"/>
                <w:szCs w:val="4"/>
              </w:rPr>
            </w:r>
          </w:p>
        </w:tc>
        <w:tc>
          <w:tcPr>
            <w:tcW w:w="146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$ 57.68 </w:t>
            </w:r>
          </w:p>
        </w:tc>
      </w:tr>
      <w:tr>
        <w:trPr/>
        <w:tc>
          <w:tcPr>
            <w:tcW w:w="4865" w:type="dxa"/>
            <w:gridSpan w:val="5"/>
            <w:tcBorders/>
            <w:vAlign w:val="center"/>
          </w:tcPr>
          <w:p>
            <w:pPr>
              <w:pStyle w:val="TableContents"/>
              <w:bidi w:val="0"/>
              <w:spacing w:before="0" w:after="0"/>
              <w:ind w:left="0" w:right="0" w:hanging="0"/>
              <w:jc w:val="right"/>
              <w:rPr/>
            </w:pPr>
            <w:r>
              <w:rPr/>
              <w:t xml:space="preserve">Total Fee Offsets: </w:t>
            </w:r>
          </w:p>
        </w:tc>
        <w:tc>
          <w:tcPr>
            <w:tcW w:w="129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865" w:type="dxa"/>
            <w:gridSpan w:val="5"/>
            <w:tcBorders/>
            <w:vAlign w:val="center"/>
          </w:tcPr>
          <w:p>
            <w:pPr>
              <w:pStyle w:val="TableContents"/>
              <w:bidi w:val="0"/>
              <w:spacing w:before="0" w:after="0"/>
              <w:ind w:left="0" w:right="0" w:hanging="0"/>
              <w:jc w:val="right"/>
              <w:rPr/>
            </w:pPr>
            <w:r>
              <w:rPr/>
              <w:t xml:space="preserve">Net Fee Due: </w:t>
            </w:r>
          </w:p>
        </w:tc>
        <w:tc>
          <w:tcPr>
            <w:tcW w:w="129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0"/>
              <w:ind w:left="0" w:right="0" w:hanging="0"/>
              <w:jc w:val="right"/>
              <w:rPr/>
            </w:pPr>
            <w:bookmarkStart w:id="7" w:name="NetFeeAmt"/>
            <w:bookmarkEnd w:id="7"/>
            <w:r>
              <w:rPr/>
              <w:t xml:space="preserve">$ 57.68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Amount Registered - (1) 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(2) Consists of shares issuable under a new hire inducement restricted stock unit award to be granted on August 31. 2026 to an employee in accordance with Nasdaq Listing Rule 5635(c)(4), as an inducement material to such employee entering into employment with the Registrant. Proposed Maximum Offering Price Per Unit - (3) Estimated solely for the purpose of calculating the registration fee pursuant to Rules 457(c) and 457(h) of the Securities Act of 1933, as amended, and based upon the average of the high and low prices of the Registrant's Common Stock reported on the Nasdaq Global Select Market on August 28,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right"/>
        <w:rPr/>
      </w:pPr>
      <w:r>
        <w:rPr/>
      </w:r>
    </w:p>
    <w:p>
      <w:pPr>
        <w:pStyle w:val="TextBody"/>
        <w:bidi w:val="0"/>
        <w:spacing w:before="0" w:after="0"/>
        <w:jc w:val="right"/>
        <w:rPr/>
      </w:pPr>
      <w:r>
        <w:rPr/>
        <w:drawing>
          <wp:inline distT="0" distB="0" distL="0" distR="0">
            <wp:extent cx="1171575" cy="1524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8"/>
                    <a:stretch>
                      <a:fillRect/>
                    </a:stretch>
                  </pic:blipFill>
                  <pic:spPr bwMode="auto">
                    <a:xfrm>
                      <a:off x="0" y="0"/>
                      <a:ext cx="1171575" cy="152400"/>
                    </a:xfrm>
                    <a:prstGeom prst="rect">
                      <a:avLst/>
                    </a:prstGeom>
                  </pic:spPr>
                </pic:pic>
              </a:graphicData>
            </a:graphic>
          </wp:inline>
        </w:drawing>
      </w:r>
    </w:p>
    <w:p>
      <w:pPr>
        <w:pStyle w:val="TextBody"/>
        <w:bidi w:val="0"/>
        <w:spacing w:before="0" w:after="0"/>
        <w:jc w:val="left"/>
        <w:rPr/>
      </w:pPr>
      <w:r>
        <w:rPr/>
      </w:r>
    </w:p>
    <w:tbl>
      <w:tblPr>
        <w:tblW w:w="1395" w:type="dxa"/>
        <w:jc w:val="left"/>
        <w:tblInd w:w="0" w:type="dxa"/>
        <w:tblLayout w:type="fixed"/>
        <w:tblCellMar>
          <w:top w:w="28" w:type="dxa"/>
          <w:left w:w="28" w:type="dxa"/>
          <w:bottom w:w="28" w:type="dxa"/>
          <w:right w:w="28" w:type="dxa"/>
        </w:tblCellMar>
      </w:tblPr>
      <w:tblGrid>
        <w:gridCol w:w="447"/>
        <w:gridCol w:w="392"/>
        <w:gridCol w:w="556"/>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
              <w:jc w:val="right"/>
              <w:rPr/>
            </w:pPr>
            <w:r>
              <w:rPr/>
            </w:r>
          </w:p>
          <w:p>
            <w:pPr>
              <w:pStyle w:val="TableContents"/>
              <w:bidi w:val="0"/>
              <w:spacing w:lineRule="auto" w:line="240" w:before="0" w:after="2"/>
              <w:jc w:val="right"/>
              <w:rPr/>
            </w:pPr>
            <w:r>
              <w:rPr>
                <w:rFonts w:ascii="Arial;sans-serif" w:hAnsi="Arial;sans-serif"/>
                <w:b/>
                <w:color w:val="000000"/>
                <w:sz w:val="14"/>
              </w:rPr>
              <w:t>+1 212 230 8800</w:t>
            </w:r>
            <w:r>
              <w:rPr>
                <w:color w:val="000000"/>
              </w:rPr>
              <w:t xml:space="preserve"> </w:t>
            </w:r>
            <w:r>
              <w:rPr>
                <w:rFonts w:ascii="Arial;sans-serif" w:hAnsi="Arial;sans-serif"/>
                <w:b w:val="false"/>
                <w:color w:val="000000"/>
                <w:sz w:val="14"/>
              </w:rPr>
              <w:t>(t)</w:t>
            </w:r>
          </w:p>
          <w:p>
            <w:pPr>
              <w:pStyle w:val="TableContents"/>
              <w:bidi w:val="0"/>
              <w:spacing w:lineRule="auto" w:line="240" w:before="0" w:after="2"/>
              <w:jc w:val="right"/>
              <w:rPr/>
            </w:pPr>
            <w:r>
              <w:rPr>
                <w:rFonts w:ascii="Arial;sans-serif" w:hAnsi="Arial;sans-serif"/>
                <w:b/>
                <w:color w:val="000000"/>
                <w:sz w:val="14"/>
              </w:rPr>
              <w:t>+1 212 230 8888</w:t>
            </w:r>
            <w:r>
              <w:rPr>
                <w:color w:val="000000"/>
              </w:rPr>
              <w:t xml:space="preserve"> </w:t>
            </w:r>
            <w:r>
              <w:rPr>
                <w:rFonts w:ascii="Arial;sans-serif" w:hAnsi="Arial;sans-serif"/>
                <w:b w:val="false"/>
                <w:color w:val="000000"/>
                <w:sz w:val="14"/>
              </w:rPr>
              <w:t>(f)</w:t>
            </w:r>
          </w:p>
          <w:p>
            <w:pPr>
              <w:pStyle w:val="TableContents"/>
              <w:bidi w:val="0"/>
              <w:spacing w:lineRule="auto" w:line="240" w:before="0" w:after="2"/>
              <w:jc w:val="right"/>
              <w:rPr>
                <w:rFonts w:ascii="Arial;sans-serif" w:hAnsi="Arial;sans-serif"/>
                <w:b w:val="false"/>
                <w:color w:val="000000"/>
                <w:sz w:val="14"/>
              </w:rPr>
            </w:pPr>
            <w:r>
              <w:rPr>
                <w:rFonts w:ascii="Arial;sans-serif" w:hAnsi="Arial;sans-serif"/>
                <w:b w:val="false"/>
                <w:color w:val="000000"/>
                <w:sz w:val="14"/>
              </w:rPr>
              <w:t>wilmerhale.com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August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Arvinas,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 Science Park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395 Winchester Ave.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Haven, CT 06511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Re: Registration Statement on Form S-8 Inducement Restricted Stock Unit Award (August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assisted in the preparation of a Registration Statement on Form S-8 (the “Registration Statement”) to be filed with the Securities and Exchange Commission (the “Commission”) under the Securities Act of 1933, as amended (the “Securities Act”), relating to an aggregate of 45,696 shares (the “Shares”) of common stock, $0.001 par value per share (“Common Stock”), of Arvinas, Inc., a Delaware corporation (the “Company”), issuable pursuant to an inducement restricted stock unit agreement providing for an employee inducement grant between the Company and an employee, which was or will be entered into in connection with the commencement of such employee’s employment with the Company pursuant to Nasdaq Stock Market Rule 5635(c)(4) (the “Inducement Award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Inducement Award Agreement and such other documents relating to the Company as we have deemed material for the purposes of this opinion.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6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2145"/>
                <wp:effectExtent l="0" t="0" r="0" b="0"/>
                <wp:wrapNone/>
                <wp:docPr id="9" name="Frame8"/>
                <a:graphic xmlns:a="http://schemas.openxmlformats.org/drawingml/2006/main">
                  <a:graphicData uri="http://schemas.microsoft.com/office/word/2010/wordprocessingShape">
                    <wps:wsp>
                      <wps:cNvSpPr txBox="1"/>
                      <wps:spPr>
                        <a:xfrm>
                          <a:off x="0" y="0"/>
                          <a:ext cx="6480175" cy="652145"/>
                        </a:xfrm>
                        <a:prstGeom prst="rect"/>
                        <a:solidFill>
                          <a:srgbClr val="FFFFFF"/>
                        </a:solidFill>
                      </wps:spPr>
                      <wps:txbx>
                        <w:txbxContent>
                          <w:p>
                            <w:pPr>
                              <w:pStyle w:val="TextBody"/>
                              <w:bidi w:val="0"/>
                              <w:spacing w:before="0" w:after="0"/>
                              <w:jc w:val="center"/>
                              <w:rPr/>
                            </w:pPr>
                            <w:r>
                              <w:rPr/>
                              <w:drawing>
                                <wp:inline distT="0" distB="0" distL="0" distR="0">
                                  <wp:extent cx="5943600" cy="2381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9"/>
                                          <a:stretch>
                                            <a:fillRect/>
                                          </a:stretch>
                                        </pic:blipFill>
                                        <pic:spPr bwMode="auto">
                                          <a:xfrm>
                                            <a:off x="0" y="0"/>
                                            <a:ext cx="5943600" cy="238125"/>
                                          </a:xfrm>
                                          <a:prstGeom prst="rect">
                                            <a:avLst/>
                                          </a:prstGeom>
                                        </pic:spPr>
                                      </pic:pic>
                                    </a:graphicData>
                                  </a:graphic>
                                </wp:inline>
                              </w:drawing>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2381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10"/>
                                    <a:stretch>
                                      <a:fillRect/>
                                    </a:stretch>
                                  </pic:blipFill>
                                  <pic:spPr bwMode="auto">
                                    <a:xfrm>
                                      <a:off x="0" y="0"/>
                                      <a:ext cx="5943600" cy="2381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right"/>
        <w:rPr/>
      </w:pPr>
      <w:r>
        <w:rPr/>
        <w:drawing>
          <wp:inline distT="0" distB="0" distL="0" distR="0">
            <wp:extent cx="1171575" cy="152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11"/>
                    <a:stretch>
                      <a:fillRect/>
                    </a:stretch>
                  </pic:blipFill>
                  <pic:spPr bwMode="auto">
                    <a:xfrm>
                      <a:off x="0" y="0"/>
                      <a:ext cx="1171575" cy="152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2"/>
        <w:jc w:val="left"/>
        <w:rPr>
          <w:rFonts w:ascii="Times New Roman;serif" w:hAnsi="Times New Roman;serif"/>
          <w:b w:val="false"/>
          <w:color w:val="000000"/>
          <w:sz w:val="22"/>
        </w:rPr>
      </w:pPr>
      <w:r>
        <w:rPr>
          <w:rFonts w:ascii="Times New Roman;serif" w:hAnsi="Times New Roman;serif"/>
          <w:b w:val="false"/>
          <w:color w:val="000000"/>
          <w:sz w:val="22"/>
        </w:rPr>
        <w:t>August 31, 2026</w:t>
      </w:r>
    </w:p>
    <w:p>
      <w:pPr>
        <w:pStyle w:val="TextBody"/>
        <w:bidi w:val="0"/>
        <w:spacing w:lineRule="auto" w:line="240" w:before="0" w:after="2"/>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2"/>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assume that the appropriate action will be taken, prior to the offer and sale of the Shares in accordance with the Inducement Award Agreement, as applicable, to register and qualify the Shares for sale under all applicable state securities or “blue sky” laws.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express no opinion herein as to the laws of any state or jurisdiction other than the General Corporation Law of the State of Delaware.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 is understood that this opinion is to be used only in connection with the offer and sale of the Shares while the Registration Statement is in effect.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note that we are opining only as to the matters expressly set forth herein, and no opinion should be inferred as to any other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the foregoing, we are of the opinion that the Shares have been duly authorized for issuance and, when the Shares are issued and paid for in accordance with the terms and conditions of the Inducement Award Agreement, the Shares will be validly issued, fully paid and nonassessable.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814" w:type="dxa"/>
        <w:jc w:val="right"/>
        <w:tblInd w:w="0" w:type="dxa"/>
        <w:tblLayout w:type="fixed"/>
        <w:tblCellMar>
          <w:top w:w="28" w:type="dxa"/>
          <w:left w:w="28" w:type="dxa"/>
          <w:bottom w:w="28" w:type="dxa"/>
          <w:right w:w="28" w:type="dxa"/>
        </w:tblCellMar>
      </w:tblPr>
      <w:tblGrid>
        <w:gridCol w:w="1539"/>
        <w:gridCol w:w="1351"/>
        <w:gridCol w:w="1924"/>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Wilmer Cutler Pickering Hale and Dorr LLP</w:t>
            </w:r>
          </w:p>
        </w:tc>
      </w:tr>
      <w:tr>
        <w:trPr/>
        <w:tc>
          <w:tcPr>
            <w:tcW w:w="48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WILMER CUTLER PICKERING HALE AND DORR LLP</w:t>
            </w:r>
          </w:p>
        </w:tc>
      </w:tr>
    </w:tbl>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23.2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consent to the incorporation by reference in this Registration Statement on Form S-8 of our reports dated February 24, 2026, relating to the consolidated financial statements of Arvinas, Inc. and subsidiaries (the “Company”), and the effectiveness of the Company’s internal control over financial reporting, appearing in the Annual Report on Form 10-K of Arvinas, Inc. and subsidiaries for the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Boston, Massachusetts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August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55759/000162828026011226/arvn-20251231.htm" TargetMode="External"/><Relationship Id="rId3" Type="http://schemas.openxmlformats.org/officeDocument/2006/relationships/hyperlink" Target="https://www.sec.gov/Archives/edgar/data/1655759/000119312518280053/d589006d8a12b.htm" TargetMode="External"/><Relationship Id="rId4" Type="http://schemas.openxmlformats.org/officeDocument/2006/relationships/hyperlink" Target="https://www.sec.gov/Archives/edgar/data/1655759/000156459020011004/arvn-ex44_268.htm" TargetMode="External"/><Relationship Id="rId5" Type="http://schemas.openxmlformats.org/officeDocument/2006/relationships/hyperlink" Target="https://www.sec.gov/Archives/edgar/data/1655759/000119312518289513/d615527dex31.htm" TargetMode="External"/><Relationship Id="rId6" Type="http://schemas.openxmlformats.org/officeDocument/2006/relationships/hyperlink" Target="https://www.sec.gov/Archives/edgar/data/1655759/000165575923000073/exhibit31-secondamendeda.htm" TargetMode="External"/><Relationship Id="rId7" Type="http://schemas.openxmlformats.org/officeDocument/2006/relationships/hyperlink" Target="https://www.sec.gov/Archives/edgar/data/1655759/000165575924000009/arvinas-rsuinducementgra.htm" TargetMode="Externa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4039</Words>
  <Characters>21377</Characters>
  <CharactersWithSpaces>25291</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