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954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954905"/>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100" w:type="dxa"/>
            <w:vAlign w:val="bottom"/>
            <w:gridSpan w:val="3"/>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Bain Linda</w:t>
              </w:r>
            </w:hyperlink>
          </w:p>
        </w:tc>
        <w:tc>
          <w:tcPr>
            <w:tcW w:w="13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ARVINAS,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ARVN</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1100" w:type="dxa"/>
            <w:vAlign w:val="bottom"/>
            <w:gridSpan w:val="3"/>
            <w:vMerge w:val="continue"/>
          </w:tcPr>
          <w:p>
            <w:pPr>
              <w:spacing w:after="0"/>
              <w:rPr>
                <w:sz w:val="6"/>
                <w:szCs w:val="6"/>
                <w:color w:val="auto"/>
              </w:rPr>
            </w:pPr>
          </w:p>
        </w:tc>
        <w:tc>
          <w:tcPr>
            <w:tcW w:w="13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0" w:type="dxa"/>
            <w:vAlign w:val="bottom"/>
            <w:tcBorders>
              <w:bottom w:val="single" w:sz="8" w:color="0000EE"/>
            </w:tcBorders>
          </w:tcPr>
          <w:p>
            <w:pPr>
              <w:spacing w:after="0"/>
              <w:rPr>
                <w:sz w:val="6"/>
                <w:szCs w:val="6"/>
                <w:color w:val="auto"/>
              </w:rPr>
            </w:pPr>
          </w:p>
        </w:tc>
        <w:tc>
          <w:tcPr>
            <w:tcW w:w="23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1100" w:type="dxa"/>
            <w:vAlign w:val="bottom"/>
            <w:gridSpan w:val="3"/>
            <w:vMerge w:val="continue"/>
          </w:tcPr>
          <w:p>
            <w:pPr>
              <w:spacing w:after="0"/>
              <w:rPr>
                <w:sz w:val="5"/>
                <w:szCs w:val="5"/>
                <w:color w:val="auto"/>
              </w:rPr>
            </w:pPr>
          </w:p>
        </w:tc>
        <w:tc>
          <w:tcPr>
            <w:tcW w:w="13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0" w:type="dxa"/>
            <w:vAlign w:val="bottom"/>
          </w:tcPr>
          <w:p>
            <w:pPr>
              <w:spacing w:after="0"/>
              <w:rPr>
                <w:sz w:val="5"/>
                <w:szCs w:val="5"/>
                <w:color w:val="auto"/>
              </w:rPr>
            </w:pPr>
          </w:p>
        </w:tc>
        <w:tc>
          <w:tcPr>
            <w:tcW w:w="236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920" w:type="dxa"/>
            <w:vAlign w:val="bottom"/>
            <w:tcBorders>
              <w:top w:val="single" w:sz="8" w:color="0000EE"/>
            </w:tcBorders>
          </w:tcPr>
          <w:p>
            <w:pPr>
              <w:spacing w:after="0"/>
              <w:rPr>
                <w:sz w:val="6"/>
                <w:szCs w:val="6"/>
                <w:color w:val="auto"/>
              </w:rPr>
            </w:pPr>
          </w:p>
        </w:tc>
        <w:tc>
          <w:tcPr>
            <w:tcW w:w="16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36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920" w:type="dxa"/>
            <w:vAlign w:val="bottom"/>
            <w:tcBorders>
              <w:top w:val="single" w:sz="8" w:color="EEEEEE"/>
            </w:tcBorders>
          </w:tcPr>
          <w:p>
            <w:pPr>
              <w:spacing w:after="0"/>
              <w:rPr>
                <w:sz w:val="2"/>
                <w:szCs w:val="2"/>
                <w:color w:val="auto"/>
              </w:rPr>
            </w:pPr>
          </w:p>
        </w:tc>
        <w:tc>
          <w:tcPr>
            <w:tcW w:w="160" w:type="dxa"/>
            <w:vAlign w:val="bottom"/>
            <w:tcBorders>
              <w:top w:val="single" w:sz="8" w:color="EEEEEE"/>
            </w:tcBorders>
          </w:tcPr>
          <w:p>
            <w:pPr>
              <w:spacing w:after="0"/>
              <w:rPr>
                <w:sz w:val="2"/>
                <w:szCs w:val="2"/>
                <w:color w:val="auto"/>
              </w:rPr>
            </w:pPr>
          </w:p>
        </w:tc>
        <w:tc>
          <w:tcPr>
            <w:tcW w:w="136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100" w:type="dxa"/>
            <w:vAlign w:val="bottom"/>
            <w:gridSpan w:val="3"/>
            <w:vMerge w:val="restart"/>
          </w:tcPr>
          <w:p>
            <w:pPr>
              <w:ind w:left="20"/>
              <w:spacing w:after="0"/>
              <w:rPr>
                <w:sz w:val="20"/>
                <w:szCs w:val="20"/>
                <w:color w:val="auto"/>
              </w:rPr>
            </w:pPr>
            <w:r>
              <w:rPr>
                <w:rFonts w:ascii="Arial" w:cs="Arial" w:eastAsia="Arial" w:hAnsi="Arial"/>
                <w:sz w:val="13"/>
                <w:szCs w:val="13"/>
                <w:color w:val="auto"/>
              </w:rPr>
              <w:t>(Last)</w:t>
            </w:r>
          </w:p>
        </w:tc>
        <w:tc>
          <w:tcPr>
            <w:tcW w:w="1360" w:type="dxa"/>
            <w:vAlign w:val="bottom"/>
            <w:vMerge w:val="restart"/>
          </w:tcPr>
          <w:p>
            <w:pPr>
              <w:ind w:left="1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100" w:type="dxa"/>
            <w:vAlign w:val="bottom"/>
            <w:gridSpan w:val="3"/>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5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06/24/2026</w:t>
            </w:r>
          </w:p>
        </w:tc>
        <w:tc>
          <w:tcPr>
            <w:tcW w:w="236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ARVINAS, INC.</w:t>
            </w:r>
          </w:p>
        </w:tc>
        <w:tc>
          <w:tcPr>
            <w:tcW w:w="1200" w:type="dxa"/>
            <w:vAlign w:val="bottom"/>
          </w:tcPr>
          <w:p>
            <w:pPr>
              <w:spacing w:after="0"/>
              <w:rPr>
                <w:sz w:val="10"/>
                <w:szCs w:val="10"/>
                <w:color w:val="auto"/>
              </w:rPr>
            </w:pPr>
          </w:p>
        </w:tc>
        <w:tc>
          <w:tcPr>
            <w:tcW w:w="1560" w:type="dxa"/>
            <w:vAlign w:val="bottom"/>
            <w:gridSpan w:val="3"/>
            <w:vMerge w:val="continue"/>
          </w:tcPr>
          <w:p>
            <w:pPr>
              <w:spacing w:after="0"/>
              <w:rPr>
                <w:sz w:val="10"/>
                <w:szCs w:val="10"/>
                <w:color w:val="auto"/>
              </w:rPr>
            </w:pPr>
          </w:p>
        </w:tc>
        <w:tc>
          <w:tcPr>
            <w:tcW w:w="23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5 SCIENCE PARK, 395 WINCHESTER AVE.</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40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6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HAVEN</w:t>
            </w:r>
          </w:p>
        </w:tc>
        <w:tc>
          <w:tcPr>
            <w:tcW w:w="9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CT</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06511</w:t>
            </w:r>
          </w:p>
        </w:tc>
      </w:tr>
      <w:tr>
        <w:trPr>
          <w:trHeight w:val="149"/>
        </w:trPr>
        <w:tc>
          <w:tcPr>
            <w:tcW w:w="2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6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6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1"/>
                <w:szCs w:val="11"/>
                <w:color w:val="auto"/>
              </w:rPr>
            </w:pPr>
          </w:p>
        </w:tc>
        <w:tc>
          <w:tcPr>
            <w:tcW w:w="520" w:type="dxa"/>
            <w:vAlign w:val="bottom"/>
          </w:tcPr>
          <w:p>
            <w:pPr>
              <w:ind w:left="180"/>
              <w:spacing w:after="0" w:line="129" w:lineRule="exact"/>
              <w:rPr>
                <w:sz w:val="20"/>
                <w:szCs w:val="20"/>
                <w:color w:val="auto"/>
              </w:rPr>
            </w:pPr>
            <w:r>
              <w:rPr>
                <w:rFonts w:ascii="Arial" w:cs="Arial" w:eastAsia="Arial" w:hAnsi="Arial"/>
                <w:sz w:val="12"/>
                <w:szCs w:val="12"/>
                <w:b w:val="1"/>
                <w:bCs w:val="1"/>
                <w:color w:val="auto"/>
                <w:w w:val="99"/>
              </w:rPr>
              <w:t>(A) or</w:t>
            </w: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06/24/2026</w:t>
            </w: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17"/>
                <w:szCs w:val="17"/>
                <w:color w:val="0000FF"/>
                <w:w w:val="91"/>
              </w:rPr>
              <w:t>15,527</w:t>
            </w:r>
            <w:r>
              <w:rPr>
                <w:rFonts w:ascii="Times New Roman" w:cs="Times New Roman" w:eastAsia="Times New Roman" w:hAnsi="Times New Roman"/>
                <w:sz w:val="21"/>
                <w:szCs w:val="21"/>
                <w:color w:val="008000"/>
                <w:w w:val="91"/>
                <w:vertAlign w:val="superscript"/>
              </w:rPr>
              <w:t>(1)</w:t>
            </w:r>
          </w:p>
        </w:tc>
        <w:tc>
          <w:tcPr>
            <w:tcW w:w="5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40" w:type="dxa"/>
            <w:vAlign w:val="bottom"/>
            <w:tcBorders>
              <w:bottom w:val="single" w:sz="8" w:color="2C2C2C"/>
            </w:tcBorders>
            <w:gridSpan w:val="3"/>
          </w:tcPr>
          <w:p>
            <w:pPr>
              <w:ind w:left="500"/>
              <w:spacing w:after="0"/>
              <w:rPr>
                <w:sz w:val="20"/>
                <w:szCs w:val="20"/>
                <w:color w:val="auto"/>
              </w:rPr>
            </w:pPr>
            <w:r>
              <w:rPr>
                <w:rFonts w:ascii="Times New Roman" w:cs="Times New Roman" w:eastAsia="Times New Roman" w:hAnsi="Times New Roman"/>
                <w:sz w:val="17"/>
                <w:szCs w:val="17"/>
                <w:color w:val="0000FF"/>
              </w:rPr>
              <w:t>41,572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11"/>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8.05</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3"/>
                <w:szCs w:val="13"/>
                <w:color w:val="0000FF"/>
              </w:rPr>
              <w:t>06/24/2026</w:t>
            </w:r>
          </w:p>
        </w:tc>
        <w:tc>
          <w:tcPr>
            <w:tcW w:w="1140" w:type="dxa"/>
            <w:vAlign w:val="bottom"/>
          </w:tcPr>
          <w:p>
            <w:pPr>
              <w:spacing w:after="0"/>
              <w:rPr>
                <w:sz w:val="16"/>
                <w:szCs w:val="16"/>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22,714</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06/23/2036</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right"/>
              <w:ind w:right="16"/>
              <w:spacing w:after="0" w:line="194" w:lineRule="exact"/>
              <w:rPr>
                <w:sz w:val="20"/>
                <w:szCs w:val="20"/>
                <w:color w:val="auto"/>
              </w:rPr>
            </w:pPr>
            <w:r>
              <w:rPr>
                <w:rFonts w:ascii="Times New Roman" w:cs="Times New Roman" w:eastAsia="Times New Roman" w:hAnsi="Times New Roman"/>
                <w:sz w:val="17"/>
                <w:szCs w:val="17"/>
                <w:color w:val="0000FF"/>
                <w:w w:val="94"/>
              </w:rPr>
              <w:t>22,714</w:t>
            </w:r>
          </w:p>
        </w:tc>
        <w:tc>
          <w:tcPr>
            <w:tcW w:w="740" w:type="dxa"/>
            <w:vAlign w:val="bottom"/>
            <w:gridSpan w:val="2"/>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40"/>
              <w:spacing w:after="0"/>
              <w:rPr>
                <w:sz w:val="20"/>
                <w:szCs w:val="20"/>
                <w:color w:val="auto"/>
              </w:rPr>
            </w:pPr>
            <w:r>
              <w:rPr>
                <w:rFonts w:ascii="Times New Roman" w:cs="Times New Roman" w:eastAsia="Times New Roman" w:hAnsi="Times New Roman"/>
                <w:sz w:val="13"/>
                <w:szCs w:val="13"/>
                <w:color w:val="0000FF"/>
                <w:w w:val="94"/>
              </w:rPr>
              <w:t>22,714</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26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(each, an "RSU") were granted by the Issuer on June 24, 2026 and each RSU represents a contingent right to receive one share of the Issuer's common stock upon settlement for no consideration. The RSUs shall vest in full on the earlier of (i) June 24, 2027 or (ii) immediately prior to the first annual meeting of stockholders occurring after the date of grant, subject to the reporting person's continued service with the Issuer on the vesting date.</w:t>
      </w:r>
    </w:p>
    <w:p>
      <w:pPr>
        <w:spacing w:after="0" w:line="26" w:lineRule="exact"/>
        <w:rPr>
          <w:rFonts w:ascii="Times New Roman" w:cs="Times New Roman" w:eastAsia="Times New Roman" w:hAnsi="Times New Roman"/>
          <w:sz w:val="13"/>
          <w:szCs w:val="13"/>
          <w:color w:val="008000"/>
        </w:rPr>
      </w:pPr>
    </w:p>
    <w:p>
      <w:pPr>
        <w:ind w:left="40" w:right="54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award was granted on June 24, 2026. The shares underlying the award shall vest in full on the earlier of (i) June 24, 2027 or (ii) immediately prior to the first annual meeting of stockholders occurring after the date of grant, subject to the reporting person's continued service with the Issuer on the vesting date.</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2" w:lineRule="auto"/>
        <w:rPr>
          <w:sz w:val="20"/>
          <w:szCs w:val="20"/>
          <w:color w:val="auto"/>
        </w:rPr>
      </w:pPr>
      <w:r>
        <w:rPr>
          <w:rFonts w:ascii="Times New Roman" w:cs="Times New Roman" w:eastAsia="Times New Roman" w:hAnsi="Times New Roman"/>
          <w:sz w:val="17"/>
          <w:szCs w:val="17"/>
          <w:color w:val="0000FF"/>
        </w:rPr>
        <w:t xml:space="preserve">/s/ Jared Freedberg, as attorney- </w:t>
      </w:r>
      <w:r>
        <w:rPr>
          <w:rFonts w:ascii="Times New Roman" w:cs="Times New Roman" w:eastAsia="Times New Roman" w:hAnsi="Times New Roman"/>
          <w:sz w:val="33"/>
          <w:szCs w:val="33"/>
          <w:color w:val="0000FF"/>
          <w:vertAlign w:val="subscript"/>
        </w:rPr>
        <w:t>06/26/2026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-27305</wp:posOffset>
            </wp:positionV>
            <wp:extent cx="13608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6080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 for Linda Bain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9309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30910"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578407" TargetMode="External"/><Relationship Id="rId14" Type="http://schemas.openxmlformats.org/officeDocument/2006/relationships/hyperlink" Target="http://www.sec.gov/cgi-bin/browse-edgar?action=getcompany&amp;CIK=000165575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2026-06-26T16:54:44Z</dcterms:created>
  <dcterms:modified xsi:type="dcterms:W3CDTF">2026-06-26T16:54:44Z</dcterms:modified>
</cp:coreProperties>
</file>