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03361.xml.htm"/>
      <w:bookmarkStart w:id="1" w:name="kswkform4_17787033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Berkowitz Noah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ARVINAS,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SCIENCE PARK, 395 WINCHESTER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HAVEN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ARVINAS,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ARVN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9.9374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191,395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made automatically by the Issuer to cover tax withholding obligations in connection with the vesting and settlement of one-half of the reporting person's restricted stock units (RSUs) granted on May 9, 2025. The sale does not represent a discretionary trade.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Freedberg, as attorney-in-fact for Noah Berkowitz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9900" TargetMode="External"/><Relationship Id="rId5" Type="http://schemas.openxmlformats.org/officeDocument/2006/relationships/hyperlink" Target="http://www.sec.gov/cgi-bin/browse-edgar?action=getcompany&amp;CIK=00016557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3334</Characters>
  <CharactersWithSpaces>3886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