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Arvinas,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47-2566120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 Science Park</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395 Winchester Ave.</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Haven, Connecticut 06511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(203) 535-1456</w:t>
      </w:r>
    </w:p>
    <w:p>
      <w:pPr>
        <w:spacing w:after="0" w:line="30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ARVN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November 24, 2023, Arvinas,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u w:val="single" w:color="auto"/>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certain institutional accredited investors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pursuant to which the Company agreed to issue and sell to the Investors in a private placement an aggregate of 12,963,542 shares of the Company’s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at a price of $21.36 per share, and, to one Investor in lieu of Shares, pre-funded warrants to purchase 3,422,380 shares of the Company’s common stock (the “</w:t>
      </w:r>
      <w:r>
        <w:rPr>
          <w:rFonts w:ascii="Times New Roman" w:cs="Times New Roman" w:eastAsia="Times New Roman" w:hAnsi="Times New Roman"/>
          <w:sz w:val="18"/>
          <w:szCs w:val="18"/>
          <w:u w:val="single" w:color="auto"/>
          <w:color w:val="auto"/>
        </w:rPr>
        <w:t>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at a price of $21.359 per Pre-Funded Warrant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Private Placement is expected to close on or about November 28, 2023, subject to the satisfaction of certain customary closing conditions. The Company expects to receive aggregate gross proceeds from the Private Placement of approximately $350 million, before deducting placement agent fees and offering expenses, and aggregate net proceeds from the Private Placement of approximately $334.5 million, after deducting placement agent fees. BofA Securities, Inc. and Goldman Sachs &amp; Co. LLC acted as joint lead placement agents for the Private Placement.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condition to closing, the Company and its directors and executive officers have agreed, subject to certain exceptions, not to dispose of or hedge any shares of common stock or securities convertible into or exchangeable for shares of common stock during the period from the date of the Securities Purchase Agreement continuing through the earlier of (1) 90 days after the closing of the Private Placement or (2) the trading day immediately following the effective date of the registration statement filed pursuant to the Registration Rights Agreement (as defined below). Each Investor has agreed that it will not trade in the Company’s securities until December 8, 2023.</w:t>
      </w:r>
    </w:p>
    <w:p>
      <w:pPr>
        <w:spacing w:after="0" w:line="1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has granted the Investors indemnification rights with respect to its representations, warranties, covenants and agreements under the Securities Purchase Agreement.</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for a period of 24 months after the closing of the Private Placement, subject to specified conditions, the Company has agreed that EcoR1 Capital, LLC will have the right to nominate one of its partners as a member of the board of directors of the Company as a Class II director.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Each Pre-Funded Warrant to be issued in the Private Placement will have an exercise price of $0.001 per share, will be exercisable immediately and will be exercisable until the Pre-Funded Warrant is exercised in full.</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the terms of the Pre-Funded Warrants, the Company may not effect the exercise of any such warrant, and a holder will not be entitled to exercise any portion of any such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Securities Exchange Act of 1934, as amended) would exceed 9.99% of the number of shares of common stock outstanding immediately after giving effect to the exercise, as such percentage ownership is determined in accordance with the terms of such warrant, which percentage may be increased or decreased at the holder’s election upon 61 days’ notice to the Company subject to the terms of such warrants, provided that such percentage may in no event exceed 19.99%.</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Also on November 24, 2023, the Company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with the Investors, pursuant to which the Company agreed to register for resale the Shares and the shares of the Company’s common stock issuable upon exercise of the Pre-Funded Warrants (the “</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Under the Registration Rights Agreement, the Company has agreed to file a registration statement covering the resale by the Investors of their</w:t>
      </w:r>
    </w:p>
    <w:p>
      <w:pPr>
        <w:sectPr>
          <w:pgSz w:w="11900" w:h="16838" w:orient="portrait"/>
          <w:cols w:equalWidth="0" w:num="1">
            <w:col w:w="11000"/>
          </w:cols>
          <w:pgMar w:left="440" w:top="293" w:right="459" w:bottom="1440" w:gutter="0" w:footer="0" w:header="0"/>
        </w:sectPr>
      </w:pPr>
    </w:p>
    <w:bookmarkStart w:id="2" w:name="page3"/>
    <w:bookmarkEnd w:id="2"/>
    <w:p>
      <w:pPr>
        <w:ind w:left="4"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Registrable Securities no later than 30 days following the closing of the Private Placement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The Company has agreed to use commercially reasonable efforts to cause such registration statement to be declared effective, if not automatically effective upon filing, as soon as practicable and to keep such registration statement effective until the earlier of (1) the date that all Registrable Securities covered by such registration statement have been sold or can be sold without restriction pursuant to Rule 144 and without the requirement to be in compliance with Rule 144(c)(1) (or any successor thereof)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(2) five years after the closing of the Private Placement. The Company has agreed to be responsible for all fees and expenses incurred in connection with the registration of the Registrable Securities.</w:t>
      </w:r>
    </w:p>
    <w:p>
      <w:pPr>
        <w:spacing w:after="0" w:line="189"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color w:val="auto"/>
        </w:rPr>
        <w:t>In the event (i) the registration statement has not been filed by the Filing Date, (ii) the registration statement is not automatically effective upon filing or not declared effective prior to the earlier of (a) five business days after the date on which the Company is notified by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that the registration statement will not be reviewed by the SEC staff or is not subject to further comment by the SEC staff,</w:t>
      </w:r>
    </w:p>
    <w:p>
      <w:pPr>
        <w:spacing w:after="0" w:line="1" w:lineRule="exact"/>
        <w:rPr>
          <w:sz w:val="20"/>
          <w:szCs w:val="20"/>
          <w:color w:val="auto"/>
        </w:rPr>
      </w:pPr>
    </w:p>
    <w:p>
      <w:pPr>
        <w:ind w:left="4" w:hanging="4"/>
        <w:spacing w:after="0" w:line="233"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closing of the Private Placement, if the SEC staff determines not to review the registration statement, or (c)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closing of the Private Placement, if the SEC staff determines to review the registration statement, or (iii) after the registration statement has been declared effective by the SEC, sales cannot be made pursuant to the registration statement for any reason, subject to certain limited exceptions, then the Company has agreed to make pro rata payments to each Investor as liquidated damages in an amount equal to 1% of the aggregate amount invested by each such Investor in the Registrable Securities per 30-day period or pro rata for any portion thereof for each such month during which such event continues, subject to certain caps set forth in the Registration Rights Agreement.</w:t>
      </w:r>
    </w:p>
    <w:p>
      <w:pPr>
        <w:spacing w:after="0" w:line="199"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Company has granted the Investors customary indemnification rights in connection with the registration statement. The Investors have also granted the Company customary indemnification rights in connection with the registration statement.</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the Pre-Funded Warrants and the Registration Rights Agreement do not purport to be complete and are qualified in their entirety by reference to the full text of the Securities Purchase Agreement, the form of Pre-Funded Warrant and the Registration Rights Agreement, copies of which are filed as Exhibits 10.1, 4.1 and 10.2 hereto, respectively, and incorporated by reference herein.</w:t>
      </w:r>
    </w:p>
    <w:p>
      <w:pPr>
        <w:spacing w:after="0" w:line="176"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Securities Purchase Agreement and the Registration Rights Agreement were made solely for the benefit of the parties thereto and the placement agents expressly named as third-party beneficiaries thereto and may be subject to limitations agreed upon by the contracting parties. Accordingly, the Securities Purchase Agreement and the Registration Rights Agreement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information contained above in Item 1.01 is hereby incorporated by reference into this Item 3.02. Based in part upon the representations of the Investors in the Securities Purchase Agreement, the offering and sale of the Shares and the Pre-Funded Warrants will be exempt from registration under Section 4(a)(2) of the Securities Act. The Shares and Pre-Funded Warrants have not been registered under the Securities Act or any state securities laws, and the Shares and Pre-Funded Warrants may not be offered or sold in the United States absent registration with the SEC or an applicable exemption from the registration requirements. The sale of the securities will not involve a public offering and will be made without general solicitation or general advertising. The Investors represented that they are institutional “accredited investors” as defined in Rule 501(a)(1), (2), (3) or (7) under the Securities Act or “qualified institutional buyers” within the meaning of Rule 144A under the Securities Act, and that they are acquiring the Shares and Pre-Funded Warrants for investment purposes only and not with a view to any resale, distribution or other disposition of the Shares and Pre-Funded Warrants in violation of the United States federal securities laws.</w:t>
      </w:r>
    </w:p>
    <w:p>
      <w:pPr>
        <w:sectPr>
          <w:pgSz w:w="11900" w:h="16838" w:orient="portrait"/>
          <w:cols w:equalWidth="0" w:num="1">
            <w:col w:w="10964"/>
          </w:cols>
          <w:pgMar w:left="436" w:top="297" w:right="49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November 27, 2023, the Company issued a press release announcing the Private Placement. The full text of the press release issued in connection with this announcement is attached as Exhibit 99.1 to this Current Report on Form 8-K and incorporated herein by reference.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use the net proceeds from the Private Placement to advance its clinical development programs and preclinical pipeline, and for working capital and other general corporate purposes.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Based upon the Company’s current operating plan, the Company estimates that the anticipated net proceeds from the Private Placement, together with the Company’s existing cash, cash equivalents, restricted cash and marketable securities, will enable the Company to fund its planned operating expenses and capital expenditure requirements into 2027. The Company has based this estimate on assumptions that may prove to be wrong, and the Company could use its available capital resources sooner than it currently expects.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closing of the Private Placement, the Company will have 67,999,007 shares of common stock issued and outstanding.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substantial risks and uncertainties, including statements regarding the expected closing of the Private Placement; whether the conditions for the closing of the Private Placement will be satisfied; anticipated proceeds from the Private Placement; the filing of a registration statement to register the resale of the Shares and the Pre-Funded Warrant Shares; and the Company’s business strategies, plans and prospects. All statements, other than statements of historical facts, contained in this Current Report on Form 8-K, including statements regarding the Company’s strategy, future operations, prospects, plans and objectives of management, are forward-looking statements. The words “anticipate,” “believe,” “expect,” “intend,” “may,” “plan,” “predict,” “project,” “target,” “potential,” “will,” “would,” “could,” “should,” “continue,”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such forward-looking statements. Actual results or events could differ materially from the plans, intentions and expectations disclosed in the forward-looking statements the Company makes as a result of various risks and uncertainties, including but not limited to: whether the conditions for the closing of the Private Placement will be satisfied; the Company’s and Pfizer, Inc.’s (“Pfizer”) performance of their respective obligations with respect to the collaboration with Pfizer; whether the Company and Pfizer will be able to successfully conduct and complete clinical development for vepdegestrant; whether the Company will be able to successfully conduct and complete development for its product candidates, including whether the Company initiates and completes clinical trials for its product candidates and receives results from its clinical trials on its expected timelines or at all; whether the Company obtains marketing approval for and commercializes vepdegestrant, ARV-766 and its other product candidates on the Company’s current timelines or at all; the Company’s ability to maintain and protect its intellectual property portfolio; whether the Company’s cash and cash equivalent resources will be sufficient to fund its foreseeable and unforeseeable operating expenses and capital expenditure requirements; and other important factors discussed in the “Risk Factors” section of the Company’s Annual Report on Form 10-K for the year ended December 31, 2022 and subsequent other reports on file with the SEC. The forward-looking statements contained in this Current Report on Form 8-K reflect the Company’s current views with respect to future events, and the Company assumes no obligation to update any forward-looking statements except as required by applicable law. These forward-looking statements should not be relied upon as representing the Company’s views as of any date subsequent to the date of this Current Report on Form 8-K.</w:t>
      </w:r>
    </w:p>
    <w:p>
      <w:pPr>
        <w:sectPr>
          <w:pgSz w:w="11900" w:h="16838" w:orient="portrait"/>
          <w:cols w:equalWidth="0" w:num="1">
            <w:col w:w="10960"/>
          </w:cols>
          <w:pgMar w:left="440" w:top="293"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4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9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8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4.1</w:t>
            </w:r>
          </w:p>
        </w:tc>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r>
      <w:tr>
        <w:trPr>
          <w:trHeight w:val="20"/>
        </w:trPr>
        <w:tc>
          <w:tcPr>
            <w:tcW w:w="88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w w:val="95"/>
              </w:rPr>
              <w:t>10.1</w:t>
            </w:r>
          </w:p>
        </w:tc>
        <w:tc>
          <w:tcPr>
            <w:tcW w:w="8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Securities Purchase Agreement, dated November 24, 2023, by and among the Company and the other parties thereto.</w:t>
            </w:r>
          </w:p>
        </w:tc>
      </w:tr>
      <w:tr>
        <w:trPr>
          <w:trHeight w:val="304"/>
        </w:trPr>
        <w:tc>
          <w:tcPr>
            <w:tcW w:w="8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w w:val="95"/>
              </w:rPr>
              <w:t>10.2</w:t>
            </w:r>
          </w:p>
        </w:tc>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November 24, 2023, by and among the Company and the other parties thereto.</w:t>
            </w:r>
          </w:p>
        </w:tc>
      </w:tr>
      <w:tr>
        <w:trPr>
          <w:trHeight w:val="304"/>
        </w:trPr>
        <w:tc>
          <w:tcPr>
            <w:tcW w:w="8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w w:val="95"/>
              </w:rPr>
              <w:t>99.1</w:t>
            </w:r>
          </w:p>
        </w:tc>
        <w:tc>
          <w:tcPr>
            <w:tcW w:w="84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dated November 27, 2023.</w:t>
            </w:r>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r>
      <w:tr>
        <w:trPr>
          <w:trHeight w:val="3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ARVINAS,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27, 2023</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Cassidy</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Sean Cassidy</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tc>
      </w:tr>
    </w:tbl>
    <w:p>
      <w:pPr>
        <w:sectPr>
          <w:pgSz w:w="11900" w:h="16838" w:orient="portrait"/>
          <w:cols w:equalWidth="0" w:num="1">
            <w:col w:w="11020"/>
          </w:cols>
          <w:pgMar w:left="440" w:top="293" w:right="439" w:bottom="1440" w:gutter="0" w:footer="0" w:header="0"/>
        </w:sectPr>
      </w:pPr>
    </w:p>
    <w:bookmarkStart w:id="6" w:name="page7"/>
    <w:bookmarkEnd w:id="6"/>
    <w:p>
      <w:pPr>
        <w:ind w:left="10200"/>
        <w:spacing w:after="0"/>
        <w:rPr>
          <w:sz w:val="20"/>
          <w:szCs w:val="20"/>
          <w:color w:val="auto"/>
        </w:rPr>
      </w:pPr>
      <w:r>
        <w:rPr>
          <w:rFonts w:ascii="Times New Roman" w:cs="Times New Roman" w:eastAsia="Times New Roman" w:hAnsi="Times New Roman"/>
          <w:sz w:val="17"/>
          <w:szCs w:val="17"/>
          <w:b w:val="1"/>
          <w:bCs w:val="1"/>
          <w:i w:val="1"/>
          <w:iCs w:val="1"/>
          <w:color w:val="auto"/>
        </w:rPr>
        <w:t>Exhibit 4.1</w:t>
      </w:r>
    </w:p>
    <w:p>
      <w:pPr>
        <w:spacing w:after="0" w:line="2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(THE “SEC”)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ARVINAS,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Initial Exercise Date: __________, 2023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 Date: __________, 2023</w:t>
      </w:r>
    </w:p>
    <w:p>
      <w:pPr>
        <w:spacing w:after="0" w:line="200" w:lineRule="exact"/>
        <w:rPr>
          <w:sz w:val="20"/>
          <w:szCs w:val="20"/>
          <w:color w:val="auto"/>
        </w:rPr>
      </w:pPr>
    </w:p>
    <w:p>
      <w:pPr>
        <w:sectPr>
          <w:pgSz w:w="11900" w:h="16838" w:orient="portrait"/>
          <w:cols w:equalWidth="0" w:num="2">
            <w:col w:w="7360" w:space="720"/>
            <w:col w:w="2940"/>
          </w:cols>
          <w:pgMar w:left="440" w:top="117" w:right="439" w:bottom="1440" w:gutter="0" w:footer="0" w:header="0"/>
          <w:type w:val="continuous"/>
        </w:sectPr>
      </w:pP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until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Arvinas,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 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November 24, 2023, among the Company and the purchasers signatory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4" w:lineRule="auto"/>
        <w:tabs>
          <w:tab w:leader="none" w:pos="6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and delivered in accordance with the notice requirements set forth in Section 5(h)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(2) Trading Days and (ii) the number of Trading Days comprising the Standard Settlement Period (as defined in Section 2(d)(i) herein) following the date of exercise as aforesaid, the Holder shall deliver the aggregate Exercise Price (as defined below) for the Warrant Shares specified in the applicable Notice of Exercise by wire transfer or cashier’s check drawn on a United States bank unless the cashless exercise procedure specified in Section 2(c) below is applicable and specified in the applicable Notice of Exercise. No ink-original Notice</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2" w:lineRule="exact"/>
        <w:rPr>
          <w:sz w:val="20"/>
          <w:szCs w:val="20"/>
          <w:color w:val="auto"/>
        </w:rPr>
      </w:pPr>
    </w:p>
    <w:p>
      <w:pPr>
        <w:ind w:right="40" w:firstLine="436"/>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80" w:firstLine="436"/>
        <w:spacing w:after="0" w:line="282" w:lineRule="auto"/>
        <w:tabs>
          <w:tab w:leader="none" w:pos="6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53" w:lineRule="exact"/>
        <w:rPr>
          <w:rFonts w:ascii="Times New Roman" w:cs="Times New Roman" w:eastAsia="Times New Roman" w:hAnsi="Times New Roman"/>
          <w:sz w:val="18"/>
          <w:szCs w:val="18"/>
          <w:color w:val="auto"/>
        </w:rPr>
      </w:pPr>
    </w:p>
    <w:p>
      <w:pPr>
        <w:ind w:left="980" w:right="20" w:firstLine="7"/>
        <w:spacing w:after="0" w:line="276" w:lineRule="auto"/>
        <w:tabs>
          <w:tab w:leader="none" w:pos="127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(as defined below) on the Trading Day immediately preceding the date of the applicable Notice of Exercise if such Notice of Exercise is (1) both executed and delivered pursuant to Section 2(a) hereof on a day that is not a Trading Day or</w:t>
      </w:r>
    </w:p>
    <w:p>
      <w:pPr>
        <w:ind w:left="980"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(as defined below)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8" w:name="page9"/>
    <w:bookmarkEnd w:id="8"/>
    <w:p>
      <w:pPr>
        <w:ind w:left="98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117" w:lineRule="exact"/>
        <w:rPr>
          <w:sz w:val="20"/>
          <w:szCs w:val="20"/>
          <w:color w:val="auto"/>
        </w:rPr>
      </w:pPr>
    </w:p>
    <w:p>
      <w:pPr>
        <w:ind w:left="980" w:right="220" w:firstLine="7"/>
        <w:spacing w:after="0" w:line="282"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for purposes of Rule 144 under the Securities Act, the holding period of the Warrant Shares being issued may be tacked on to the holding period of this Warrant. The Company agrees not to take any position contrary to this Section 2(c), except to the extent required by applicable law, rule or regulation.</w:t>
      </w:r>
    </w:p>
    <w:p>
      <w:pPr>
        <w:spacing w:after="0" w:line="72"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6"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9" w:name="page10"/>
    <w:bookmarkEnd w:id="9"/>
    <w:p>
      <w:pPr>
        <w:ind w:left="440"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 as if the Notice of Exercise was executed and delivered after the closing of “regular trading hours” on the Termination Date.</w:t>
      </w:r>
    </w:p>
    <w:p>
      <w:pPr>
        <w:spacing w:after="0" w:line="162" w:lineRule="exact"/>
        <w:rPr>
          <w:sz w:val="20"/>
          <w:szCs w:val="20"/>
          <w:color w:val="auto"/>
        </w:rPr>
      </w:pPr>
    </w:p>
    <w:p>
      <w:pPr>
        <w:ind w:left="640" w:hanging="20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line="25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Company’s transfer agent is then a participant in such system and either (A) there is an effective registration statement covering the resale of the Warrant Shares by the Holder or (B) in the case of a cashless exercise of the Warrant, the Warrant Shares are eligible for resale by the Holder without volume or manner-of-sale limitations pursuant to Rule 144, and in each case, at the request of the Holder, in electronic book entry form to the account of the Holder or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to the Company of the Notice of Exercise. The Company agrees to maintain a transfer agent that is a participant in the FAST program so long as this Warrant remains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0" w:name="page11"/>
    <w:bookmarkEnd w:id="10"/>
    <w:p>
      <w:pPr>
        <w:ind w:left="439"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Principal Trading Market with respect to the Common Stock as in effect on the date of delivery of the Notice of Exercise.</w:t>
      </w:r>
    </w:p>
    <w:p>
      <w:pPr>
        <w:spacing w:after="0" w:line="81" w:lineRule="exact"/>
        <w:rPr>
          <w:sz w:val="20"/>
          <w:szCs w:val="20"/>
          <w:color w:val="auto"/>
        </w:rPr>
      </w:pPr>
    </w:p>
    <w:p>
      <w:pPr>
        <w:ind w:left="439" w:right="80" w:hanging="439"/>
        <w:spacing w:after="0" w:line="261" w:lineRule="auto"/>
        <w:tabs>
          <w:tab w:leader="none" w:pos="4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85" w:lineRule="exact"/>
        <w:rPr>
          <w:rFonts w:ascii="Times New Roman" w:cs="Times New Roman" w:eastAsia="Times New Roman" w:hAnsi="Times New Roman"/>
          <w:sz w:val="18"/>
          <w:szCs w:val="18"/>
          <w:color w:val="auto"/>
        </w:rPr>
      </w:pPr>
    </w:p>
    <w:p>
      <w:pPr>
        <w:ind w:left="439" w:right="400" w:hanging="439"/>
        <w:spacing w:after="0" w:line="261" w:lineRule="auto"/>
        <w:tabs>
          <w:tab w:leader="none" w:pos="4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(subject to receipt of the aggregate exercise price for the applicable exercise (other than in the case of a cashless exercise)), then the Holder will have the right to rescind such exercise by delivering written notice to the Company at any time prior to the delivery of the Warrant Shares.</w:t>
      </w:r>
    </w:p>
    <w:p>
      <w:pPr>
        <w:spacing w:after="0" w:line="85" w:lineRule="exact"/>
        <w:rPr>
          <w:rFonts w:ascii="Times New Roman" w:cs="Times New Roman" w:eastAsia="Times New Roman" w:hAnsi="Times New Roman"/>
          <w:sz w:val="18"/>
          <w:szCs w:val="18"/>
          <w:color w:val="auto"/>
        </w:rPr>
      </w:pPr>
    </w:p>
    <w:p>
      <w:pPr>
        <w:ind w:left="439" w:hanging="439"/>
        <w:spacing w:after="0" w:line="252" w:lineRule="auto"/>
        <w:tabs>
          <w:tab w:leader="none" w:pos="4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solely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w:t>
      </w:r>
    </w:p>
    <w:p>
      <w:pPr>
        <w:spacing w:after="0" w:line="130"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19"/>
          </w:cols>
          <w:pgMar w:left="1421" w:top="270" w:right="459" w:bottom="1440" w:gutter="0" w:footer="0" w:header="0"/>
        </w:sectPr>
      </w:pPr>
    </w:p>
    <w:bookmarkStart w:id="11" w:name="page12"/>
    <w:bookmarkEnd w:id="11"/>
    <w:p>
      <w:pPr>
        <w:ind w:left="439"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within two (2)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97" w:lineRule="exact"/>
        <w:rPr>
          <w:sz w:val="20"/>
          <w:szCs w:val="20"/>
          <w:color w:val="auto"/>
        </w:rPr>
      </w:pPr>
    </w:p>
    <w:p>
      <w:pPr>
        <w:jc w:val="both"/>
        <w:ind w:left="439" w:right="140" w:hanging="439"/>
        <w:spacing w:after="0" w:line="261" w:lineRule="auto"/>
        <w:tabs>
          <w:tab w:leader="none" w:pos="4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85" w:lineRule="exact"/>
        <w:rPr>
          <w:rFonts w:ascii="Times New Roman" w:cs="Times New Roman" w:eastAsia="Times New Roman" w:hAnsi="Times New Roman"/>
          <w:sz w:val="18"/>
          <w:szCs w:val="18"/>
          <w:color w:val="auto"/>
        </w:rPr>
      </w:pPr>
    </w:p>
    <w:p>
      <w:pPr>
        <w:ind w:left="439" w:right="20" w:hanging="439"/>
        <w:spacing w:after="0" w:line="254" w:lineRule="auto"/>
        <w:tabs>
          <w:tab w:leader="none" w:pos="4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to the extent applicable, pay all Transfer Agent fees required for processing of any Notice of Exercise and all fees to the Depository Trust Company (or another established clearing corporation performing similar functions) required for electronic delivery of the Warrant Shares.</w:t>
      </w:r>
    </w:p>
    <w:p>
      <w:pPr>
        <w:spacing w:after="0" w:line="93" w:lineRule="exact"/>
        <w:rPr>
          <w:rFonts w:ascii="Times New Roman" w:cs="Times New Roman" w:eastAsia="Times New Roman" w:hAnsi="Times New Roman"/>
          <w:sz w:val="18"/>
          <w:szCs w:val="18"/>
          <w:color w:val="auto"/>
        </w:rPr>
      </w:pPr>
    </w:p>
    <w:p>
      <w:pPr>
        <w:ind w:left="439" w:hanging="439"/>
        <w:spacing w:after="0" w:line="282" w:lineRule="auto"/>
        <w:tabs>
          <w:tab w:leader="none" w:pos="4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94"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79"/>
          </w:cols>
          <w:pgMar w:left="1421" w:top="270" w:right="499" w:bottom="1440" w:gutter="0" w:footer="0" w:header="0"/>
        </w:sectPr>
      </w:pPr>
    </w:p>
    <w:bookmarkStart w:id="12" w:name="page13"/>
    <w:bookmarkEnd w:id="12"/>
    <w:p>
      <w:pPr>
        <w:ind w:firstLine="436"/>
        <w:spacing w:after="0" w:line="251" w:lineRule="auto"/>
        <w:tabs>
          <w:tab w:leader="none" w:pos="6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the Common Stock would or could be aggregated with the Holder’s for purposes of Section 13(d) or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(such Persons set forth in clause (i) through (iii) above,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or forms required to be filed in accordance therewith. To the extent that the limitation contained in this Section 2(e) applies, the determination of whether this Warrant is exercisable (in relation to other securities owned by the Holder together with any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from the Company or the Transfer Agent to the Holder setting forth the number of shares of Common Stock outstanding. Upon the written or oral request of a Holder, the Company shall within one (1) Trading Day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Attribution Parties since the date as of which such number of outstanding shares of Common Stock was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right="120"/>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revised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or decrease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Attribution Parties to exceed 19.99% of the total number of issued and outstanding shares of Common Stock of the Company following such exercise, or (ii) the combined voting power of the securities of the Company beneficially owned by the Holder and its Attribution Parties to exceed 19.99% of the combined voting power of all of the securities of the Company then outstanding following such exercise. For purposes of this Section 2(e), the aggregate number of shares of Common Stock or voting securities beneficially owned by the Holder and its Attribution Parties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Attribution Parties.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of Common Stock,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(but without duplication of)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ind w:firstLine="436"/>
        <w:spacing w:after="0" w:line="255" w:lineRule="auto"/>
        <w:tabs>
          <w:tab w:leader="none" w:pos="6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 w:right="260" w:firstLine="436"/>
        <w:spacing w:after="0" w:line="272" w:lineRule="auto"/>
        <w:tabs>
          <w:tab w:leader="none" w:pos="63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and in connection with such transaction the Common Stock is converted into or exchanged for other securities, cash or property (each a “</w:t>
      </w:r>
      <w:r>
        <w:rPr>
          <w:rFonts w:ascii="Times New Roman" w:cs="Times New Roman" w:eastAsia="Times New Roman" w:hAnsi="Times New Roman"/>
          <w:sz w:val="18"/>
          <w:szCs w:val="18"/>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securities, cash and other property of the successor or acquiring corporation (or ultimate parent thereof) or of the Company, if it is the surviving corporation, as applicable,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6" w:name="page17"/>
    <w:bookmarkEnd w:id="16"/>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prior to such Fundamental Transaction in accordance with the provisions of this Section 3(d) and shall, at the option of the Holder, deliver to the Holder in exchange for this Warrant a security of the Successor Entity evidenced by a written instrument substantially similar in form and substance to this Warrant which is exercisable for the Alternate Consideration, and with an exercise price which applies the exercise price hereunder to such Alternate Consideration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97" w:lineRule="exact"/>
        <w:rPr>
          <w:sz w:val="20"/>
          <w:szCs w:val="20"/>
          <w:color w:val="auto"/>
        </w:rPr>
      </w:pPr>
    </w:p>
    <w:p>
      <w:pPr>
        <w:ind w:right="240" w:firstLine="436"/>
        <w:spacing w:after="0" w:line="266" w:lineRule="auto"/>
        <w:tabs>
          <w:tab w:leader="none" w:pos="6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600" w:hanging="164"/>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300" w:hanging="439"/>
        <w:spacing w:after="0" w:line="266"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81" w:lineRule="exact"/>
        <w:rPr>
          <w:rFonts w:ascii="Times New Roman" w:cs="Times New Roman" w:eastAsia="Times New Roman" w:hAnsi="Times New Roman"/>
          <w:sz w:val="18"/>
          <w:szCs w:val="18"/>
          <w:color w:val="auto"/>
        </w:rPr>
      </w:pPr>
    </w:p>
    <w:p>
      <w:pPr>
        <w:ind w:left="1420" w:hanging="439"/>
        <w:spacing w:after="0" w:line="261"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w:t>
      </w:r>
    </w:p>
    <w:p>
      <w:pPr>
        <w:ind w:left="142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Company shall authorize the granting to all holders of the Common Stock rights or warrants to subscribe for or purchase any shares of capital stock of any class or of any rights, (D) the approval of any stockholders of the Company shall be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17" w:name="page18"/>
    <w:bookmarkEnd w:id="17"/>
    <w:p>
      <w:pPr>
        <w:ind w:left="1420"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at least 20 calendar days prior to the applicable record or effective date hereinafter specified, a notice stating</w:t>
      </w:r>
    </w:p>
    <w:p>
      <w:pPr>
        <w:spacing w:after="0" w:line="5" w:lineRule="exact"/>
        <w:rPr>
          <w:sz w:val="20"/>
          <w:szCs w:val="20"/>
          <w:color w:val="auto"/>
        </w:rPr>
      </w:pPr>
    </w:p>
    <w:p>
      <w:pPr>
        <w:ind w:left="1420" w:firstLine="7"/>
        <w:spacing w:after="0" w:line="267" w:lineRule="auto"/>
        <w:tabs>
          <w:tab w:leader="none" w:pos="16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 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5" w:lineRule="auto"/>
        <w:tabs>
          <w:tab w:leader="none" w:pos="6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8" w:name="page19"/>
    <w:bookmarkEnd w:id="18"/>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0" w:lineRule="exact"/>
        <w:rPr>
          <w:sz w:val="20"/>
          <w:szCs w:val="20"/>
          <w:color w:val="auto"/>
        </w:rPr>
      </w:pPr>
    </w:p>
    <w:p>
      <w:pPr>
        <w:ind w:firstLine="436"/>
        <w:spacing w:after="0" w:line="25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right="260" w:firstLine="436"/>
        <w:spacing w:after="0" w:line="261" w:lineRule="auto"/>
        <w:tabs>
          <w:tab w:leader="none" w:pos="6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9.1 of the Purchase Agreement.</w:t>
      </w:r>
    </w:p>
    <w:p>
      <w:pPr>
        <w:spacing w:after="0" w:line="183" w:lineRule="exact"/>
        <w:rPr>
          <w:rFonts w:ascii="Times New Roman" w:cs="Times New Roman" w:eastAsia="Times New Roman" w:hAnsi="Times New Roman"/>
          <w:sz w:val="18"/>
          <w:szCs w:val="18"/>
          <w:color w:val="auto"/>
        </w:rPr>
      </w:pPr>
    </w:p>
    <w:p>
      <w:pPr>
        <w:ind w:right="180" w:firstLine="436"/>
        <w:spacing w:after="0" w:line="261" w:lineRule="auto"/>
        <w:tabs>
          <w:tab w:leader="none" w:pos="6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2(d)(v) herein, in no event shall the Company be required to net cash settle an exercise of this Warrant.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9" w:name="page20"/>
    <w:bookmarkEnd w:id="19"/>
    <w:p>
      <w:pPr>
        <w:ind w:right="180" w:firstLine="436"/>
        <w:spacing w:after="0" w:line="25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360" w:firstLine="436"/>
        <w:spacing w:after="0" w:line="282" w:lineRule="auto"/>
        <w:tabs>
          <w:tab w:leader="none" w:pos="6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0" w:name="page21"/>
    <w:bookmarkEnd w:id="20"/>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436"/>
        <w:spacing w:after="0" w:line="25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7" w:lineRule="exact"/>
        <w:rPr>
          <w:rFonts w:ascii="Times New Roman" w:cs="Times New Roman" w:eastAsia="Times New Roman" w:hAnsi="Times New Roman"/>
          <w:sz w:val="18"/>
          <w:szCs w:val="18"/>
          <w:color w:val="auto"/>
        </w:rPr>
      </w:pPr>
    </w:p>
    <w:p>
      <w:pPr>
        <w:ind w:right="320" w:firstLine="436"/>
        <w:spacing w:after="0" w:line="282" w:lineRule="auto"/>
        <w:tabs>
          <w:tab w:leader="none" w:pos="6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21" w:name="page22"/>
    <w:bookmarkEnd w:id="21"/>
    <w:p>
      <w:pPr>
        <w:ind w:left="-20" w:firstLine="436"/>
        <w:spacing w:after="0" w:line="253" w:lineRule="auto"/>
        <w:tabs>
          <w:tab w:leader="none" w:pos="6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5 Science Park, 395 Winchester Avenue, New Haven, Connecticut, Attn: Chief Executive Officer,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91"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5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5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70" w:right="459" w:bottom="1440" w:gutter="0" w:footer="0" w:header="0"/>
        </w:sectPr>
      </w:pPr>
    </w:p>
    <w:bookmarkStart w:id="22" w:name="page23"/>
    <w:bookmarkEnd w:id="22"/>
    <w:p>
      <w:pPr>
        <w:ind w:right="40" w:firstLine="436"/>
        <w:spacing w:after="0" w:line="282" w:lineRule="auto"/>
        <w:tabs>
          <w:tab w:leader="none" w:pos="5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on the other hand.</w:t>
      </w:r>
    </w:p>
    <w:p>
      <w:pPr>
        <w:spacing w:after="0" w:line="161" w:lineRule="exact"/>
        <w:rPr>
          <w:rFonts w:ascii="Times New Roman" w:cs="Times New Roman" w:eastAsia="Times New Roman" w:hAnsi="Times New Roman"/>
          <w:sz w:val="18"/>
          <w:szCs w:val="18"/>
          <w:color w:val="auto"/>
        </w:rPr>
      </w:pPr>
    </w:p>
    <w:p>
      <w:pPr>
        <w:ind w:right="300" w:firstLine="436"/>
        <w:spacing w:after="0" w:line="266"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640" w:hanging="204"/>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 this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40"/>
          </w:cols>
          <w:pgMar w:left="440" w:top="270" w:right="619" w:bottom="1440" w:gutter="0" w:footer="0" w:header="0"/>
        </w:sectPr>
      </w:pPr>
    </w:p>
    <w:bookmarkStart w:id="23" w:name="page24"/>
    <w:bookmarkEnd w:id="2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Sean Cassidy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40" w:top="270" w:right="55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ARVINAS, INC.</w:t>
      </w:r>
    </w:p>
    <w:p>
      <w:pPr>
        <w:spacing w:after="0" w:line="229" w:lineRule="exact"/>
        <w:rPr>
          <w:sz w:val="20"/>
          <w:szCs w:val="20"/>
          <w:color w:val="auto"/>
        </w:rPr>
      </w:pPr>
    </w:p>
    <w:p>
      <w:pPr>
        <w:ind w:right="260" w:firstLine="987"/>
        <w:spacing w:after="0" w:line="282"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660" w:hanging="232"/>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lawful money of the United States; or</w:t>
      </w:r>
    </w:p>
    <w:p>
      <w:pPr>
        <w:spacing w:after="0" w:line="117" w:lineRule="exact"/>
        <w:rPr>
          <w:sz w:val="20"/>
          <w:szCs w:val="20"/>
          <w:color w:val="auto"/>
        </w:rPr>
      </w:pPr>
    </w:p>
    <w:p>
      <w:pPr>
        <w:ind w:left="1420" w:right="360" w:firstLine="8"/>
        <w:spacing w:after="0" w:line="266" w:lineRule="auto"/>
        <w:tabs>
          <w:tab w:leader="none" w:pos="16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-570230</wp:posOffset>
            </wp:positionV>
            <wp:extent cx="20313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523240</wp:posOffset>
            </wp:positionV>
            <wp:extent cx="20313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377190</wp:posOffset>
            </wp:positionV>
            <wp:extent cx="20313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3136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231775</wp:posOffset>
            </wp:positionV>
            <wp:extent cx="20313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17145</wp:posOffset>
            </wp:positionV>
            <wp:extent cx="58032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18415</wp:posOffset>
            </wp:positionV>
            <wp:extent cx="4526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17145</wp:posOffset>
            </wp:positionV>
            <wp:extent cx="55549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17145</wp:posOffset>
            </wp:positionV>
            <wp:extent cx="5589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wp:posOffset>
            </wp:positionV>
            <wp:extent cx="6711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25" w:name="page26"/>
    <w:bookmarkEnd w:id="25"/>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7" w:lineRule="exact"/>
        <w:rPr>
          <w:sz w:val="20"/>
          <w:szCs w:val="20"/>
          <w:color w:val="auto"/>
        </w:rPr>
      </w:pPr>
    </w:p>
    <w:p>
      <w:pPr>
        <w:ind w:left="440" w:right="459"/>
        <w:spacing w:after="0" w:line="517"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17145</wp:posOffset>
            </wp:positionV>
            <wp:extent cx="34290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17145</wp:posOffset>
            </wp:positionV>
            <wp:extent cx="3429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17145</wp:posOffset>
            </wp:positionV>
            <wp:extent cx="34290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17145</wp:posOffset>
            </wp:positionV>
            <wp:extent cx="34290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-7620</wp:posOffset>
            </wp:positionV>
            <wp:extent cx="1799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95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-7620</wp:posOffset>
            </wp:positionV>
            <wp:extent cx="1856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24, 2023 by and among Arvinas,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Investors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A. The Company and the Investors are executing and delivering this Agreement in reliance upon the exemption from securities registration afforded by the provisions of Section 4(a)(2) of the 1933 Act (as defined below);</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B. The Investors wish to purchase from the Company, and the Company wishes to sell and issue to the Investors, upon the terms and subject to the conditions stated in this Agreement, (1) an aggregate of 12,963,542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and (2) pre-funded warrants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purchase an aggregate of 3,422,380 shares of Common Stock (each, a “</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right="3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C. Contemporaneously with the sale of the Shares and Pre-Funded Warrants, the parties hereto will execute and deliver a Registration Rights Agreement, in the form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pursuant to which the Company will agree to provide certain registration rights in respect of the Shares and the Warrant Shares (as defined below) under the 1933 Act and applicable state securities laws.</w:t>
      </w:r>
    </w:p>
    <w:p>
      <w:pPr>
        <w:spacing w:after="0" w:line="15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made herein and for other good and valuable consideration, the receipt and sufficiency of which are hereby acknowledged, the parties hereto agree as follows: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the following terms shall have the meanings set forth below:</w:t>
      </w:r>
    </w:p>
    <w:p>
      <w:pPr>
        <w:spacing w:after="0" w:line="117"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through one or more intermediaries Controls, is controlled by, or is under common Control with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banks in New York City are open for the general transaction of business.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Section 3.1.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set forth in Section 3.1.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ectPr>
          <w:pgSz w:w="11900" w:h="16838" w:orient="portrait"/>
          <w:cols w:equalWidth="0" w:num="1">
            <w:col w:w="11020"/>
          </w:cols>
          <w:pgMar w:left="440" w:top="117" w:right="43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Company’s Knowledge</w:t>
      </w:r>
      <w:r>
        <w:rPr>
          <w:rFonts w:ascii="Times New Roman" w:cs="Times New Roman" w:eastAsia="Times New Roman" w:hAnsi="Times New Roman"/>
          <w:sz w:val="18"/>
          <w:szCs w:val="18"/>
          <w:color w:val="auto"/>
        </w:rPr>
        <w:t>” means the actual knowledge of the executive officers (as defined in Rule 405 under the 1933 Act) of the Company.</w:t>
      </w:r>
    </w:p>
    <w:p>
      <w:pPr>
        <w:spacing w:after="0" w:line="225"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Depository Trust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 system</w:t>
      </w:r>
      <w:r>
        <w:rPr>
          <w:rFonts w:ascii="Times New Roman" w:cs="Times New Roman" w:eastAsia="Times New Roman" w:hAnsi="Times New Roman"/>
          <w:sz w:val="18"/>
          <w:szCs w:val="18"/>
          <w:color w:val="auto"/>
        </w:rPr>
        <w:t>” has the meaning set forth in Section 4.9.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has the meaning set forth in Section 4.15.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set forth in Section 4.17.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set forth in Section 4.14.</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executed by each of the Company’s directors and executive officers,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(i) the assets, liabilities, results of operations, financial condition or business of the Company and its subsidiaries taken as a whole, (ii) the legality or enforceability of any of the Transaction Documents or (iii) the ability of the Company to perform its obligations under the Transaction Documents, except that for purposes of Section 6.1(i) of this Agreement, in no event shall a change in the market price of the Common Stock alone constitute a “Material Adverse Effect”.</w:t>
      </w:r>
    </w:p>
    <w:p>
      <w:pPr>
        <w:spacing w:after="0" w:line="18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any contract, instrument or other agreement to which the Company is a party or by which it is bound that has been filed or was required to have been filed as an exhibit to the SEC Filings pursuant to Item 601(b)(4) or Item 601(b)(10) of Regulation S-K.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means BofA Securities, Inc. and Goldman Sachs &amp; Co. LLC.</w:t>
      </w:r>
    </w:p>
    <w:p>
      <w:pPr>
        <w:spacing w:after="0" w:line="225"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Securities</w:t>
      </w:r>
      <w:r>
        <w:rPr>
          <w:rFonts w:ascii="Times New Roman" w:cs="Times New Roman" w:eastAsia="Times New Roman" w:hAnsi="Times New Roman"/>
          <w:sz w:val="18"/>
          <w:szCs w:val="18"/>
          <w:color w:val="auto"/>
        </w:rPr>
        <w:t>” means the Shares and the Pre-Funded Warrants.</w:t>
      </w:r>
    </w:p>
    <w:p>
      <w:pPr>
        <w:spacing w:after="0" w:line="158"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has the meaning set forth in Section 9.7(b).</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Trading Market on which the Common Stock is primarily listed on and quoted for trading, which, as of the date of this Agreement and the Closing Date, shall be the Nasdaq Global Select Market.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Investors</w:t>
      </w:r>
      <w:r>
        <w:rPr>
          <w:rFonts w:ascii="Times New Roman" w:cs="Times New Roman" w:eastAsia="Times New Roman" w:hAnsi="Times New Roman"/>
          <w:sz w:val="18"/>
          <w:szCs w:val="18"/>
          <w:color w:val="auto"/>
        </w:rPr>
        <w:t>” has the meaning set forth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has the meaning set forth in Section 4.8.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Placement Securities and the Warrant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1934 Act (but shall not be deemed to include the location and/or reservation of borrowable shares of Common Stock).</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(i) a day on which the Common Stock is listed or quoted and traded on its Principal Trading Market or (ii) if the Common Stock is not quoted on any Trading Market, a day on which the Common Stock is quoted in the over-the-counter market as reported in the “pink sheets” by OTC Markets Group Inc. (or any similar organization or agency succeeding to its functions of reporting prices); provided, that in the event that the Common Stock is not listed or quoted as set forth in (i) or (ii) hereof, then Trading Day shall mean a Business Day.</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whichever of the New York Stock Exchange, the NYSE American, the Nasdaq Global Select Market, the Nasdaq Global Market or the Nasdaq Capital Market on which the Common Stock is listed or quoted for trading on the date in question.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has the meaning set forth in Section 7.1(a).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Pre-Funded Warrants and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 or any successor statute, and the rules and regulations promulgated thereunder.</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29" w:name="page30"/>
    <w:bookmarkEnd w:id="29"/>
    <w:p>
      <w:pPr>
        <w:ind w:firstLine="436"/>
        <w:spacing w:after="0" w:line="256"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and Sale of the Placement Securities</w:t>
      </w:r>
      <w:r>
        <w:rPr>
          <w:rFonts w:ascii="Times New Roman" w:cs="Times New Roman" w:eastAsia="Times New Roman" w:hAnsi="Times New Roman"/>
          <w:sz w:val="18"/>
          <w:szCs w:val="18"/>
          <w:color w:val="auto"/>
        </w:rPr>
        <w:t xml:space="preserve">. On the Closing Date, upon the terms and subject to the conditions set forth herein, the Company will issue and sell, and each Investor will purchase, severally and not jointly, (a) the number of Shares set forth opposite the name of such Investor under the heading “Number of Shares to be Purchased”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(b) a Pre-Funded Warrant to purchase the number of Warrant Shares set forth opposite the name of such Investor under the heading “Number of Warrant Shares Underlying Pre-Funded Warrant Purchased”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if any. The purchase price per Share shall be $21.36. The purchase price for the Pre-Funded Warrants shall be $21.359 per Warrant Share. The Pre-Funded Warrants shall have an exercise price equal to $0.001 per Warrant Share.</w:t>
      </w:r>
    </w:p>
    <w:p>
      <w:pPr>
        <w:spacing w:after="0" w:line="18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3.1. Upon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completion of the purchase and sale of the Placement Securities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remotely via exchange of documents and signatures at a time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to be agreed to by the Company and the Investors but (i) in no event earlier than the second Business Day after the date hereof and (ii) in no event later than the fifth Trading Day after the date hereof, and of which the Investors will be notified in advance by the Placement Agents.</w:t>
      </w:r>
    </w:p>
    <w:p>
      <w:pPr>
        <w:spacing w:after="0" w:line="180"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 On or before the Closing Date, each Investor shall deliver or cause to be delivered to the Company, via wire transfer of immediately available funds pursuant to the wire instructions delivered to such Investor by the Company on or prior to the Closing Date, an amount equal to the purchase price to be paid by the Investor for the Placement Securities to be acquired by it as set forth opposite the name of such Investor under the heading “Aggregate Purchase Price of Placement Securities”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If the Closing has not occurred for any reason on or prior to the fifth Trading Day after the date hereof and the Agreement has been terminated by the Investor pursuant to Section 6.3, the applicable purchase price shall be promptly returned to the applicable Investor.</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3.3. At the Closing, the Company shall deliver or cause to be delivered to each Investor (i) a number of Shares, registered in the name of the Investor (or its nominee in accordance with its delivery instructions), equal to the number of Shares set forth opposite the name of such Investor under the heading “Number of Shares to be Purchased”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(ii) a Pre-Funded Warrant, registered in the name of the Investor (or its nominee in accordance with its delivery instructions), to purchase up to the number of Warrant Shares set forth opposite the name of such Investor under the heading “Number of Warrant Shares Underlying Pre-Funded Warrant Purchased”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if any. The Shares shall be delivered via a book-entry record through the Company’s transfer agent and the Company shall provide to each Investor evidence in form reasonably satisfactory to the Investor from the Transfer Agent evidencing the issuance of such Shares. Unless the Company and an Investor otherwise mutually agree with respect to such Investor’s Shares, at Closing settlement shall occur on a “delivery versus payment” basis.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0" w:name="page31"/>
    <w:bookmarkEnd w:id="30"/>
    <w:p>
      <w:pPr>
        <w:ind w:right="120" w:firstLine="436"/>
        <w:spacing w:after="0" w:line="261"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Company</w:t>
      </w:r>
      <w:r>
        <w:rPr>
          <w:rFonts w:ascii="Times New Roman" w:cs="Times New Roman" w:eastAsia="Times New Roman" w:hAnsi="Times New Roman"/>
          <w:sz w:val="18"/>
          <w:szCs w:val="18"/>
          <w:color w:val="auto"/>
        </w:rPr>
        <w:t>. The Company hereby represents and warrants to the Investors that, except (a) as described in the Company’s SEC Filings (as defined below) or (b) as set forth on the disclosure schedule delivered herewith (which is arranged in numbered and lettered sections corresponding to the numbered and lettered sections contained in this Section 4)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each of which qualify these representations and warranties in their entirety:</w:t>
      </w:r>
    </w:p>
    <w:p>
      <w:pPr>
        <w:spacing w:after="0" w:line="7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The Company is a corporation duly organized, validly existing and in good standing under the laws of the jurisdiction of its incorporation and has all requisite corporate power and authority to carry on its business as now conducted and to own or lease its properties. The Company is duly qualified to do business as a foreign corporation and is in good standing in each jurisdiction in which the conduct of its business or its ownership or leasing of property makes such qualification or leasing necessary unless the failure to so qualify has not had and would not reasonably be expected to have a Material Adverse Effect. The Company’s subsidiaries are set forth on Exhibit 21.1 to its most recent Annual Report on Form 10-K, and the Company owns, directly or indirectly, 100% of the outstanding equity securities of such subsidiaries. The Company’s subsidiaries are duly organized, validly existing and in good standing under the laws of their jurisdiction of incorporation and have all requisite power and authority to carry on their business as now conducted and to own or lease their properties. The Company’s subsidiaries are duly qualified to do business as foreign corporations and are in good standing in each jurisdiction in which the conduct of their business or their ownership or leasing of property makes such qualification or leasing necessary unless the failure to so qualify has not had and would not reasonably be expected to have a Material Adverse Effect. Neither the Company nor any of its subsidiaries is in violation or default of its respective certificate or articles of incorporation, bylaws or other organizational or charter documents.</w:t>
      </w:r>
    </w:p>
    <w:p>
      <w:pPr>
        <w:spacing w:after="0" w:line="19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the requisite corporate power and authority and has taken all requisite corporate action necessary for, and no further action on the part of the Company, its officers, directors and stockholders is necessary for, (i) the authorization, execution and delivery of the Transaction Documents, (ii) the authorization of the performance of all obligations of the Company hereunder or thereunder, and (iii) the authorization, issuance (or reservation for issuance) and delivery of the Placement Securities. The Transaction Documents constitute the legal, valid and binding obligations of the Company, enforceable against the Company in accordance with their terms, subject to bankruptcy, insolvency, fraudulent transfer, reorganization, moratorium and similar laws of general applicability, relating to or affecting creditors’ rights generally and to general equitable principles.</w:t>
      </w:r>
    </w:p>
    <w:p>
      <w:pPr>
        <w:spacing w:after="0" w:line="18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is authorized under its Certificate of Incorporation to issue 200,000,000 shares of Common Stock. The Company’s disclosure of its issued and outstanding capital stock in its most recent SEC Filing containing such disclosure was accurate in all material respects as of the date indicated in such SEC Filing. Since the date indicated in such SEC Filing, there has not been any change in the Company’s capital stock, other than as a result of the exercise of stock options, the vesting of restricted stock units or the award of stock options, restricted stock or restricted stock units in the ordinary course of business pursuant to the Company’s equity plans described in the SEC Filings. All of the issued and outstanding shares of the Company’s capital stock have been duly authorized and validly issued and are fully paid and nonassessable; none of such shares were issued in violation of any preemptive rights; and such shares were issued in compliance in all material respects 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1" w:name="page32"/>
    <w:bookmarkEnd w:id="31"/>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state and federal securities law and any rights of third parties. No Person is entitled to preemptive or similar statutory or contractual rights with respect to the issuance by the Company of any securities of the Company, including, without limitation, the Placement Securities. Except for stock options and restricted stock units approved pursuant to Company stock-based compensation plans described in the SEC Filings, there are no outstanding warrants, options, convertible securities or other rights, agreements or arrangements of any character under which the Company is or may be obligated to issue any equity securities of any kind, except as contemplated by this Agreement. There are no voting agreements, buy-sell agreements, option or right of first purchase agreements or other similar agreements among the Company and any of the securityholders of the Company relating to the securities of the Company held by them. Except as provided in the Registration Rights Agreement, no Person has the right to (i) require the Company to register any securities of the Company under the 1933 Act, whether on a demand basis or in connection with the registration of securities of the Company for its own account or for the account of any other Person or (ii) prohibit the Company from filing a registration statement under the 1933 Act.</w:t>
      </w:r>
    </w:p>
    <w:p>
      <w:pPr>
        <w:spacing w:after="0" w:line="173"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The issuance and sale of the Placement Securities hereunder will not obligate the Company to issue shares of Common Stock or other securities to any other Person (other than the Investors) and will not result in the adjustment of the exercise, conversion, exchange or reset price of any outstanding security.</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Company does not have outstanding stockholder purchase rights or a “poison pill” or any similar arrangement in effect giving any Person the right to purchase any equity interest in the Company upon the occurrence of certain events.</w:t>
      </w:r>
    </w:p>
    <w:p>
      <w:pPr>
        <w:spacing w:after="0" w:line="162"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Shares have been duly and validly authorized and, when issued and paid for pursuant to this Agreement, will be validly issued, fully paid and nonassessable, and shall be free and clear of all encumbrances and restrictions (other than those created by any Investor with respect to Shares purchased by such Investor), except for restrictions on transfer set forth in the Transaction Documents or imposed by applicable securities laws. The Warrant Shares have been duly and validly authorized and reserved for issuance and, upon exercise of the Pre-Funded Warrants in accordance with their terms, including the payment of any exercise price therefor, will be validly issued, fully paid and nonassessable, and shall be free and clear of all encumbrances and restrictions (other than those created by any Investor with respect to Warrant Shares purchased by such Investor), except for restrictions on transfer set forth in the Transaction Documents or imposed by applicable securities laws.</w:t>
      </w:r>
    </w:p>
    <w:p>
      <w:pPr>
        <w:spacing w:after="0" w:line="18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Subject to the accuracy of the representations and warranties of each Investor set forth in Section 5 hereof, the execution, delivery and performance by the Company of the Transaction Documents and the offer, issuance and sale of the Placement Securities require no consent of, action by or in respect of, or filing with, any Person, governmental body, agency, or official other than (a) filings that have been made pursuant to applicable state securities laws, (b) post-sale filings pursuant to applicable state and federal securities laws, (c) filings pursuant to the rules and regulations of Nasdaq and (d) filing of the registration statement required to be filed by the Registration Rights Agreement, each of which the Company has filed or undertakes to file within the applicable time. Subject to the accuracy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2" w:name="page33"/>
    <w:bookmarkEnd w:id="3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representations and warranties of each Investor set forth in Section 5 hereof, the Company has taken all action necessary to exempt (i) the issuance and sale of the Placement Securities and (ii) the other transactions contemplated by the Transaction Documents from the provisions of any stockholder rights plan or other “poison pill” arrangement, any anti-takeover, business combination or control share law or statute binding on the Company or to which the Company or any of its assets and properties is subject that is or could reasonably be expected to become applicable to the Investors as a result of the transactions contemplated hereby, including without limitation, the issuance of the Placement Securities and the ownership, disposition or voting of the Shares or the Warrant Shares by the Investors or the exercise of any right granted to the Investors pursuant to this Agreement or the other Transaction Documents.</w:t>
      </w:r>
    </w:p>
    <w:p>
      <w:pPr>
        <w:spacing w:after="0" w:line="18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net proceeds of the sale of the Placement Securities hereunder shall be used by the Company for working capital and general corporate purposes.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September 30, 2023, there has not been:</w:t>
      </w:r>
    </w:p>
    <w:p>
      <w:pPr>
        <w:spacing w:after="0" w:line="117" w:lineRule="exact"/>
        <w:rPr>
          <w:sz w:val="20"/>
          <w:szCs w:val="20"/>
          <w:color w:val="auto"/>
        </w:rPr>
      </w:pPr>
    </w:p>
    <w:p>
      <w:pPr>
        <w:ind w:firstLine="1428"/>
        <w:spacing w:after="0" w:line="261" w:lineRule="auto"/>
        <w:tabs>
          <w:tab w:leader="none" w:pos="16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consolidated assets, liabilities, financial condition or operating results of the Company from that reflected in the financial statements included in the Company’s Quarterly Report on Form 10-Q for the quarter ended September 30, 2023, except for changes in the ordinary course of business which have not had and would not reasonably be expected to have a Material Adverse Effect, individually or in the aggregate;</w:t>
      </w:r>
    </w:p>
    <w:p>
      <w:pPr>
        <w:spacing w:after="0" w:line="179" w:lineRule="exact"/>
        <w:rPr>
          <w:rFonts w:ascii="Times New Roman" w:cs="Times New Roman" w:eastAsia="Times New Roman" w:hAnsi="Times New Roman"/>
          <w:sz w:val="18"/>
          <w:szCs w:val="18"/>
          <w:color w:val="auto"/>
        </w:rPr>
      </w:pPr>
    </w:p>
    <w:p>
      <w:pPr>
        <w:jc w:val="both"/>
        <w:ind w:right="800" w:firstLine="1428"/>
        <w:spacing w:after="0" w:line="312" w:lineRule="auto"/>
        <w:tabs>
          <w:tab w:leader="none" w:pos="169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declaration or payment by the Company of any dividend, or any authorization or payment by the Company of any distribution, on any of the capital stock of the Company, or any redemption or repurchase by the Company of any securities of the Company;</w:t>
      </w:r>
    </w:p>
    <w:p>
      <w:pPr>
        <w:spacing w:after="0" w:line="139" w:lineRule="exact"/>
        <w:rPr>
          <w:rFonts w:ascii="Times New Roman" w:cs="Times New Roman" w:eastAsia="Times New Roman" w:hAnsi="Times New Roman"/>
          <w:sz w:val="17"/>
          <w:szCs w:val="17"/>
          <w:color w:val="auto"/>
        </w:rPr>
      </w:pPr>
    </w:p>
    <w:p>
      <w:pPr>
        <w:ind w:left="1740" w:hanging="312"/>
        <w:spacing w:after="0"/>
        <w:tabs>
          <w:tab w:leader="none" w:pos="1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damage, destruction or loss, whether or not covered by insurance, to any assets or properties of the Company;</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not in the ordinary course of business, by the Company of a material right or of a material debt owed to it;</w:t>
      </w:r>
    </w:p>
    <w:p>
      <w:pPr>
        <w:spacing w:after="0" w:line="225" w:lineRule="exact"/>
        <w:rPr>
          <w:rFonts w:ascii="Times New Roman" w:cs="Times New Roman" w:eastAsia="Times New Roman" w:hAnsi="Times New Roman"/>
          <w:sz w:val="18"/>
          <w:szCs w:val="18"/>
          <w:color w:val="auto"/>
        </w:rPr>
      </w:pPr>
    </w:p>
    <w:p>
      <w:pPr>
        <w:ind w:right="40" w:firstLine="1428"/>
        <w:spacing w:after="0" w:line="266" w:lineRule="auto"/>
        <w:tabs>
          <w:tab w:leader="none" w:pos="1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satisfaction or discharge of any lien, claim or encumbrance or payment of any obligation by the Company, except in the ordinary course of business and which is not material to the assets, properties, financial condition, operating results or business of the Company (as such business is presently conducted);</w:t>
      </w:r>
    </w:p>
    <w:p>
      <w:pPr>
        <w:spacing w:after="0" w:line="175" w:lineRule="exact"/>
        <w:rPr>
          <w:rFonts w:ascii="Times New Roman" w:cs="Times New Roman" w:eastAsia="Times New Roman" w:hAnsi="Times New Roman"/>
          <w:sz w:val="18"/>
          <w:szCs w:val="18"/>
          <w:color w:val="auto"/>
        </w:rPr>
      </w:pPr>
    </w:p>
    <w:p>
      <w:pPr>
        <w:ind w:right="80" w:firstLine="1428"/>
        <w:spacing w:after="0" w:line="282" w:lineRule="auto"/>
        <w:tabs>
          <w:tab w:leader="none" w:pos="17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amendment to the Company’s Certificate of Incorporation or Bylaws, or material change to any material contract or arrangement by which the Company is bound or to which any of its assets or properties is subject;</w:t>
      </w:r>
    </w:p>
    <w:p>
      <w:pPr>
        <w:spacing w:after="0" w:line="161"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labor difficulties or, to the Company’s Knowledge, labor union organizing activities with respect to employees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6"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transaction entered into by the Company other than in the ordinary course of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3" w:name="page34"/>
    <w:bookmarkEnd w:id="33"/>
    <w:p>
      <w:pPr>
        <w:ind w:left="1744" w:hanging="312"/>
        <w:spacing w:after="0"/>
        <w:tabs>
          <w:tab w:leader="none" w:pos="17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loss of the services of any executive officer (as defined in Rule 405 under the 1933 Act); or</w:t>
      </w:r>
    </w:p>
    <w:p>
      <w:pPr>
        <w:spacing w:after="0" w:line="22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or condition that has had or would reasonably be expected to have a Material Adverse Effect.</w:t>
      </w:r>
    </w:p>
    <w:p>
      <w:pPr>
        <w:spacing w:after="0" w:line="225" w:lineRule="exact"/>
        <w:rPr>
          <w:sz w:val="20"/>
          <w:szCs w:val="20"/>
          <w:color w:val="auto"/>
        </w:rPr>
      </w:pPr>
    </w:p>
    <w:p>
      <w:pPr>
        <w:ind w:left="4" w:right="1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1933 Act and the 1934 Act, including pursuant to Section 13(a) or 15(d) thereof, for the one year period preceding the date hereof (collectively, the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and is in compliance with General Instruction I.A.3 of Form S-3. At the time of filing thereof, the SEC Filings complied as to form in all material respects with the requirements of the 1933 Act or the 1934 Act, as applicable, and the rules and regulations of the SEC thereunder, and none of the SEC Filings, when filed or furnished,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89" w:lineRule="exact"/>
        <w:rPr>
          <w:sz w:val="20"/>
          <w:szCs w:val="20"/>
          <w:color w:val="auto"/>
        </w:rPr>
      </w:pPr>
    </w:p>
    <w:p>
      <w:pPr>
        <w:jc w:val="both"/>
        <w:ind w:left="4" w:right="140" w:firstLine="991"/>
        <w:spacing w:after="0" w:line="272"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No Conflict, Breach, Violation or Default</w:t>
      </w:r>
      <w:r>
        <w:rPr>
          <w:rFonts w:ascii="Times New Roman" w:cs="Times New Roman" w:eastAsia="Times New Roman" w:hAnsi="Times New Roman"/>
          <w:sz w:val="17"/>
          <w:szCs w:val="17"/>
          <w:color w:val="auto"/>
        </w:rPr>
        <w:t>. The execution, delivery and performance of the Transaction Documents by the Company and the issuance and sale of the Placement Securities in accordance with the provisions thereof will not, except (solely in the case of clauses (i)(b) and (ii)) for such violations, conflicts or defaults as would not reasonably be expected, individually or in the aggregate, to have a Material Adverse Effect,</w:t>
      </w:r>
    </w:p>
    <w:p>
      <w:pPr>
        <w:spacing w:after="0" w:line="2" w:lineRule="exact"/>
        <w:rPr>
          <w:sz w:val="20"/>
          <w:szCs w:val="20"/>
          <w:color w:val="auto"/>
        </w:rPr>
      </w:pPr>
    </w:p>
    <w:p>
      <w:pPr>
        <w:ind w:left="4" w:hanging="4"/>
        <w:spacing w:after="0" w:line="251"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 breach or violation of (a) any of the terms and provisions of, or constitute a default under, the Company’s Certificate of Incorporation or the Company’s Bylaws, both as in effect on the date hereof (true and complete copies of which have been made available to the Investors through the Electronic Data Gathering, Analysis, and Retrieval system (the “</w:t>
      </w:r>
      <w:r>
        <w:rPr>
          <w:rFonts w:ascii="Times New Roman" w:cs="Times New Roman" w:eastAsia="Times New Roman" w:hAnsi="Times New Roman"/>
          <w:sz w:val="18"/>
          <w:szCs w:val="18"/>
          <w:u w:val="single" w:color="auto"/>
          <w:color w:val="auto"/>
        </w:rPr>
        <w:t>EDGAR system</w:t>
      </w:r>
      <w:r>
        <w:rPr>
          <w:rFonts w:ascii="Times New Roman" w:cs="Times New Roman" w:eastAsia="Times New Roman" w:hAnsi="Times New Roman"/>
          <w:sz w:val="18"/>
          <w:szCs w:val="18"/>
          <w:color w:val="auto"/>
        </w:rPr>
        <w:t>”)), or (b) assuming the accuracy of the representations and warranties in Section 5, any applicable statute, rule, regulation or order of any governmental agency or body or any court, domestic or foreign, having jurisdiction over the Company or its subsidiaries, or any of their assets or properties, or (ii) conflict with, or constitute a default (or an event that with notice or lapse of time or both would become a default) under, result in the creation of any lien, encumbrance or other adverse claim upon any of the properties or assets of the Company or its subsidiaries or give to others any rights of termination, amendment, acceleration or cancellation (with or without notice, lapse of time or both) of, any Material Contract. This Section 4.9 does not relate to matters with respect to tax status, which are the subject of Section 4.10, employee relations and labor matters, which are the subject of Section 4.13, intellectual property matters, which are the subject of Section 4.14, or environmental matters, which are the subject of Section 4.15.</w:t>
      </w:r>
    </w:p>
    <w:p>
      <w:pPr>
        <w:spacing w:after="0" w:line="193"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The Company and its subsidiaries have timely prepared and filed all material tax returns required to have been filed by them with all appropriate governmental agencies and timely paid all material taxes shown thereon or otherwise owed by them. There are no material unpaid assessments against the Company nor, to the Company’s Knowledge, any audits by any federal, state or local taxing authority. All material taxes that the Company is required to withhold or to collect for payment have been duly withheld and collected and paid to the proper governmental entity or third party when due. There are no tax liens pending or, to the Company’s Knowledge, threatened against the Company or any of its assets or property. With the exception of agreements or other arrangements that are not primarily related to taxes entered into in the ordinary course of business, there are no outstanding tax sharing agreements or other such arrangements between the Company and any other corporation or entity (other than a subsidiary of the Company).</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34" w:name="page35"/>
    <w:bookmarkEnd w:id="34"/>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The Company and its subsidiaries have good and marketable title to all real properties and all other material properties and assets owned by them, in each case free from liens, encumbrances and defects, except such as would not reasonably be expected, individually or in the aggregate, to have a Material Adverse Effect; and the Company and its subsidiaries hold any leased real or personal property under valid and enforceable leases with no exceptions, except such as would not reasonably be expected, individually or in the aggregate, to have a Material Adverse Effect.</w:t>
      </w:r>
    </w:p>
    <w:p>
      <w:pPr>
        <w:spacing w:after="0" w:line="183" w:lineRule="exact"/>
        <w:rPr>
          <w:sz w:val="20"/>
          <w:szCs w:val="20"/>
          <w:color w:val="auto"/>
        </w:rPr>
      </w:pPr>
    </w:p>
    <w:p>
      <w:pPr>
        <w:jc w:val="both"/>
        <w:ind w:right="3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Certificates, Authorities and Permits</w:t>
      </w:r>
      <w:r>
        <w:rPr>
          <w:rFonts w:ascii="Times New Roman" w:cs="Times New Roman" w:eastAsia="Times New Roman" w:hAnsi="Times New Roman"/>
          <w:sz w:val="18"/>
          <w:szCs w:val="18"/>
          <w:color w:val="auto"/>
        </w:rPr>
        <w:t>. The Company possesses adequate certificates, authorities or permits issued by appropriate governmental agencies or bodies necessary to conduct the business now operated by it, except where failure to so possess would not reasonably be expected, individually or in the aggregate, to result in a Material Adverse Effect. The Company has not received any written notice of proceedings relating to the revocation or modification of any such certificate, authority or permit that would reasonably be expected to have a Material Adverse Effect, individually or in the aggregate, on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61"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party to or bound by any collective bargaining agreements or other agreements with labor organizations. To the Company’s Knowledge, the Company has not violated in any material respect any laws, regulations, orders or contract terms affecting the collective bargaining rights of employees or labor organizations, or any laws, regulations or orders affecting employment discrimination, equal opportunity employment, or employees’ health, safety, welfare, wages and hours.</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with the employees of any principal supplier, manufacturer, customer or contractor of the Company, exists or, to the Company’s Knowledge, is threatened or imminent.</w:t>
      </w:r>
    </w:p>
    <w:p>
      <w:pPr>
        <w:spacing w:after="0" w:line="16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possess, license or have other rights to use,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Company’s business in all material respects as now conducted or as proposed in the SEC Filings to be conducted; and (a) there are no rights of third parties to any such Intellectual Property, including no liens, security interests or other encumbrances; (b) to the Company’s Knowledge, there is no material infringement by third parties of any such Intellectual Property; (c) there is no pending or, to the Company’s Knowledge, threatened action, suit, proceeding or claim by others challenging the Company’s rights in or to any such Intellectual Property; (d) such Intellectual Property that is described in the SEC Filings has not been adjudged by a court of competent jurisdiction invalid or unenforceable, in whole or in part; (e) there is no pending or, to the Company’s Knowledge, threatened action, suit, proceeding or claim by others challenging the validity or scope of any such Intellectual Property that is owned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5" w:name="page36"/>
    <w:bookmarkEnd w:id="3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licensed by the Company, including interferences, oppositions, reexaminations or government proceedings; (f) there is no pending or, to the Company’s Knowledge, threatened action, suit, proceeding or claim by others that the Company infringes, misappropriates, or otherwise violates any patent, trademark, copyright, trade secret or other proprietary rights of others; and (g) to the Company’s Knowledge, each Company employee involved with the development of Intellectual Property has entered into an invention assignment agreement with the Company.</w:t>
      </w:r>
    </w:p>
    <w:p>
      <w:pPr>
        <w:spacing w:after="0" w:line="18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The Company is not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has not released any hazardous substances regulated by Environmental Laws onto any real property that it owns or operates and has not received any written notice or claim it is liable for any off-site disposal or contamination pursuant to any Environmental Laws, which violation, release, notice, claim, or liability would reasonably be expected, individually or in the aggregate, to have a Material Adverse Effect, and to the Company’s Knowledge, there is no pending or threatened investigation that would reasonably be expected to lead to such a claim.</w:t>
      </w:r>
    </w:p>
    <w:p>
      <w:pPr>
        <w:spacing w:after="0" w:line="18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are no legal, governmental or regulatory investigations, actions, suits or proceedings pending to which the Company or its subsidiaries are or may reasonably be expected to become a party or to which any property of the Company or its subsidiaries are or may reasonably be expected to become the subject that, individually or in the aggregate, would reasonably be expected to have a Material Adverse Effect and, to the Company’s knowledge, no such investigations, actions, suits or proceedings are threatened or contemplated by governmental authorities or threatened by others.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in each SEC Filing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the Company as of the dates shown and its consolidated results of operations and cash flows for the periods shown, subject in the case of unaudited financial statements to normal, immaterial year-end audit adjustments, and such consolidated financial statements have been prepared in conformity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disclosed therein or in the notes thereto, and except that the unaudited financial statements may not contain all footnotes required by GAAP, and, in the case of quarterly financial statements, except as permitted by Form 10-Q under the 1934 Act). Except as set forth in the financial statements of the Company included in the SEC Filings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36" w:name="page37"/>
    <w:bookmarkEnd w:id="36"/>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4.18. </w:t>
      </w:r>
      <w:r>
        <w:rPr>
          <w:rFonts w:ascii="Times New Roman" w:cs="Times New Roman" w:eastAsia="Times New Roman" w:hAnsi="Times New Roman"/>
          <w:sz w:val="18"/>
          <w:szCs w:val="18"/>
          <w:u w:val="single" w:color="auto"/>
          <w:color w:val="auto"/>
        </w:rPr>
        <w:t>Insurance Coverage</w:t>
      </w:r>
      <w:r>
        <w:rPr>
          <w:rFonts w:ascii="Times New Roman" w:cs="Times New Roman" w:eastAsia="Times New Roman" w:hAnsi="Times New Roman"/>
          <w:sz w:val="18"/>
          <w:szCs w:val="18"/>
          <w:color w:val="auto"/>
        </w:rPr>
        <w:t>. The Company maintains in full force and effect insurance coverage that is customary for comparably situated companies for the business being conducted and properties owned or leased by the Company, and the Company reasonably believes such insurance coverage to be adequate against all liabilities, claims and risks against which it is customary for comparably situated companies to insure.</w:t>
      </w:r>
    </w:p>
    <w:p>
      <w:pPr>
        <w:spacing w:after="0" w:line="176"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Compliance with Nasdaq Continued Listing Requirements</w:t>
      </w:r>
      <w:r>
        <w:rPr>
          <w:rFonts w:ascii="Times New Roman" w:cs="Times New Roman" w:eastAsia="Times New Roman" w:hAnsi="Times New Roman"/>
          <w:sz w:val="18"/>
          <w:szCs w:val="18"/>
          <w:color w:val="auto"/>
        </w:rPr>
        <w:t>. 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w:t>
      </w:r>
    </w:p>
    <w:p>
      <w:pPr>
        <w:spacing w:after="0" w:line="180" w:lineRule="exact"/>
        <w:rPr>
          <w:sz w:val="20"/>
          <w:szCs w:val="20"/>
          <w:color w:val="auto"/>
        </w:rPr>
      </w:pPr>
    </w:p>
    <w:p>
      <w:pPr>
        <w:ind w:left="4" w:right="180" w:firstLine="991"/>
        <w:spacing w:after="0" w:line="277" w:lineRule="auto"/>
        <w:rPr>
          <w:sz w:val="20"/>
          <w:szCs w:val="20"/>
          <w:color w:val="auto"/>
        </w:rPr>
      </w:pPr>
      <w:r>
        <w:rPr>
          <w:rFonts w:ascii="Times New Roman" w:cs="Times New Roman" w:eastAsia="Times New Roman" w:hAnsi="Times New Roman"/>
          <w:sz w:val="17"/>
          <w:szCs w:val="17"/>
          <w:color w:val="auto"/>
        </w:rPr>
        <w:t xml:space="preserve">4.20. </w:t>
      </w:r>
      <w:r>
        <w:rPr>
          <w:rFonts w:ascii="Times New Roman" w:cs="Times New Roman" w:eastAsia="Times New Roman" w:hAnsi="Times New Roman"/>
          <w:sz w:val="17"/>
          <w:szCs w:val="17"/>
          <w:u w:val="single" w:color="auto"/>
          <w:color w:val="auto"/>
        </w:rPr>
        <w:t>Brokers and Finders</w:t>
      </w:r>
      <w:r>
        <w:rPr>
          <w:rFonts w:ascii="Times New Roman" w:cs="Times New Roman" w:eastAsia="Times New Roman" w:hAnsi="Times New Roman"/>
          <w:sz w:val="17"/>
          <w:szCs w:val="17"/>
          <w:color w:val="auto"/>
        </w:rPr>
        <w:t>. Other than the Placement Agents,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the Company. No Investor shall have any obligation with respect to any fees, or with respect to any claims made by or on behalf of other Persons for fees, in each case of the type contemplated by this Section 4.20 that may be due in connection with the transactions contemplated by this Agreement or the other Transaction Documents.</w:t>
      </w:r>
    </w:p>
    <w:p>
      <w:pPr>
        <w:spacing w:after="0" w:line="168"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No Directed Selling Efforts or General Solicitation</w:t>
      </w:r>
      <w:r>
        <w:rPr>
          <w:rFonts w:ascii="Times New Roman" w:cs="Times New Roman" w:eastAsia="Times New Roman" w:hAnsi="Times New Roman"/>
          <w:sz w:val="18"/>
          <w:szCs w:val="18"/>
          <w:color w:val="auto"/>
        </w:rPr>
        <w:t>. Neither the Company nor any Person acting on its behalf has conducted any general solicitation or general advertising (as those terms are used in Regulation D as promulgated by the SEC under the 1933 Act) in connection with the offer or sale of any of the Placement Securities.</w:t>
      </w:r>
    </w:p>
    <w:p>
      <w:pPr>
        <w:spacing w:after="0" w:line="176"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Neither the Company nor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or would require registration of the Placement Securities under the 1933 Act.</w:t>
      </w:r>
    </w:p>
    <w:p>
      <w:pPr>
        <w:spacing w:after="0" w:line="180"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representations and warranties of the Investors set forth in Section 5, the offer and sale of the Placement Securities to the Investors as contemplated hereby is exempt from the registration requirements of the 1933 Act. The issuance and sale of the Placement Securities does not contravene the rules and regulations of Nasdaq.</w:t>
      </w:r>
    </w:p>
    <w:p>
      <w:pPr>
        <w:spacing w:after="0" w:line="176"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Questionable Payments</w:t>
      </w:r>
      <w:r>
        <w:rPr>
          <w:rFonts w:ascii="Times New Roman" w:cs="Times New Roman" w:eastAsia="Times New Roman" w:hAnsi="Times New Roman"/>
          <w:sz w:val="18"/>
          <w:szCs w:val="18"/>
          <w:color w:val="auto"/>
        </w:rPr>
        <w:t>. Neither the Company nor its subsidiaries nor, to the Company’s Knowledge, any of their current or former directors, officers, employees, agents or other Persons acting on behalf of the Company or its subsidiaries, has on behalf of the Company or its subsidiaries in connection with their business: (a) used any corporate funds for unlawful contributions, gifts, entertainment or other unlawful expenses relating to political activity; (b) made any direct or indirect unlawful payments to any governmental officials or employees from corporate funds;</w:t>
      </w:r>
    </w:p>
    <w:p>
      <w:pPr>
        <w:spacing w:after="0" w:line="3" w:lineRule="exact"/>
        <w:rPr>
          <w:sz w:val="20"/>
          <w:szCs w:val="20"/>
          <w:color w:val="auto"/>
        </w:rPr>
      </w:pPr>
    </w:p>
    <w:p>
      <w:pPr>
        <w:ind w:left="4" w:right="220" w:hanging="4"/>
        <w:spacing w:after="0" w:line="255" w:lineRule="auto"/>
        <w:tabs>
          <w:tab w:leader="none" w:pos="2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or maintained any unlawful or unrecorded fund of corporate monies or other assets which is in violation of law; (d) made any false or fictitious entries on the books and records of the Company; or (e) made any unlawful bribe, rebate, payoff, influence payment, kickback or other unlawful payment of any nature.</w:t>
      </w:r>
    </w:p>
    <w:p>
      <w:pPr>
        <w:spacing w:after="0" w:line="11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4"/>
          </w:cols>
          <w:pgMar w:left="436" w:top="270" w:right="539" w:bottom="1440" w:gutter="0" w:footer="0" w:header="0"/>
        </w:sectPr>
      </w:pPr>
    </w:p>
    <w:bookmarkStart w:id="37" w:name="page38"/>
    <w:bookmarkEnd w:id="37"/>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4.25.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None of the executive officers or directors of the Company and, to the Company’s Knowledge, none of the employees of the Company is presently a party to any transaction with the Company (other than as holders of stock options, restricted stock units, warrants and/or restricted stock, and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Company’s Knowledge, any entity in which any officer, director, or any such employee has a substantial interest or is an officer, director, trustee or partner.</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1934 Act), which (a) are designed to ensure that material information relating to the Company, including its subsidiaries, is made known to the Company’s principal executive officer and its principal financial officer by others within those entities, (b) have been evaluated by management of the Company for effectiveness as of the end of the Company’s most recent fiscal quarter; and (c) are effective in all material respects to perform the functions for which they were established. Since the end of the Company’s most recent audited fiscal year, there have been no material weaknesses in the Company’s internal control over financial reporting (whether or not remediated) and no change in the Company’s internal control over financial reporting that has materially affected, or would reasonably be expected to materially affect, the Company’s internal control over financial reporting. The Company is not aware of any change in its internal controls over financial reporting that has occurred during its most recent fiscal quarter that has materially affected, or would reasonably be expected to materially affect, the Company’s internal control over financial reporting.</w:t>
      </w:r>
    </w:p>
    <w:p>
      <w:pPr>
        <w:spacing w:after="0" w:line="188"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Disclosures</w:t>
      </w:r>
      <w:r>
        <w:rPr>
          <w:rFonts w:ascii="Times New Roman" w:cs="Times New Roman" w:eastAsia="Times New Roman" w:hAnsi="Times New Roman"/>
          <w:sz w:val="18"/>
          <w:szCs w:val="18"/>
          <w:color w:val="auto"/>
        </w:rPr>
        <w:t>. Neither the Company nor any Person acting on its behalf has provided the Investors or their agents or counsel with any information that constitutes or would reasonably be expected to constitute material non-public information concerning the Company or its subsidiaries, other than (A) with respect to the transactions contemplated hereby, which will be disclosed in the Press Release (as defined below), and (B) as set forth on the Disclosure Schedule. The SEC Filings do not contain any untrue statement of a material fact or omit to state a material fact necessary in order to make the statements contained therein, in light of the circumstances under which they were made, not misleading. The Company understands and confirms that the Investors will rely on the foregoing representations in effecting transactions in securities of the Company.</w:t>
      </w:r>
    </w:p>
    <w:p>
      <w:pPr>
        <w:spacing w:after="0" w:line="18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Required Filings</w:t>
      </w:r>
      <w:r>
        <w:rPr>
          <w:rFonts w:ascii="Times New Roman" w:cs="Times New Roman" w:eastAsia="Times New Roman" w:hAnsi="Times New Roman"/>
          <w:sz w:val="18"/>
          <w:szCs w:val="18"/>
          <w:color w:val="auto"/>
        </w:rPr>
        <w:t>. Except for the transactions contemplated by this Agreement, including the acquisition of the Placement Securities contemplated hereby, no event or circumstance has occurred or information exists with respect to the Company or its business, properties, operations or financial condition, which, under applicable law, rule or regulation, requires public disclosure or announcement by the Company but which has not been so publicly announced or disclosed (assuming for this purpose that the SEC Filings are being incorporated by reference into an effective registration statement filed by the Company under the 1933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8" w:name="page39"/>
    <w:bookmarkEnd w:id="38"/>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4.29.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required to be registered as, and immediately following the Closing will not be required to register as, an “investment company” within the meaning of the Investment Company Act of 1940, as amended.</w:t>
      </w:r>
    </w:p>
    <w:p>
      <w:pPr>
        <w:spacing w:after="0" w:line="162"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u w:val="single" w:color="auto"/>
          <w:color w:val="auto"/>
        </w:rPr>
        <w:t>Preclinical and Clinical Trials</w:t>
      </w:r>
      <w:r>
        <w:rPr>
          <w:rFonts w:ascii="Times New Roman" w:cs="Times New Roman" w:eastAsia="Times New Roman" w:hAnsi="Times New Roman"/>
          <w:sz w:val="18"/>
          <w:szCs w:val="18"/>
          <w:color w:val="auto"/>
        </w:rPr>
        <w:t>. The preclinical studies and clinical trials that are described in the SEC Filings were and, if still pending, are being, conducted (in the case of those conducted on behalf of the Company, to the Company’s knowledge) in all material respects in accordance with the protocols submitted, if any, to the U.S. Food and Drug Administration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any foreign governmental body exercising comparable authority, procedures and controls pursuant to, where applicable, accepted professional and scientific standards, and all applicable laws and regulations; except as set forth in the Disclosure Schedule, the descriptions of the preclinical studies and clinical trials conducted by or, to the Company’s knowledge, on behalf of the Company, and the results thereof, contained in the SEC Filings are accurate and complete in all material respects; the Company is not aware of any other preclinical studies or clinical trials, the results of which reasonably call into question the results described in the SEC Filings; and the Company has not received any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 that are material to the Company or that are related to any material product candidate of the Company, other than ordinary course communications with respect to modifications in connection with the design and/or implementation of such trials.</w:t>
      </w:r>
    </w:p>
    <w:p>
      <w:pPr>
        <w:spacing w:after="0" w:line="190" w:lineRule="exact"/>
        <w:rPr>
          <w:sz w:val="20"/>
          <w:szCs w:val="20"/>
          <w:color w:val="auto"/>
        </w:rPr>
      </w:pPr>
    </w:p>
    <w:p>
      <w:pPr>
        <w:ind w:left="4"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The Company has not taken, and, to the Company’s Knowledge, no Person acting on its behalf has taken, directly or indirectly, any action designed to cause or to result in the stabilization or manipulation of the price of any security of the Company to facilitate the sale or resale of any of the Securities.</w:t>
      </w:r>
    </w:p>
    <w:p>
      <w:pPr>
        <w:spacing w:after="0" w:line="176" w:lineRule="exact"/>
        <w:rPr>
          <w:sz w:val="20"/>
          <w:szCs w:val="20"/>
          <w:color w:val="auto"/>
        </w:rPr>
      </w:pPr>
    </w:p>
    <w:p>
      <w:pPr>
        <w:ind w:left="4" w:firstLine="991"/>
        <w:spacing w:after="0" w:line="276" w:lineRule="auto"/>
        <w:rPr>
          <w:sz w:val="20"/>
          <w:szCs w:val="20"/>
          <w:color w:val="auto"/>
        </w:rPr>
      </w:pPr>
      <w:r>
        <w:rPr>
          <w:rFonts w:ascii="Times New Roman" w:cs="Times New Roman" w:eastAsia="Times New Roman" w:hAnsi="Times New Roman"/>
          <w:sz w:val="17"/>
          <w:szCs w:val="17"/>
          <w:color w:val="auto"/>
        </w:rPr>
        <w:t xml:space="preserve">4.32. </w:t>
      </w:r>
      <w:r>
        <w:rPr>
          <w:rFonts w:ascii="Times New Roman" w:cs="Times New Roman" w:eastAsia="Times New Roman" w:hAnsi="Times New Roman"/>
          <w:sz w:val="17"/>
          <w:szCs w:val="17"/>
          <w:u w:val="single" w:color="auto"/>
          <w:color w:val="auto"/>
        </w:rPr>
        <w:t>Anti-Bribery and Anti-Money Laundering Laws</w:t>
      </w:r>
      <w:r>
        <w:rPr>
          <w:rFonts w:ascii="Times New Roman" w:cs="Times New Roman" w:eastAsia="Times New Roman" w:hAnsi="Times New Roman"/>
          <w:sz w:val="17"/>
          <w:szCs w:val="17"/>
          <w:color w:val="auto"/>
        </w:rPr>
        <w:t>. Each of the Company, its subsidiaries and any of their respective officers, directors, supervisors, managers, agents, or employees are and have at all times been in compliance with and its participation in the offering will not violate:</w:t>
      </w:r>
    </w:p>
    <w:p>
      <w:pPr>
        <w:spacing w:after="0" w:line="1" w:lineRule="exact"/>
        <w:rPr>
          <w:sz w:val="20"/>
          <w:szCs w:val="20"/>
          <w:color w:val="auto"/>
        </w:rPr>
      </w:pPr>
    </w:p>
    <w:p>
      <w:pPr>
        <w:ind w:left="4" w:right="40" w:hanging="4"/>
        <w:spacing w:after="0" w:line="251" w:lineRule="auto"/>
        <w:tabs>
          <w:tab w:leader="none" w:pos="2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39" w:name="page40"/>
    <w:bookmarkEnd w:id="39"/>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4.33.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Except as set forth on the Disclosure Schedule, the Company has no other agreements or understandings (including, without limitation, side letters) with any Investor to purchase Placement Securities on terms more favorable to such Investor than as set forth herein.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Rule 144(i)(1).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u w:val="single" w:color="auto"/>
          <w:color w:val="auto"/>
        </w:rPr>
        <w:t>Representations and Warranties of the Investors</w:t>
      </w:r>
      <w:r>
        <w:rPr>
          <w:rFonts w:ascii="Times New Roman" w:cs="Times New Roman" w:eastAsia="Times New Roman" w:hAnsi="Times New Roman"/>
          <w:sz w:val="17"/>
          <w:szCs w:val="17"/>
          <w:color w:val="auto"/>
        </w:rPr>
        <w:t>. Each of the Investors hereby severally, and not jointly, represents and warrants to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and Existence</w:t>
      </w:r>
      <w:r>
        <w:rPr>
          <w:rFonts w:ascii="Times New Roman" w:cs="Times New Roman" w:eastAsia="Times New Roman" w:hAnsi="Times New Roman"/>
          <w:sz w:val="18"/>
          <w:szCs w:val="18"/>
          <w:color w:val="auto"/>
        </w:rPr>
        <w:t>. Such Investor is a duly incorporated or organized and validly existing corporation, limited partnership, limited liability company or other legal entity, has all requisite corporate, partnership or limited liability company power and authority to enter into and consummate the transactions contemplated by the Transaction Documents and to carry out its obligations hereunder and thereunder, and to invest in the Securities pursuant to this Agreement, and is in good standing under the laws of the jurisdiction of its incorporation or organization.</w:t>
      </w:r>
    </w:p>
    <w:p>
      <w:pPr>
        <w:spacing w:after="0" w:line="180"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 The execution, delivery and performance by such Investor of the Transaction Documents to which such Investor is a party have been duly authorized and each has been duly executed and when delivered will constitute the valid and legally binding obligation of such Investor, enforceable against such Investor in accordance with their respective terms, subject to bankruptcy, insolvency, fraudulent transfer, reorganization, moratorium and similar laws of general applicability, relating to or affecting creditors’ rights generally, and general principles of equity.</w:t>
      </w:r>
    </w:p>
    <w:p>
      <w:pPr>
        <w:spacing w:after="0" w:line="16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The Securities to be received by such Investor hereunder will be acquired for such Investor’s own account, not as nominee or agent, for the purpose of investment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Securities in compliance with applicable federal and state securities laws. The Placement Securities are being purchased by such Investor in the ordinary course of its business. Nothing contained herein shall be deemed a representation or warranty by such Investor to hold the Securities for any period of time. Such Investor is not a broker-dealer registered with the SEC under the 1934 Act or an entity engaged in a business that would require it to be so registered.</w:t>
      </w:r>
    </w:p>
    <w:p>
      <w:pPr>
        <w:spacing w:after="0" w:line="189"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Such Investor acknowledges that it can bear the economic risk and complete loss of its investment in the Securities and has such knowledge and experience in financial or business matters that it is capable of evaluating the merits and risks of the investment contemplated 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0" w:name="page41"/>
    <w:bookmarkEnd w:id="40"/>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Such Investor has had an opportunity to receive, review and understand all information related to the Company requested by it and to ask questions of and receive answers from the Company regarding the Company, its business and the terms and conditions of the offering of the Securities, and has conducted and completed its own independent due diligence. Such Investor acknowledges that copies of the SEC Filings are available on the EDGAR system. Based on the information such Investor has deemed appropriate, and without reliance upon any Placement Agent or its respective Affiliates, it has independently made its own analysis and decision to enter into the Transaction Documents. Such Investor is relying exclusively on its own investment analysis and due diligence (including professional advice it deems appropriate) with respect to the execution, delivery and performance of the Transaction Documents, the Securities and the business, condition (financial and otherwise), management, operations, properties and prospects of the Company, including but not limited to all business, legal, regulatory, accounting, credit and tax matters. Such Investor has not relied on any advice furnished by or on behalf of the Placement Agents or their respective Affiliates in connection with the transactions contemplated hereby. Neither such inquiries nor any other due diligence investigation conducted by such Investor shall modify, limit or otherwise affect such Investor’s right to rely on the Company’s representations and warranties contained in this Agreement.</w:t>
      </w:r>
    </w:p>
    <w:p>
      <w:pPr>
        <w:spacing w:after="0" w:line="19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Such Investor understands that the Securities are characterized as “restricted securities” under the U.S. federal securities laws inasmuch as they are being acquired from the Company in a transaction not involving a public offering and have not been registered under the 1933 Act or any state securities law in reliance on the availability of an exemption from such registration and that under such laws and applicable regulations such securities may be resold without registration under the 1933 Act only in certain limited circumstances.</w:t>
      </w:r>
    </w:p>
    <w:p>
      <w:pPr>
        <w:spacing w:after="0" w:line="180"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It is understood that, except as provided below, certificates or book-entry records evidencing the Securities may bear the following or any similar legend:</w:t>
      </w:r>
    </w:p>
    <w:p>
      <w:pPr>
        <w:spacing w:after="0" w:line="54" w:lineRule="exact"/>
        <w:rPr>
          <w:sz w:val="20"/>
          <w:szCs w:val="20"/>
          <w:color w:val="auto"/>
        </w:rPr>
      </w:pPr>
    </w:p>
    <w:p>
      <w:pPr>
        <w:ind w:firstLine="987"/>
        <w:spacing w:after="0" w:line="255"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represented hereby and the securities issuable upon exercise of these securities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(iii) 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authorities of any state in connection with the issuance or sale of the Securities, the legend required by such state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20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Such Investor is an institutional “accredited investor” as defined in Rule 501(a)(1), (2), (3) or (7) under the 1933 Act or a “qualified institutional buyer” within the meaning of Rule 144A under the 1933 Act. Such investor is a sophisticated “institutional account” as defined in FINRA Rule 4512(c), with sufficient knowledge and experience in investing in private equity transactions to properly evaluate the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41" w:name="page42"/>
    <w:bookmarkEnd w:id="41"/>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and merits of its purchase of the Securities. Such Investor has determined based on its own independent review, analysis and such professional advice as it deems appropriate that its purchase of the Securities and participation in the transactions contemplated by the Transaction Documents (i) are fully consistent with its financial needs, objectives and condition, (ii) comply and are fully consistent with all investment policies, guidelines and other restrictions applicable to such Investor, (iii) have been duly authorized and approved by all necessary action, (iv) do not and will not violate or constitute a default under such Investor’s charter, bylaws or other constituent document or under any law, rule, regulation, agreement or other obligation by which such Investor is bound and (v) are a fit, proper and suitable investment for such Investor, notwithstanding the substantial risks inherent in investing in or holding the Securities.</w:t>
      </w:r>
    </w:p>
    <w:p>
      <w:pPr>
        <w:spacing w:after="0" w:line="189"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Such Investor hereby acknowledges and agrees that (a) each of the Placement Agents is acting solely as placement agent in connection with the execution, delivery and performance of the Transaction Documents and is not acting as an underwriter, initial purchaser, dealer or in any other such capacity and is not and shall not be construed as a fiduciary for such Investor, the Company or any other person or entity in connection with the execution, delivery and performance of the Transaction Documents, (b) it is not relying upon, and has not relied upon, any statement, representation or warranty made by either Placement Agent, any of their respective affiliates or any of their control persons, officers, directors and employees, in making its investment or decision to invest in the Company, (c) no Placement Agent has made or will make any representation or warranty, whether express or implied, of any kind or character, or has provided any advice or recommendation in connection with the execution, delivery and performance of the Transaction Documents, (d) no Placement Agent will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 and (e) no Placement Agent will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any action heretofore or hereafter taken or omitted to be taken by any of them in connection with any Investor’s purchase of the Placement Securities or the execution, delivery and performance of the Transaction Documents.</w:t>
      </w:r>
    </w:p>
    <w:p>
      <w:pPr>
        <w:spacing w:after="0" w:line="19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Such Investor did not learn of the investment in the Securities as a result of any general or public 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such Investor was invited by any of the foregoing means of communications.</w:t>
      </w:r>
    </w:p>
    <w:p>
      <w:pPr>
        <w:spacing w:after="0" w:line="180"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42" w:name="page43"/>
    <w:bookmarkEnd w:id="42"/>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5.12. </w:t>
      </w:r>
      <w:r>
        <w:rPr>
          <w:rFonts w:ascii="Times New Roman" w:cs="Times New Roman" w:eastAsia="Times New Roman" w:hAnsi="Times New Roman"/>
          <w:sz w:val="18"/>
          <w:szCs w:val="18"/>
          <w:u w:val="single" w:color="auto"/>
          <w:color w:val="auto"/>
        </w:rPr>
        <w:t>Short Sales and Confidentiality Prior to the Date Hereof</w:t>
      </w:r>
      <w:r>
        <w:rPr>
          <w:rFonts w:ascii="Times New Roman" w:cs="Times New Roman" w:eastAsia="Times New Roman" w:hAnsi="Times New Roman"/>
          <w:sz w:val="18"/>
          <w:szCs w:val="18"/>
          <w:color w:val="auto"/>
        </w:rPr>
        <w:t>. Other than consummating the transactions contemplated hereunder,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a Placement Agent or any other Person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Securities covered by this Agreement. Other than to other Persons party to this Agreement and other than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7"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 Government Recommendation or Approval</w:t>
      </w:r>
      <w:r>
        <w:rPr>
          <w:rFonts w:ascii="Times New Roman" w:cs="Times New Roman" w:eastAsia="Times New Roman" w:hAnsi="Times New Roman"/>
          <w:sz w:val="18"/>
          <w:szCs w:val="18"/>
          <w:color w:val="auto"/>
        </w:rPr>
        <w:t>. Such Investor understands that no United States federal or state agency, or similar agency of any other country, has reviewed, approved, passed upon, or made any recommendation or endorsement of the Company or the purchase of the Securities.</w:t>
      </w:r>
    </w:p>
    <w:p>
      <w:pPr>
        <w:spacing w:after="0" w:line="176"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No Intent to Effect a Change of Control</w:t>
      </w:r>
      <w:r>
        <w:rPr>
          <w:rFonts w:ascii="Times New Roman" w:cs="Times New Roman" w:eastAsia="Times New Roman" w:hAnsi="Times New Roman"/>
          <w:sz w:val="18"/>
          <w:szCs w:val="18"/>
          <w:color w:val="auto"/>
        </w:rPr>
        <w:t>. Such Investor has no present intent to effect a “change of control” of the Company as such term is understood under the rules promulgated pursuant to Section 13(d) of the 1934 Act.</w:t>
      </w:r>
    </w:p>
    <w:p>
      <w:pPr>
        <w:spacing w:after="0" w:line="162" w:lineRule="exact"/>
        <w:rPr>
          <w:sz w:val="20"/>
          <w:szCs w:val="20"/>
          <w:color w:val="auto"/>
        </w:rPr>
      </w:pPr>
    </w:p>
    <w:p>
      <w:pPr>
        <w:jc w:val="both"/>
        <w:ind w:left="4" w:right="160" w:firstLine="991"/>
        <w:spacing w:after="0" w:line="312"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u w:val="single" w:color="auto"/>
          <w:color w:val="auto"/>
        </w:rPr>
        <w:t>Residency</w:t>
      </w:r>
      <w:r>
        <w:rPr>
          <w:rFonts w:ascii="Times New Roman" w:cs="Times New Roman" w:eastAsia="Times New Roman" w:hAnsi="Times New Roman"/>
          <w:sz w:val="17"/>
          <w:szCs w:val="17"/>
          <w:color w:val="auto"/>
        </w:rPr>
        <w:t>. Such Investor’s office in which its investment decision with respect to the Securities was made is located at the address immediately below such Investor’s name on its signature page hereto, except as otherwise communicated in writing by such Investor to the Company.</w:t>
      </w:r>
    </w:p>
    <w:p>
      <w:pPr>
        <w:spacing w:after="0" w:line="140" w:lineRule="exact"/>
        <w:rPr>
          <w:sz w:val="20"/>
          <w:szCs w:val="20"/>
          <w:color w:val="auto"/>
        </w:rPr>
      </w:pPr>
    </w:p>
    <w:p>
      <w:pPr>
        <w:ind w:left="4" w:right="200" w:firstLine="991"/>
        <w:spacing w:after="0" w:line="276" w:lineRule="auto"/>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such Investor of the Transaction Documents and the consummation by such Investor of the transactions contemplated hereby and thereby will not (i) result in a violation of the organizational documents of such Investor or</w:t>
      </w:r>
    </w:p>
    <w:p>
      <w:pPr>
        <w:spacing w:after="0" w:line="1" w:lineRule="exact"/>
        <w:rPr>
          <w:sz w:val="20"/>
          <w:szCs w:val="20"/>
          <w:color w:val="auto"/>
        </w:rPr>
      </w:pPr>
    </w:p>
    <w:p>
      <w:pPr>
        <w:ind w:left="4" w:right="20" w:hanging="4"/>
        <w:spacing w:after="0" w:line="253" w:lineRule="auto"/>
        <w:tabs>
          <w:tab w:leader="none" w:pos="2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43" w:name="page44"/>
    <w:bookmarkEnd w:id="43"/>
    <w:p>
      <w:pPr>
        <w:ind w:left="620" w:hanging="184"/>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Investors’ Obligations</w:t>
      </w:r>
      <w:r>
        <w:rPr>
          <w:rFonts w:ascii="Times New Roman" w:cs="Times New Roman" w:eastAsia="Times New Roman" w:hAnsi="Times New Roman"/>
          <w:sz w:val="18"/>
          <w:szCs w:val="18"/>
          <w:color w:val="auto"/>
        </w:rPr>
        <w:t>. The obligation of each Investor to purchase Placement Securities at the Closing is subject to the fulfillment to such Investor’s satisfaction, on or prior to the Closing Date, of the following conditions, any of which may be waived by such Investor (as to itself only):</w:t>
      </w:r>
    </w:p>
    <w:p>
      <w:pPr>
        <w:spacing w:after="0" w:line="68" w:lineRule="exact"/>
        <w:rPr>
          <w:sz w:val="20"/>
          <w:szCs w:val="20"/>
          <w:color w:val="auto"/>
        </w:rPr>
      </w:pPr>
    </w:p>
    <w:p>
      <w:pPr>
        <w:jc w:val="both"/>
        <w:ind w:right="100" w:firstLine="987"/>
        <w:spacing w:after="0" w:line="277" w:lineRule="auto"/>
        <w:tabs>
          <w:tab w:leader="none" w:pos="12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the Company in Section 4 hereof shall be true and correct in all material respects, except for those representation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The Company shall have performed in all material respects all obligations and covenants herein required to be performed by it on or prior to the Closing Date.</w:t>
      </w:r>
    </w:p>
    <w:p>
      <w:pPr>
        <w:spacing w:after="0" w:line="167" w:lineRule="exact"/>
        <w:rPr>
          <w:rFonts w:ascii="Times New Roman" w:cs="Times New Roman" w:eastAsia="Times New Roman" w:hAnsi="Times New Roman"/>
          <w:sz w:val="17"/>
          <w:szCs w:val="17"/>
          <w:color w:val="auto"/>
        </w:rPr>
      </w:pPr>
    </w:p>
    <w:p>
      <w:pPr>
        <w:jc w:val="both"/>
        <w:ind w:right="80" w:firstLine="987"/>
        <w:spacing w:after="0" w:line="266"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any and all consents, permits, approvals, registrations and waivers necessary for the consummation of the purchase and sale of the Placement Securities and the consummation of the other transactions contemplated by the Transaction Documents, all of which shall be in full force and effect.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the Registration Rights Agreement.</w:t>
      </w:r>
    </w:p>
    <w:p>
      <w:pPr>
        <w:spacing w:after="0" w:line="225"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with Nasdaq a Listing of Additional Shares notice form for the listing of the Shares and the Warrant Shares and shall not have received any objection to such notice from Nasdaq.</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75" w:lineRule="exact"/>
        <w:rPr>
          <w:rFonts w:ascii="Times New Roman" w:cs="Times New Roman" w:eastAsia="Times New Roman" w:hAnsi="Times New Roman"/>
          <w:sz w:val="18"/>
          <w:szCs w:val="18"/>
          <w:color w:val="auto"/>
        </w:rPr>
      </w:pPr>
    </w:p>
    <w:p>
      <w:pPr>
        <w:ind w:right="160" w:firstLine="987"/>
        <w:spacing w:after="0" w:line="266" w:lineRule="auto"/>
        <w:tabs>
          <w:tab w:leader="none" w:pos="12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executed on behalf of the Company by its Chief Executive Officer or its Chief Financial Officer, dated as of the Closing Date, certifying to the fulfillment of the conditions specified in subsections (a), (b), (d), (e), (i) and (j) of this Section 6.1.</w:t>
      </w:r>
    </w:p>
    <w:p>
      <w:pPr>
        <w:spacing w:after="0" w:line="175" w:lineRule="exact"/>
        <w:rPr>
          <w:rFonts w:ascii="Times New Roman" w:cs="Times New Roman" w:eastAsia="Times New Roman" w:hAnsi="Times New Roman"/>
          <w:sz w:val="18"/>
          <w:szCs w:val="18"/>
          <w:color w:val="auto"/>
        </w:rPr>
      </w:pPr>
    </w:p>
    <w:p>
      <w:pPr>
        <w:ind w:right="220" w:firstLine="987"/>
        <w:spacing w:after="0" w:line="258"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executed on behalf of the Company by its Secretary, dated as of the Closing Date, certifying the resolutions adopted by the Board of Directors of the Company approving the transactions contemplated by this Agreement, the other Transaction Documents and the issuance of the Placement Securities, certifying the current versions of the Certificate of Incorporation and Bylaws of the Company and certifying as to the signatures and authority of persons signing the Transaction Documents and related documents on behalf of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44" w:name="page45"/>
    <w:bookmarkEnd w:id="44"/>
    <w:p>
      <w:pPr>
        <w:ind w:firstLine="987"/>
        <w:spacing w:after="0" w:line="282"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Investors shall have received an opinion from Wilmer Cutler Pickering Hale and Dorr LLP, the Company’s counsel, dated as of the Closing Date, in form and substance reasonably acceptable to the Investors.</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suspension of trading shall have been imposed by Nasdaq, the SEC or any other governmental or regulatory body with respect to public trading in the Common Stock.</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shall have been executed by each executive officer and director of the Company, and each such Lock-Up Agreement shall be in full force and effect on the Closing Date.</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Company’s obligation to sell and issue the Placement Securities at the Closing is subject to the fulfillment to the satisfaction of the Company on or prior to the Closing Date of the following conditions, any of which may be waived by the Company:</w:t>
      </w:r>
    </w:p>
    <w:p>
      <w:pPr>
        <w:spacing w:after="0" w:line="68" w:lineRule="exact"/>
        <w:rPr>
          <w:sz w:val="20"/>
          <w:szCs w:val="20"/>
          <w:color w:val="auto"/>
        </w:rPr>
      </w:pPr>
    </w:p>
    <w:p>
      <w:pPr>
        <w:jc w:val="both"/>
        <w:ind w:right="20" w:firstLine="987"/>
        <w:spacing w:after="0" w:line="281" w:lineRule="auto"/>
        <w:tabs>
          <w:tab w:leader="none" w:pos="12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the Investors in Section 5 hereof shall be true and correct in all material respects, except for those representation and warranties qualified by materiality or material adverse effect, which shall be true and correct in all respects, as of the date hereof, and shall be true and correct as of the Closing Date with the same force and effect as if they had been made on and as of such date. The Investors shall have performed in all material respects all obligations and covenants herein required to be performed by them on or prior to the Closing Date.</w:t>
      </w:r>
    </w:p>
    <w:p>
      <w:pPr>
        <w:spacing w:after="0" w:line="164"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shall have executed and delivered the Registration Rights Agreement.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Investor purchasing Placement Securities at the Closing shall have paid in full its purchase price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Termination of Obligations to Effect Closing; Effects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on the one hand, and the Investors, on the other hand, to effect the Closing shall terminate as follows:</w:t>
      </w:r>
    </w:p>
    <w:p>
      <w:pPr>
        <w:spacing w:after="0" w:line="117" w:lineRule="exact"/>
        <w:rPr>
          <w:rFonts w:ascii="Times New Roman" w:cs="Times New Roman" w:eastAsia="Times New Roman" w:hAnsi="Times New Roman"/>
          <w:sz w:val="18"/>
          <w:szCs w:val="18"/>
          <w:color w:val="auto"/>
        </w:rPr>
      </w:pPr>
    </w:p>
    <w:p>
      <w:pPr>
        <w:ind w:right="100" w:firstLine="1428"/>
        <w:spacing w:after="0" w:line="282" w:lineRule="auto"/>
        <w:tabs>
          <w:tab w:leader="none" w:pos="164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the Company and Investors that agreed to purchase a majority of the Placement Securities to be issued and sold pursuant to this Agreement;</w:t>
      </w:r>
    </w:p>
    <w:p>
      <w:pPr>
        <w:spacing w:after="0" w:line="161" w:lineRule="exact"/>
        <w:rPr>
          <w:rFonts w:ascii="Times New Roman" w:cs="Times New Roman" w:eastAsia="Times New Roman" w:hAnsi="Times New Roman"/>
          <w:sz w:val="18"/>
          <w:szCs w:val="18"/>
          <w:color w:val="auto"/>
        </w:rPr>
      </w:pPr>
    </w:p>
    <w:p>
      <w:pPr>
        <w:ind w:right="180" w:firstLine="1428"/>
        <w:spacing w:after="0" w:line="282" w:lineRule="auto"/>
        <w:tabs>
          <w:tab w:leader="none" w:pos="16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any of the conditions set forth in Section 6.2 shall have become incapable of fulfillment, and shall not have been waived by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5" w:name="page46"/>
    <w:bookmarkEnd w:id="45"/>
    <w:p>
      <w:pPr>
        <w:ind w:left="4" w:right="480" w:firstLine="1428"/>
        <w:spacing w:after="0" w:line="282" w:lineRule="auto"/>
        <w:tabs>
          <w:tab w:leader="none" w:pos="17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an Investor (with respect to itself only) if any of the conditions set forth in Section 6.1 shall have become incapable of fulfillment, and shall not have been waived by such Investor; or</w:t>
      </w:r>
    </w:p>
    <w:p>
      <w:pPr>
        <w:spacing w:after="0" w:line="161" w:lineRule="exact"/>
        <w:rPr>
          <w:rFonts w:ascii="Times New Roman" w:cs="Times New Roman" w:eastAsia="Times New Roman" w:hAnsi="Times New Roman"/>
          <w:sz w:val="18"/>
          <w:szCs w:val="18"/>
          <w:color w:val="auto"/>
        </w:rPr>
      </w:pPr>
    </w:p>
    <w:p>
      <w:pPr>
        <w:ind w:left="4" w:right="560" w:firstLine="1428"/>
        <w:spacing w:after="0" w:line="282" w:lineRule="auto"/>
        <w:tabs>
          <w:tab w:leader="none" w:pos="17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any Investor (with respect to itself only) if the Closing has not occurred on or prior to the fifth Trading Day following the date of this Agreement;</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provided, however, that, except in the case of clause (i) above, the party seeking to terminate its obligation to effect the Closing shall not then be in breach of any of its representations, warranties, covenants or agreements contained in this Agreement or the other Transaction Documents if such breach has resulted in the circumstances giving rise to such party’s seeking to terminate its obligation to effect the Closing.</w:t>
      </w:r>
    </w:p>
    <w:p>
      <w:pPr>
        <w:spacing w:after="0" w:line="176" w:lineRule="exact"/>
        <w:rPr>
          <w:sz w:val="20"/>
          <w:szCs w:val="20"/>
          <w:color w:val="auto"/>
        </w:rPr>
      </w:pPr>
    </w:p>
    <w:p>
      <w:pPr>
        <w:ind w:left="4" w:firstLine="987"/>
        <w:spacing w:after="0" w:line="258" w:lineRule="auto"/>
        <w:tabs>
          <w:tab w:leader="none" w:pos="12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by the Company or any Investor of its obligations to effect the Closing pursuant to this Section 6.3, written notice thereof shall be given to the other Investors by the Company and the other Investors shall have the right to terminate their obligations to effect the Closing upon written notice to the Company and the other Investors. Nothing in this Section 6.3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and Agreements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5" w:lineRule="auto"/>
        <w:tabs>
          <w:tab w:leader="none" w:pos="12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assignment, transfer or other disposition of the Shares or Warrant Shares by an Investor pursuant to Rule 144 or pursuant to any other exemption under the 1933 Act such that the purchaser acquires freely tradable shares and upon compliance by the Investor with the requirements of this Agreement, if requested by the Investor, the Company shall request the transfer agent for the Common Stock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to remove any restrictive legends related to the book entry account holding such Shares or Warrant Shares and to make a new, unlegended entry for such book entry shares sold or disposed of without restrictive legends within two (2) Trading Days of any such request therefor from such Investor, provided that the Company has timely received from the Investor customary representations and other documentation reasonably acceptable to the Company in connection therewith.</w:t>
      </w:r>
    </w:p>
    <w:p>
      <w:pPr>
        <w:spacing w:after="0" w:line="188" w:lineRule="exact"/>
        <w:rPr>
          <w:rFonts w:ascii="Times New Roman" w:cs="Times New Roman" w:eastAsia="Times New Roman" w:hAnsi="Times New Roman"/>
          <w:sz w:val="18"/>
          <w:szCs w:val="18"/>
          <w:color w:val="auto"/>
        </w:rPr>
      </w:pPr>
    </w:p>
    <w:p>
      <w:pPr>
        <w:ind w:left="4" w:right="220" w:firstLine="987"/>
        <w:spacing w:after="0" w:line="276" w:lineRule="auto"/>
        <w:tabs>
          <w:tab w:leader="none" w:pos="125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receipt from the Investor by the Company and the Transfer Agent of customary representations and other documentation reasonably acceptable to the Company and the Transfer Agent in connection therewith, upon the earliest of such time as the Shares or Warrant Shares</w:t>
      </w:r>
    </w:p>
    <w:p>
      <w:pPr>
        <w:jc w:val="both"/>
        <w:ind w:left="4" w:right="140" w:hanging="4"/>
        <w:spacing w:after="0" w:line="265" w:lineRule="auto"/>
        <w:tabs>
          <w:tab w:leader="none" w:pos="2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registered under the 1933 Act pursuant to an effective registration statement, (ii) have been sold pursuant to Rule 144, or (iii) are eligible for resale under Rule 144(b)(1) or any successor provision, the Company shall, in accordance with the provisions of this Section 7.1(b) and within two</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Trading Days of any request therefor from an Investor accompanied by such customary and reasonably acceptable documentation referred to</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46" w:name="page47"/>
    <w:bookmarkEnd w:id="46"/>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above, (A) deliver to the Transfer Agent irrevocable instructions that the Transfer Agent shall make a new, unlegended entry for such book entry Shares or Warrant Shares, and (B) cause its counsel to deliver to the Transfer Agent one or more opinions to the effect that the removal of such legends in such circumstances may be effected under the 1933 Act if required by the Transfer Agent to effect the removal of the legend in accordance with the provisions of this Agreement. The Company agrees that following the time as such legend is no longer required under this Section 7.1, it will, within two (2) Trading Days of the delivery by an Investor to the Company or the Transfer Agent of a certificate representing shares issued with a restrictive legend and receipt from the Investor by the Company and the Transfer Agent of customary representations and other documentation reasonably acceptable to the Company and the Transfer Agent in connection therewith, deliver or cause to be delivered to such Investor a certificate representing such Shares or Warrant Shares (or uncertificated interest therein) that is free from all restrictive and other legends. Shares or Warrant Shares subject to legend removal hereunder may be transmitted by the Transfer Agent to the Investor by crediting the account of the Investor’s prime broker with the DTC System as directed by such Investor. The Company shall be responsible for the fees of its Transfer Agent and all DTC fees associated with such issuance.</w:t>
      </w:r>
    </w:p>
    <w:p>
      <w:pPr>
        <w:spacing w:after="0" w:line="192" w:lineRule="exact"/>
        <w:rPr>
          <w:sz w:val="20"/>
          <w:szCs w:val="20"/>
          <w:color w:val="auto"/>
        </w:rPr>
      </w:pPr>
    </w:p>
    <w:p>
      <w:pPr>
        <w:ind w:right="40" w:firstLine="987"/>
        <w:spacing w:after="0" w:line="256"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severally and not jointly with the other Investors, agrees with the Company (i) that such Investor will sell any Securities only pursuant to either the registration requirements of the 1933 Act, including any applicable prospectus delivery requirements, or an exemption therefrom, (ii) that if Shares or Warrant Shares are sold pursuant to a registration statement, they will be sold in compliance with the plan of distribution set forth therein and (iii) that if, after the effective date of the registration statement covering the resale of the Shares and Warrant Shares, such registration statement ceases to be effective and the Company has provided notice to such Investor to that effect, such Investor will sell Shares and Warrant Shares only in compliance with an exemption from the registration requirements of the 1933 Act.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earlier of (i) ninety (90) days after the Closing Date and (ii) the Trading Day immediately following the effective date of the registration statement filed pursuant to the Registration Rights Agreement, without the consent of the Required Investors,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1933 Act relating to any shares of Common Stock or Common Stock Equivalents, except pursuant to the terms of the Registration Rights Agreement. Notwithstanding the foregoing, the provisions of this Section 7.2 shall not apply to (i) the issuance of the Securities hereunder, (ii) the issuance of Common Stock or Common Stock Equivalents upon the conversion, exercise or vesting of any securities of the Company outstanding on the date hereof or outstanding pursuant to clause (iii) or (v) below, (iii) the issuance of any Common Stock or Common Stock Equivalents pursuant to any Company stock-based compensation plans or in accordance with Nasdaq Stock Market Rule 5635(c)(4), (iv) the filing of a registration statement on Form S-8 under the 1933 Act to register the offer and sale of securities on an equity incentive plan or employee stock purchase plan, or (v) the issuance of any Common Stock or Common Stock Equivalents in connection with a transaction with an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47" w:name="page48"/>
    <w:bookmarkEnd w:id="47"/>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unaffiliated third party that includes a bona fide commercial relationship with the Company (including any joint venture, marketing or distribution arrangement, strategic alliance, collaboration agreement or corporate partnering, intellectual property license agreement or acquisition agreement or other strategic transaction or debt financing transaction with the Company); provided, however, that the aggregate number of shares of Common Stock issued pursuant to clause (v) during the restricted period shall not exceed 10% of the total number of shares of Common Stock issued and outstanding immediately following the Closing.</w:t>
      </w:r>
    </w:p>
    <w:p>
      <w:pPr>
        <w:spacing w:after="0" w:line="183" w:lineRule="exact"/>
        <w:rPr>
          <w:sz w:val="20"/>
          <w:szCs w:val="20"/>
          <w:color w:val="auto"/>
        </w:rPr>
      </w:pPr>
    </w:p>
    <w:p>
      <w:pPr>
        <w:ind w:firstLine="987"/>
        <w:spacing w:after="0" w:line="25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use its commercially reasonable efforts to ensure that no Affiliate of the Company shall, sell, offer for sale or solicit offers to buy or otherwise negotiate in respect of any security (as defined in Section 2 of the 1933 Act) that will be integrated with the offer or sale of the Placement Securities in a manner that would require the registration under the 1933 Act of the sale of the Placement Securities to the Investors, or that will be integrated with the offer or sale of the Placement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7"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be responsible for the payment of any placement agent’s fees, financial advisory fees, or broker’s commissions (other than for Persons engaged by any Investor) relating to or arising out of the transactions contemplated hereby, including, without limitation, any fees or commissions payable to the Placement Agents.</w:t>
      </w:r>
    </w:p>
    <w:p>
      <w:pPr>
        <w:spacing w:after="0" w:line="176"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Short Sales and Confidentiality After the Date Hereof</w:t>
      </w:r>
      <w:r>
        <w:rPr>
          <w:rFonts w:ascii="Times New Roman" w:cs="Times New Roman" w:eastAsia="Times New Roman" w:hAnsi="Times New Roman"/>
          <w:sz w:val="18"/>
          <w:szCs w:val="18"/>
          <w:color w:val="auto"/>
        </w:rPr>
        <w:t>. Each Investor covenants that neither it nor any Affiliates acting on its behalf or pursuant to any understanding with it will trade in the securities of the Company or execute any Short Sales during the period from the date hereof until the earlier of such time as (i) both (a) the transactions contemplated by this Agreement are first publicly announced and (b) all material information set forth in the Disclosure Schedule have been publicly disclosed by the Company or (ii) this Agreement is terminated in full.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covenant set forth above shall only apply with respect to the portion of assets managed by the portfolio manager that made the investment decision to purchase the Placement Securities. Each Investor covenants that until such time (i) as all material terms of the sale of the Placement Securities to the Investors pursuant to this Agreement are publicly disclosed by the Company, such Investor and its Affiliates will maintain the confidentiality of the existence and terms of this Agreement and (ii) as all material information set forth in the Disclosure Schedule is publicly disclosed by the Company, such Investor and its Affiliates will maintain the confidentiality of all information included on the Disclosure Schedule, other than, in each case,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Each Investor understands and acknowledges that the SEC currently takes the position that coverage of Short Sales of shares of the Common Stock “against the box” prior to effectiveness of a resale registration statement with securities included in such registration statement would be a violation of Section 5 of the 1933 Act, as set forth in Item 239.10 of the Securities Act Sections Compliance and Disclosure Interpretations compiled by the Office of Chief Counsel, Division of Corporation Finance.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48" w:name="page49"/>
    <w:bookmarkEnd w:id="48"/>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Company will use commercially reasonable efforts to continue the listing and trading of its Common Stock on Nasdaq and, in accordance therewith, will use commercially reasonable efforts to comply in all material respects with the Company’s reporting, filing and other obligations under the bylaws or rules of such market or exchange, as applicable.</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and shall enforce the provisions of each Lock-Up Agreement in accordance with its terms. If any party to a Lock-Up Agreement breaches any provision of a Lock-Up Agreement, the Company shall promptly use commercially reasonable efforts to seek specific performance of the terms of such Lock-Up Agreement.</w:t>
      </w:r>
    </w:p>
    <w:p>
      <w:pPr>
        <w:spacing w:after="0" w:line="180" w:lineRule="exact"/>
        <w:rPr>
          <w:sz w:val="20"/>
          <w:szCs w:val="20"/>
          <w:color w:val="auto"/>
        </w:rPr>
      </w:pPr>
    </w:p>
    <w:p>
      <w:pPr>
        <w:ind w:left="620" w:hanging="184"/>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and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covenants and agreements contained in this Agreement shall survive the Closing of the transactions contemplated by this Agreement for the applicable statute of limitations.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and hold harmless each Investor and its Affiliates, and their respective directors, officers, trustees, members, managers, employees, investment advisers and agents,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Documents, and will reimburse any such Person for all such amounts as they are incurred by such Person solely to the extent such amounts have been finally judicially determined not to have resulted from such Person’s fraud or willful misconduct.</w:t>
      </w:r>
    </w:p>
    <w:p>
      <w:pPr>
        <w:spacing w:after="0" w:line="190"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49" w:name="page50"/>
    <w:bookmarkEnd w:id="4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employ separate counsel at the expense of the indemnifying party, the indemnifying party shall not have the right to assume the defense of such claim on behalf of such person);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that does not include as an unconditional term thereof the giving by the claimant or plaintiff to such indemnified party of a release from all liability in respect of such claim or litigation. No indemnified party will, except with the consent of the indemnifying party, which consent shall not be unreasonably withheld, conditioned or delayed, consent to entry of any judgment or enter into any settlement.</w:t>
      </w:r>
    </w:p>
    <w:p>
      <w:pPr>
        <w:spacing w:after="0" w:line="194" w:lineRule="exact"/>
        <w:rPr>
          <w:sz w:val="20"/>
          <w:szCs w:val="20"/>
          <w:color w:val="auto"/>
        </w:rPr>
      </w:pPr>
    </w:p>
    <w:p>
      <w:pPr>
        <w:ind w:left="620" w:hanging="184"/>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may not be assigned by a party hereto without the prior written consent of the Company or each of the Investors, as applicable, provided, however, that an Investor may assign its rights and delegate its duties hereunder in whole or in part to an Affiliate or to a third party acquiring some or all of its Securities in a transaction complying with applicable securities laws without the prior written consent of the Company or the other Investors, provided such assignee agrees in writing to be bound by the provisions hereof that apply to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“Securities”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90"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shall constitute one and the same instrument. Counterparts may be delivered via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50" w:name="page51"/>
    <w:bookmarkEnd w:id="50"/>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provided, any notice required or permitted under this Agreement shall be given in writing and shall be deemed effectively given as hereinafter described (i) if given by personal delivery, then such notice shall be deemed given upon such delivery, (ii) if given by e-mail, then such notice shall be deemed given upon receipt of confirmation of receipt of an e-mail transmission, (iii) if given by mail, then such notice shall be deemed given upon the earlier of (A) receipt of such notice by the recipient or (B) three days after such notice is deposited in first class mail, postage prepaid, and (iv) if given by an internationally recognized overnight air courier, then such notice shall be deemed given one Business Day after delivery to such carrier. All notices shall be addressed to the party to be notified at the address as follows, or at such other address as such party may designate by ten days’ advance written notice to the other party:</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Arvinas, Inc.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 Science Park</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395 Winchester Ave.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Haven, Connecticut 06511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John Houston, Chief Executive Officer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7 World Trade Center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250 Greenwich Street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Brian A. Johnson</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Brian.Johnson@wilmerhale.com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Investors: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Only to the addresses set forth on the signature pages hereto.</w:t>
      </w:r>
    </w:p>
    <w:p>
      <w:pPr>
        <w:spacing w:after="0" w:line="225"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parties hereto shall pay their own costs and expenses in connection herewith regardless of whether the transactions contemplated hereby are consummated; it being understood that each of the Company and each Investor has relied on the advice of its own respective counsel. Notwithstanding the foregoing, the Company shall pay the reasonable fees and expenses of Mintz, Levin, Cohn, Ferris, Glovsky and Popeo, P.C., counsel for EcoR1 Capital, LLC, in an amount not to exceed $50,000 in the aggregate.</w:t>
      </w:r>
    </w:p>
    <w:p>
      <w:pPr>
        <w:spacing w:after="0" w:line="180"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Prior to Closing, no amendment or waiver of any provision of this Agreement will be effective with respect to any party unless made in writing and signed by a duly authorized representative of such party. Following the Closing, any term of this Agreement may be amended and the observance of any term of this Agreement may be waived (either generally or in a particular instance and either retroactively or prospectively), only with the written consent of the Company and the Required Investors. Notwithstanding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51" w:name="page52"/>
    <w:bookmarkEnd w:id="51"/>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this Agreement may not be amended and the observance of any term of this Agreement may not be waived with respect to any Investor without the written consent of such Investor unless such amendment or waiver applies to all Investors in the same fashion; provided, however, that any amendment or waiver to Section 7.1, Section 8.1, Section 8.2 or Section 9.7 of this Agreement will only apply with respect to an Investor if such Investor has consented in writing to such amendment or waiver. Any amendment or waiver effected in accordance with this paragraph shall be binding upon (i) prior to Closing, each Investor that signed such amendment or waiver and (ii) following the Closing, each holder of any Securities purchased under this Agreement at the time outstanding, and in each case, each future holder of all such Securities and the Company. No consideration shall be offered or paid to any Investor to amend or consent to a waiver or modification of any provision of any Transaction Document unless the same consideration is also offered to all Investors who then hold Securities.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no public release or announcement concerning the transactions contemplated hereby shall be issued by the Investors without the prior consent of the Company and the Placement Agents, except as such release or announcement may be required by law or the applicable rules or regulations of any securities exchange or securities market, in which case the Investors shall allow the Company and the Placement Agents reasonable time to comment on such release or announcement in advance of such issuance. Notwithstanding the foregoing, each Investor may identify the Company and the value of such Investor’s security holdings in the Company in accordance with applicable investment reporting and disclosure regulations or internal policies without prior notice to or consent from the Company (including, for the avoidance of doubt, filings pursuant to Sections 13 and 16 of the 1934 Act). The Company shall not include the name of any Investor or any Affiliate or investment adviser of such Investor in any press release or public announcement (which, for the avoidance of doubt, shall not include any SEC Filing to the extent such disclosure is required by SEC rules and regulations) without the prior written consent of such Investor; provided, however, that to the extent such disclosure is required by law, including SEC rules and regulations, the Company shall promptly provide the Investor with prior notice of such disclosure and the opportunity to review such disclosure.</w:t>
      </w:r>
    </w:p>
    <w:p>
      <w:pPr>
        <w:spacing w:after="0" w:line="191"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Trading Day immediately following the date hereof, the Company shall issue a press release disclosing all material terms of the transactions contemplated by this Agreement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9:30 a.m. (Eastern time) on December 8, 2023 (the “</w:t>
      </w:r>
      <w:r>
        <w:rPr>
          <w:rFonts w:ascii="Times New Roman" w:cs="Times New Roman" w:eastAsia="Times New Roman" w:hAnsi="Times New Roman"/>
          <w:sz w:val="18"/>
          <w:szCs w:val="18"/>
          <w:u w:val="single" w:color="auto"/>
          <w:color w:val="auto"/>
        </w:rPr>
        <w:t>Disclosure Date</w:t>
      </w:r>
      <w:r>
        <w:rPr>
          <w:rFonts w:ascii="Times New Roman" w:cs="Times New Roman" w:eastAsia="Times New Roman" w:hAnsi="Times New Roman"/>
          <w:sz w:val="18"/>
          <w:szCs w:val="18"/>
          <w:color w:val="auto"/>
        </w:rPr>
        <w:t>”), the Company shall issue a press release and/or a Current Report on Form 8-K disclosing all material information set forth in the Disclosure Schedule. Following the Disclosure Date, no Investor shall be in possession of any material non-public information received from the Company, its subsidiaries or any of their respective officers, directors, employees or agents (including the Placement Agents).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make such other filings and notices in the manner and time required by the SEC or Nasdaq.</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52" w:name="page53"/>
    <w:bookmarkEnd w:id="52"/>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83"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Benefit of Agreement</w:t>
      </w:r>
      <w:r>
        <w:rPr>
          <w:rFonts w:ascii="Times New Roman" w:cs="Times New Roman" w:eastAsia="Times New Roman" w:hAnsi="Times New Roman"/>
          <w:sz w:val="18"/>
          <w:szCs w:val="18"/>
          <w:color w:val="auto"/>
        </w:rPr>
        <w:t>. Each Placement Agent is an intended third-party beneficiary of the representations and warranties of the Company and of each Investor set forth in Section 4 and Section 5, respectively, of this Agreement.</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signature pages, Exhibits, the other Transaction Documents and any confidentiality agreements between the Company and any Investor constitute the entire agreement among the parties hereof with respect to the subject matter hereof and thereof and supersede all prior agreements and understandings, both oral and written, between the parties with respect to the subject matter hereof and thereof; provided, however, that with respect to any conflict between this Agreement and the Registration Rights Agreement, the Registration Rights Agreement shall govern as it relates to the registration of the resale of the Securities.</w:t>
      </w:r>
    </w:p>
    <w:p>
      <w:pPr>
        <w:spacing w:after="0" w:line="183"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 xml:space="preserve">9.11.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4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Service of process in connection with any such suit, action or proceeding may be served on each party hereto anywhere in the world by the same methods as are specified for the giving of notices under this Agreement.</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Independent Nature of Investors’ Obligations and Rights</w:t>
      </w:r>
      <w:r>
        <w:rPr>
          <w:rFonts w:ascii="Times New Roman" w:cs="Times New Roman" w:eastAsia="Times New Roman" w:hAnsi="Times New Roman"/>
          <w:sz w:val="18"/>
          <w:szCs w:val="18"/>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purchase Placement Securities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acknowledges that no other Investor has acted as agent for such Investor in connection with making its investment hereunder and that no Investor will be acting as agent of such Investor in connection with monitoring its investment in the Securities or enforcing its rights under the Transaction Documents. Each Investor shall be entitled to independently protect and enforce its rights, including, without limitation, the rights arising out of this Agreement 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53" w:name="page54"/>
    <w:bookmarkEnd w:id="5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 of the other Transaction Documents, and it shall not be necessary for any other Investor to be joined as an additional party in any proceeding for such purpose. The Company acknowledges that each of the Investors has been provided with the same Transaction Documents for the purpose of closing a transaction with multiple Investors and not because it was required or requested to do so by any Investor. It is expressly understood and agreed that each provision contained in this Agreement is between the Company and an Investor, solely, and not between the Company and the Investors collectively and not between and among the Investors.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Exculpation of the Placement Agents</w:t>
      </w:r>
      <w:r>
        <w:rPr>
          <w:rFonts w:ascii="Times New Roman" w:cs="Times New Roman" w:eastAsia="Times New Roman" w:hAnsi="Times New Roman"/>
          <w:sz w:val="18"/>
          <w:szCs w:val="18"/>
          <w:color w:val="auto"/>
        </w:rPr>
        <w:t>. Each party hereto agrees for the express benefit of the Placements Agent and their respective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and representatives that:</w:t>
      </w:r>
    </w:p>
    <w:p>
      <w:pPr>
        <w:spacing w:after="0" w:line="99" w:lineRule="exact"/>
        <w:rPr>
          <w:sz w:val="20"/>
          <w:szCs w:val="20"/>
          <w:color w:val="auto"/>
        </w:rPr>
      </w:pPr>
    </w:p>
    <w:p>
      <w:pPr>
        <w:ind w:left="660" w:hanging="224"/>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Affiliates or any of their representatives (1) has any duties or obligations other than</w:t>
      </w:r>
    </w:p>
    <w:p>
      <w:pPr>
        <w:spacing w:after="0" w:line="27" w:lineRule="exact"/>
        <w:rPr>
          <w:rFonts w:ascii="Times New Roman" w:cs="Times New Roman" w:eastAsia="Times New Roman" w:hAnsi="Times New Roman"/>
          <w:sz w:val="18"/>
          <w:szCs w:val="18"/>
          <w:color w:val="auto"/>
        </w:rPr>
      </w:pPr>
    </w:p>
    <w:p>
      <w:pPr>
        <w:ind w:left="44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specifically set forth herein or in the engagement letter, dated November 15, 2023, between the Company and BofA Securities, Inc. or in the engagement letter, dated November 15, 2023, between the Company and Goldman Sachs &amp; Co. LLC (together, the “</w:t>
      </w:r>
      <w:r>
        <w:rPr>
          <w:rFonts w:ascii="Times New Roman" w:cs="Times New Roman" w:eastAsia="Times New Roman" w:hAnsi="Times New Roman"/>
          <w:sz w:val="18"/>
          <w:szCs w:val="18"/>
          <w:u w:val="single" w:color="auto"/>
          <w:color w:val="auto"/>
        </w:rPr>
        <w:t>Engagement Letters</w:t>
      </w:r>
      <w:r>
        <w:rPr>
          <w:rFonts w:ascii="Times New Roman" w:cs="Times New Roman" w:eastAsia="Times New Roman" w:hAnsi="Times New Roman"/>
          <w:sz w:val="18"/>
          <w:szCs w:val="18"/>
          <w:color w:val="auto"/>
        </w:rPr>
        <w:t>”); (2)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this Agreement or the other Transaction Documents or in connection with any of the transactions contemplated hereby and thereby; or (4) shall be liable (x) for any action taken, suffered or omitted by any of them in good faith and reasonably believed to be authorized or within the discretion or rights or powers conferred upon it by this Agreement or any Transaction Document or (y) for anything which any of them may do or refrain from doing in connection with this Agreement or any Transaction Document, except in each case for such party’s own gross negligence, willful misconduct or bad faith.</w:t>
      </w:r>
    </w:p>
    <w:p>
      <w:pPr>
        <w:spacing w:after="0" w:line="85" w:lineRule="exact"/>
        <w:rPr>
          <w:rFonts w:ascii="Times New Roman" w:cs="Times New Roman" w:eastAsia="Times New Roman" w:hAnsi="Times New Roman"/>
          <w:sz w:val="18"/>
          <w:szCs w:val="18"/>
          <w:color w:val="auto"/>
        </w:rPr>
      </w:pPr>
    </w:p>
    <w:p>
      <w:pPr>
        <w:ind w:left="440" w:hanging="4"/>
        <w:spacing w:after="0" w:line="261" w:lineRule="auto"/>
        <w:tabs>
          <w:tab w:leader="none" w:pos="7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Agents, their respective Affiliates and their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Engagement Letters.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54" w:name="page55"/>
    <w:bookmarkEnd w:id="5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or caused their duly authorized officers to execute this Agreement as of the date first above written.</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8"/>
          <w:szCs w:val="18"/>
          <w:color w:val="auto"/>
        </w:rPr>
        <w:t>ARVINAS,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Sean Cassidy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860"/>
          </w:cols>
          <w:pgMar w:left="440" w:top="270" w:right="599" w:bottom="1440" w:gutter="0" w:footer="0" w:header="0"/>
        </w:sectPr>
      </w:pPr>
    </w:p>
    <w:bookmarkStart w:id="55" w:name="page56"/>
    <w:bookmarkEnd w:id="55"/>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ECOR1 CAPITAL FUND QUALIFIED,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Oleg Nodelman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019"/>
          </w:cols>
          <w:pgMar w:left="440" w:top="270" w:right="1440" w:bottom="1440" w:gutter="0" w:footer="0" w:header="0"/>
        </w:sectPr>
      </w:pPr>
    </w:p>
    <w:bookmarkStart w:id="56" w:name="page57"/>
    <w:bookmarkEnd w:id="56"/>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ECOR1 CAPITAL FUND,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Oleg Nodelman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19"/>
          </w:cols>
          <w:pgMar w:left="440" w:top="270" w:right="1440" w:bottom="1440" w:gutter="0" w:footer="0" w:header="0"/>
        </w:sectPr>
      </w:pPr>
    </w:p>
    <w:bookmarkStart w:id="57" w:name="page58"/>
    <w:bookmarkEnd w:id="57"/>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ADAGE CAPITAL PARTNERS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Adage Capital Partners, GP, LLC,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Adage Capital Advisors, LLC, its Managing Member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 Lehan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Dan Lehan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019"/>
          </w:cols>
          <w:pgMar w:left="440" w:top="270" w:right="1440" w:bottom="1440" w:gutter="0" w:footer="0" w:header="0"/>
        </w:sectPr>
      </w:pPr>
    </w:p>
    <w:bookmarkStart w:id="58" w:name="page59"/>
    <w:bookmarkEnd w:id="58"/>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ArrowMark Life Science Fund II, LP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Rick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Rick Grove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019"/>
          </w:cols>
          <w:pgMar w:left="440" w:top="270" w:right="1440" w:bottom="1440" w:gutter="0" w:footer="0" w:header="0"/>
        </w:sectPr>
      </w:pPr>
    </w:p>
    <w:bookmarkStart w:id="59" w:name="page60"/>
    <w:bookmarkEnd w:id="59"/>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Avidity Master Fund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Avidity Capital Partners Fund (GP) LP,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Avidity Capital Partners (GP)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Michael Gregory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100"/>
          </w:cols>
          <w:pgMar w:left="440" w:top="270" w:right="1359" w:bottom="1440" w:gutter="0" w:footer="0" w:header="0"/>
        </w:sectPr>
      </w:pPr>
    </w:p>
    <w:bookmarkStart w:id="60" w:name="page61"/>
    <w:bookmarkEnd w:id="60"/>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Avidity Private Master Fund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Avidity Capital Partners Fund (GP) LP,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Avidity Capital Partners (GP)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Michael Gregory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100"/>
          </w:cols>
          <w:pgMar w:left="440" w:top="270" w:right="1359" w:bottom="1440" w:gutter="0" w:footer="0" w:header="0"/>
        </w:sectPr>
      </w:pPr>
    </w:p>
    <w:bookmarkStart w:id="61" w:name="page62"/>
    <w:bookmarkEnd w:id="61"/>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BIOMEDICAL OFFSHORE VALUE FUND, LTD.</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Tavi Yehudai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Tavi Yehudai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Managing Director of Great Point Partners LLC (the</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260"/>
          </w:cols>
          <w:pgMar w:left="440" w:top="270" w:right="1199" w:bottom="1440" w:gutter="0" w:footer="0" w:header="0"/>
        </w:sectPr>
      </w:pPr>
    </w:p>
    <w:bookmarkStart w:id="62" w:name="page63"/>
    <w:bookmarkEnd w:id="62"/>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BIOMEDICAL VALUE FUND, L.P.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Tavi Yehudai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Tavi Yehudai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Managing Director of Great Point Partners LLC (the</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260"/>
          </w:cols>
          <w:pgMar w:left="440" w:top="270" w:right="11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INVESTOR:</w:t>
            </w: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CHEYNE SELECT MASTER FUND ICAV – CHEYNE GLOBAL</w:t>
            </w:r>
          </w:p>
        </w:tc>
      </w:tr>
      <w:tr>
        <w:trPr>
          <w:trHeight w:val="234"/>
        </w:trPr>
        <w:tc>
          <w:tcPr>
            <w:tcW w:w="3180" w:type="dxa"/>
            <w:vAlign w:val="bottom"/>
          </w:tcPr>
          <w:p>
            <w:pPr>
              <w:spacing w:after="0"/>
              <w:rPr>
                <w:sz w:val="20"/>
                <w:szCs w:val="20"/>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EQUITY FUND</w:t>
            </w:r>
          </w:p>
        </w:tc>
      </w:tr>
      <w:tr>
        <w:trPr>
          <w:trHeight w:val="432"/>
        </w:trPr>
        <w:tc>
          <w:tcPr>
            <w:tcW w:w="3180" w:type="dxa"/>
            <w:vAlign w:val="bottom"/>
          </w:tcPr>
          <w:p>
            <w:pPr>
              <w:spacing w:after="0"/>
              <w:rPr>
                <w:sz w:val="24"/>
                <w:szCs w:val="24"/>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Tavi Yehudai</w:t>
            </w:r>
          </w:p>
        </w:tc>
      </w:tr>
      <w:tr>
        <w:trPr>
          <w:trHeight w:val="205"/>
        </w:trPr>
        <w:tc>
          <w:tcPr>
            <w:tcW w:w="31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Tavi Yehudai</w:t>
            </w:r>
          </w:p>
        </w:tc>
      </w:tr>
      <w:tr>
        <w:trPr>
          <w:trHeight w:val="216"/>
        </w:trPr>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 of Great Point Partners LLC (the</w:t>
            </w:r>
          </w:p>
        </w:tc>
      </w:tr>
      <w:tr>
        <w:trPr>
          <w:trHeight w:val="234"/>
        </w:trPr>
        <w:tc>
          <w:tcPr>
            <w:tcW w:w="3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Sub-Adviser)</w:t>
            </w:r>
          </w:p>
        </w:tc>
      </w:tr>
      <w:tr>
        <w:trPr>
          <w:trHeight w:val="364"/>
        </w:trPr>
        <w:tc>
          <w:tcPr>
            <w:tcW w:w="3180" w:type="dxa"/>
            <w:vAlign w:val="bottom"/>
          </w:tcPr>
          <w:p>
            <w:pPr>
              <w:spacing w:after="0"/>
              <w:rPr>
                <w:sz w:val="24"/>
                <w:szCs w:val="24"/>
                <w:color w:val="auto"/>
              </w:rPr>
            </w:pPr>
          </w:p>
        </w:tc>
        <w:tc>
          <w:tcPr>
            <w:tcW w:w="2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38</w:t>
            </w:r>
          </w:p>
        </w:tc>
        <w:tc>
          <w:tcPr>
            <w:tcW w:w="4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4" w:name="page65"/>
    <w:bookmarkEnd w:id="64"/>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INVESTOR:</w:t>
            </w:r>
          </w:p>
        </w:tc>
        <w:tc>
          <w:tcPr>
            <w:tcW w:w="43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Biotech Target N.V.</w:t>
            </w:r>
          </w:p>
        </w:tc>
        <w:tc>
          <w:tcPr>
            <w:tcW w:w="352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43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J. Bootsma</w:t>
            </w: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H. van Neutegem</w:t>
            </w:r>
          </w:p>
        </w:tc>
      </w:tr>
      <w:tr>
        <w:trPr>
          <w:trHeight w:val="205"/>
        </w:trPr>
        <w:tc>
          <w:tcPr>
            <w:tcW w:w="31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J. Bootsma</w:t>
            </w:r>
          </w:p>
        </w:tc>
        <w:tc>
          <w:tcPr>
            <w:tcW w:w="3520" w:type="dxa"/>
            <w:vAlign w:val="bottom"/>
            <w:tcBorders>
              <w:top w:val="single" w:sz="8" w:color="auto"/>
            </w:tcBorders>
          </w:tcPr>
          <w:p>
            <w:pPr>
              <w:ind w:left="420"/>
              <w:spacing w:after="0" w:line="205" w:lineRule="exact"/>
              <w:rPr>
                <w:sz w:val="20"/>
                <w:szCs w:val="20"/>
                <w:color w:val="auto"/>
              </w:rPr>
            </w:pPr>
            <w:r>
              <w:rPr>
                <w:rFonts w:ascii="Times New Roman" w:cs="Times New Roman" w:eastAsia="Times New Roman" w:hAnsi="Times New Roman"/>
                <w:sz w:val="18"/>
                <w:szCs w:val="18"/>
                <w:color w:val="auto"/>
              </w:rPr>
              <w:t>H. van Neutegem</w:t>
            </w:r>
          </w:p>
        </w:tc>
      </w:tr>
      <w:tr>
        <w:trPr>
          <w:trHeight w:val="234"/>
        </w:trPr>
        <w:tc>
          <w:tcPr>
            <w:tcW w:w="3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Managing Directors</w:t>
            </w:r>
          </w:p>
        </w:tc>
      </w:tr>
      <w:tr>
        <w:trPr>
          <w:trHeight w:val="364"/>
        </w:trPr>
        <w:tc>
          <w:tcPr>
            <w:tcW w:w="3180" w:type="dxa"/>
            <w:vAlign w:val="bottom"/>
          </w:tcPr>
          <w:p>
            <w:pPr>
              <w:spacing w:after="0"/>
              <w:rPr>
                <w:sz w:val="24"/>
                <w:szCs w:val="24"/>
                <w:color w:val="auto"/>
              </w:rPr>
            </w:pPr>
          </w:p>
        </w:tc>
        <w:tc>
          <w:tcPr>
            <w:tcW w:w="2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39</w:t>
            </w:r>
          </w:p>
        </w:tc>
        <w:tc>
          <w:tcPr>
            <w:tcW w:w="144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5" w:name="page66"/>
    <w:bookmarkEnd w:id="65"/>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Boxer Capital,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Aaron Davis</w:t>
      </w:r>
    </w:p>
    <w:p>
      <w:pPr>
        <w:spacing w:after="0" w:line="27"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019"/>
          </w:cols>
          <w:pgMar w:left="440" w:top="270"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INVESTOR:</w:t>
            </w:r>
          </w:p>
        </w:tc>
        <w:tc>
          <w:tcPr>
            <w:tcW w:w="774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Nextech VII Oncology SCSp S.a.r.l.</w:t>
            </w:r>
          </w:p>
        </w:tc>
      </w:tr>
      <w:tr>
        <w:trPr>
          <w:trHeight w:val="432"/>
        </w:trPr>
        <w:tc>
          <w:tcPr>
            <w:tcW w:w="3280" w:type="dxa"/>
            <w:vAlign w:val="bottom"/>
          </w:tcPr>
          <w:p>
            <w:pPr>
              <w:spacing w:after="0"/>
              <w:rPr>
                <w:sz w:val="24"/>
                <w:szCs w:val="24"/>
                <w:color w:val="auto"/>
              </w:rPr>
            </w:pPr>
          </w:p>
        </w:tc>
        <w:tc>
          <w:tcPr>
            <w:tcW w:w="44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Rocco Sgobbo</w:t>
            </w: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Costas Constantinides</w:t>
            </w:r>
          </w:p>
        </w:tc>
      </w:tr>
      <w:tr>
        <w:trPr>
          <w:trHeight w:val="225"/>
        </w:trPr>
        <w:tc>
          <w:tcPr>
            <w:tcW w:w="32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Rocco Sgobbo</w:t>
            </w:r>
          </w:p>
        </w:tc>
        <w:tc>
          <w:tcPr>
            <w:tcW w:w="3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Costas Constantinides</w:t>
            </w:r>
          </w:p>
        </w:tc>
      </w:tr>
    </w:tbl>
    <w:p>
      <w:pPr>
        <w:ind w:left="6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Managers of Nextech VII GP acting as general partner of</w:t>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Nextech VII Oncology SCSp</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67" w:name="page68"/>
    <w:bookmarkEnd w:id="67"/>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PERCEPTIVE LIFE SCIENCES MASTER FUND, LTD.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James H. Mannix</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19"/>
          </w:cols>
          <w:pgMar w:left="440" w:top="270" w:right="1440" w:bottom="1440" w:gutter="0" w:footer="0" w:header="0"/>
        </w:sectPr>
      </w:pPr>
    </w:p>
    <w:bookmarkStart w:id="68" w:name="page69"/>
    <w:bookmarkEnd w:id="68"/>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RA Capital Healthcare Fund GP, LLC, Its General Partner</w:t>
      </w:r>
    </w:p>
    <w:p>
      <w:pPr>
        <w:spacing w:after="0" w:line="23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Rajeev Shah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120"/>
          </w:cols>
          <w:pgMar w:left="440" w:top="270" w:right="1339" w:bottom="1440" w:gutter="0" w:footer="0" w:header="0"/>
        </w:sectPr>
      </w:pPr>
    </w:p>
    <w:bookmarkStart w:id="69" w:name="page70"/>
    <w:bookmarkEnd w:id="69"/>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RTW MASTER FUND, LTD.</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Darshan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Darshan Patel</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RTW INNOVATION MASTER FUND, LTD.</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Darshan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Darshan Patel</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RTW BIOTECH OPPORTUNITIES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RTW Investments, LP, its Investment Manager</w:t>
      </w:r>
    </w:p>
    <w:p>
      <w:pPr>
        <w:spacing w:after="0" w:line="23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019"/>
          </w:cols>
          <w:pgMar w:left="440" w:top="270"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INVESTOR:</w:t>
            </w: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T. ROWE PRICE HEALTH SCIENCES FUND, INC.</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TD MUTUAL FUNDS – TD HEALTH SCIENCES FUND</w:t>
            </w:r>
          </w:p>
        </w:tc>
      </w:tr>
      <w:tr>
        <w:trPr>
          <w:trHeight w:val="234"/>
        </w:trPr>
        <w:tc>
          <w:tcPr>
            <w:tcW w:w="3180" w:type="dxa"/>
            <w:vAlign w:val="bottom"/>
          </w:tcPr>
          <w:p>
            <w:pPr>
              <w:spacing w:after="0"/>
              <w:rPr>
                <w:sz w:val="20"/>
                <w:szCs w:val="20"/>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T. ROWE PRICE HEALTH SCIENCES PORTFOLIO</w:t>
            </w:r>
          </w:p>
        </w:tc>
      </w:tr>
      <w:tr>
        <w:trPr>
          <w:trHeight w:val="427"/>
        </w:trPr>
        <w:tc>
          <w:tcPr>
            <w:tcW w:w="3180" w:type="dxa"/>
            <w:vAlign w:val="bottom"/>
          </w:tcPr>
          <w:p>
            <w:pPr>
              <w:spacing w:after="0"/>
              <w:rPr>
                <w:sz w:val="24"/>
                <w:szCs w:val="24"/>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T. ROWE NEW HORIZONS FUND, INC.</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NEW YORK CITY DEFERRED COMPENSATION PLAN</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T. ROWE PRICE HORIZONS TRUST</w:t>
            </w:r>
          </w:p>
        </w:tc>
      </w:tr>
      <w:tr>
        <w:trPr>
          <w:trHeight w:val="234"/>
        </w:trPr>
        <w:tc>
          <w:tcPr>
            <w:tcW w:w="3180" w:type="dxa"/>
            <w:vAlign w:val="bottom"/>
          </w:tcPr>
          <w:p>
            <w:pPr>
              <w:spacing w:after="0"/>
              <w:rPr>
                <w:sz w:val="20"/>
                <w:szCs w:val="20"/>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T. ROWE PRICE U.S. EQUITIES TRUST</w:t>
            </w:r>
          </w:p>
        </w:tc>
      </w:tr>
      <w:tr>
        <w:trPr>
          <w:trHeight w:val="446"/>
        </w:trPr>
        <w:tc>
          <w:tcPr>
            <w:tcW w:w="3180" w:type="dxa"/>
            <w:vAlign w:val="bottom"/>
          </w:tcPr>
          <w:p>
            <w:pPr>
              <w:spacing w:after="0"/>
              <w:rPr>
                <w:sz w:val="24"/>
                <w:szCs w:val="24"/>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Each account, severally and not jointly</w:t>
            </w:r>
          </w:p>
        </w:tc>
      </w:tr>
      <w:tr>
        <w:trPr>
          <w:trHeight w:val="414"/>
        </w:trPr>
        <w:tc>
          <w:tcPr>
            <w:tcW w:w="3180" w:type="dxa"/>
            <w:vAlign w:val="bottom"/>
          </w:tcPr>
          <w:p>
            <w:pPr>
              <w:spacing w:after="0"/>
              <w:rPr>
                <w:sz w:val="24"/>
                <w:szCs w:val="24"/>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T. Rowe Price Associates, Inc.,</w:t>
            </w:r>
          </w:p>
        </w:tc>
      </w:tr>
      <w:tr>
        <w:trPr>
          <w:trHeight w:val="234"/>
        </w:trPr>
        <w:tc>
          <w:tcPr>
            <w:tcW w:w="3180" w:type="dxa"/>
            <w:vAlign w:val="bottom"/>
          </w:tcPr>
          <w:p>
            <w:pPr>
              <w:spacing w:after="0"/>
              <w:rPr>
                <w:sz w:val="20"/>
                <w:szCs w:val="20"/>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Investment Adviser or Subadviser, as applicable</w:t>
            </w:r>
          </w:p>
        </w:tc>
      </w:tr>
      <w:tr>
        <w:trPr>
          <w:trHeight w:val="446"/>
        </w:trPr>
        <w:tc>
          <w:tcPr>
            <w:tcW w:w="3180" w:type="dxa"/>
            <w:vAlign w:val="bottom"/>
          </w:tcPr>
          <w:p>
            <w:pPr>
              <w:spacing w:after="0"/>
              <w:rPr>
                <w:sz w:val="24"/>
                <w:szCs w:val="24"/>
                <w:color w:val="auto"/>
              </w:rPr>
            </w:pPr>
          </w:p>
        </w:tc>
        <w:tc>
          <w:tcPr>
            <w:tcW w:w="78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Nick Garifo</w:t>
            </w:r>
          </w:p>
        </w:tc>
      </w:tr>
      <w:tr>
        <w:trPr>
          <w:trHeight w:val="205"/>
        </w:trPr>
        <w:tc>
          <w:tcPr>
            <w:tcW w:w="31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Nick Garifo</w:t>
            </w:r>
          </w:p>
        </w:tc>
      </w:tr>
      <w:tr>
        <w:trPr>
          <w:trHeight w:val="234"/>
        </w:trPr>
        <w:tc>
          <w:tcPr>
            <w:tcW w:w="3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 Senior Legal Counsel</w:t>
            </w:r>
          </w:p>
        </w:tc>
      </w:tr>
      <w:tr>
        <w:trPr>
          <w:trHeight w:val="364"/>
        </w:trPr>
        <w:tc>
          <w:tcPr>
            <w:tcW w:w="3180" w:type="dxa"/>
            <w:vAlign w:val="bottom"/>
          </w:tcPr>
          <w:p>
            <w:pPr>
              <w:spacing w:after="0"/>
              <w:rPr>
                <w:sz w:val="24"/>
                <w:szCs w:val="24"/>
                <w:color w:val="auto"/>
              </w:rPr>
            </w:pPr>
          </w:p>
        </w:tc>
        <w:tc>
          <w:tcPr>
            <w:tcW w:w="2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45</w:t>
            </w:r>
          </w:p>
        </w:tc>
        <w:tc>
          <w:tcPr>
            <w:tcW w:w="4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1" w:name="page72"/>
    <w:bookmarkEnd w:id="71"/>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VENROCK HEALTHCARE CAPITAL PARTNERS EG,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VHCP Management EG,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100"/>
          </w:cols>
          <w:pgMar w:left="440" w:top="270" w:right="1359" w:bottom="1440" w:gutter="0" w:footer="0" w:header="0"/>
        </w:sectPr>
      </w:pPr>
    </w:p>
    <w:bookmarkStart w:id="72" w:name="page73"/>
    <w:bookmarkEnd w:id="72"/>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VENROCK HEALTHCARE CAPITAL PARTNERS III,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VHCP Management III,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VR Adviser, LLC, its manager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040"/>
          </w:cols>
          <w:pgMar w:left="440" w:top="270" w:right="1419" w:bottom="1440" w:gutter="0" w:footer="0" w:header="0"/>
        </w:sectPr>
      </w:pPr>
    </w:p>
    <w:bookmarkStart w:id="73" w:name="page74"/>
    <w:bookmarkEnd w:id="73"/>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VHCP CO-INVESTMENT HOLDINGS III,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VHCP Management III, LLC, its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VR Adviser, LLC, its manager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019"/>
          </w:cols>
          <w:pgMar w:left="440" w:top="270" w:right="1440" w:bottom="1440" w:gutter="0" w:footer="0" w:header="0"/>
        </w:sectPr>
      </w:pPr>
    </w:p>
    <w:bookmarkStart w:id="74" w:name="page75"/>
    <w:bookmarkEnd w:id="74"/>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Citadel CEMF Investments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Citadel Advisors LLC, its portfolio manager</w:t>
      </w:r>
    </w:p>
    <w:p>
      <w:pPr>
        <w:spacing w:after="0" w:line="23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Michael Weiner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019"/>
          </w:cols>
          <w:pgMar w:left="440" w:top="270" w:right="1440" w:bottom="1440" w:gutter="0" w:footer="0" w:header="0"/>
        </w:sectPr>
      </w:pPr>
    </w:p>
    <w:bookmarkStart w:id="75" w:name="page76"/>
    <w:bookmarkEnd w:id="75"/>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Citadel CEMF Investments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Citadel Advisors LLC, its portfolio manager</w:t>
      </w:r>
    </w:p>
    <w:p>
      <w:pPr>
        <w:spacing w:after="0" w:line="23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Michael Weiner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019"/>
          </w:cols>
          <w:pgMar w:left="440" w:top="270" w:right="1440"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of Investors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Warrant</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Number of Shares</w:t>
            </w:r>
          </w:p>
        </w:tc>
        <w:tc>
          <w:tcPr>
            <w:tcW w:w="5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Underlying</w:t>
            </w:r>
          </w:p>
        </w:tc>
        <w:tc>
          <w:tcPr>
            <w:tcW w:w="21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4"/>
                <w:szCs w:val="14"/>
                <w:color w:val="auto"/>
              </w:rPr>
              <w:t>Aggregate Purchase Price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Investor Name</w:t>
            </w:r>
          </w:p>
        </w:tc>
        <w:tc>
          <w:tcPr>
            <w:tcW w:w="294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60" w:type="dxa"/>
            <w:vAlign w:val="bottom"/>
            <w:gridSpan w:val="2"/>
          </w:tcPr>
          <w:p>
            <w:pPr>
              <w:jc w:val="center"/>
              <w:ind w:left="479"/>
              <w:spacing w:after="0" w:line="149" w:lineRule="exact"/>
              <w:rPr>
                <w:sz w:val="20"/>
                <w:szCs w:val="20"/>
                <w:color w:val="auto"/>
              </w:rPr>
            </w:pPr>
            <w:r>
              <w:rPr>
                <w:rFonts w:ascii="Times New Roman" w:cs="Times New Roman" w:eastAsia="Times New Roman" w:hAnsi="Times New Roman"/>
                <w:sz w:val="14"/>
                <w:szCs w:val="14"/>
                <w:color w:val="auto"/>
              </w:rPr>
              <w:t>Pre-Funded Warrant</w:t>
            </w:r>
          </w:p>
        </w:tc>
        <w:tc>
          <w:tcPr>
            <w:tcW w:w="2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to be Purchased</w:t>
            </w:r>
          </w:p>
        </w:tc>
        <w:tc>
          <w:tcPr>
            <w:tcW w:w="580" w:type="dxa"/>
            <w:vAlign w:val="bottom"/>
          </w:tcPr>
          <w:p>
            <w:pPr>
              <w:spacing w:after="0"/>
              <w:rPr>
                <w:sz w:val="15"/>
                <w:szCs w:val="15"/>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Purchased</w:t>
            </w:r>
          </w:p>
        </w:tc>
        <w:tc>
          <w:tcPr>
            <w:tcW w:w="580" w:type="dxa"/>
            <w:vAlign w:val="bottom"/>
          </w:tcPr>
          <w:p>
            <w:pPr>
              <w:spacing w:after="0"/>
              <w:rPr>
                <w:sz w:val="15"/>
                <w:szCs w:val="15"/>
                <w:color w:val="auto"/>
              </w:rPr>
            </w:pPr>
          </w:p>
        </w:tc>
        <w:tc>
          <w:tcPr>
            <w:tcW w:w="156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color w:val="auto"/>
              </w:rPr>
              <w:t>of Placement Securities</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EcoR1 Capital Fund Qualified, L.P.</w:t>
            </w:r>
          </w:p>
        </w:tc>
        <w:tc>
          <w:tcPr>
            <w:tcW w:w="5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1,196,457</w:t>
            </w:r>
          </w:p>
        </w:tc>
        <w:tc>
          <w:tcPr>
            <w:tcW w:w="5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3,251,261</w:t>
            </w:r>
          </w:p>
        </w:tc>
        <w:tc>
          <w:tcPr>
            <w:tcW w:w="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95,000,005.22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EcoR1 Capital Fund, L.P.</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62,971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171,119</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4,999,991.28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RTW Master Fund, Ltd.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2,384,873</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50,940,887.28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RTW Innovation Master Fund, Ltd.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1,734,607</w:t>
            </w:r>
          </w:p>
        </w:tc>
        <w:tc>
          <w:tcPr>
            <w:tcW w:w="5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37,051,205.52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RTW Biotech Opportunities, Ltd.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94,003</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2,007,904.08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Avidity Master Fund LP</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1,027,659</w:t>
            </w:r>
          </w:p>
        </w:tc>
        <w:tc>
          <w:tcPr>
            <w:tcW w:w="5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21,950,796.24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Avidity Private Master Fund I LP</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845,000</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Nextech VII Oncology SCSp S.a.r.l.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1,404,494</w:t>
            </w:r>
          </w:p>
        </w:tc>
        <w:tc>
          <w:tcPr>
            <w:tcW w:w="5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29,999,991.84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Biotech Target N.V.</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374,531</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7,999,982.16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 Capital Healthcare Fund, L.P.</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421,348</w:t>
            </w:r>
          </w:p>
        </w:tc>
        <w:tc>
          <w:tcPr>
            <w:tcW w:w="5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8,999,993.28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Health Sciences Fund, Inc.</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223,949</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4,783,550.64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Mutual Funds – TD Health Sciences Fund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19,338</w:t>
            </w:r>
          </w:p>
        </w:tc>
        <w:tc>
          <w:tcPr>
            <w:tcW w:w="5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413,059.68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Health Sciences Portfolio</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224,045.04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New Horizons Fund, Inc.</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447,242</w:t>
            </w:r>
          </w:p>
        </w:tc>
        <w:tc>
          <w:tcPr>
            <w:tcW w:w="5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9,553,089.12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City Deferred Compensation Plan</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New Horizons Trust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76,446</w:t>
            </w:r>
          </w:p>
        </w:tc>
        <w:tc>
          <w:tcPr>
            <w:tcW w:w="58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1,632,886.56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U.S. Equities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266" w:right="1319"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ArrowMark Life Science Fund II, LP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2,999,990.64</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Boxer Capital, LLC</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608,614</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12,999,995.04</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Citadel CEMF Investments Ltd.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4,999,991.52</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234,082</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4,999,991.52</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Biomedical Value Fund, L.P.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2,839,982.88</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Biomedical Offshore Value Fund, Ltd.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85,206</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1,820,000.16</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Cheyne Select Master Fund ICAV – Cheyne Global Equity Fund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340,008.48</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455,356</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9,726,404.16</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248,715.84</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24,863.04</w:t>
            </w:r>
          </w:p>
        </w:tc>
        <w:tc>
          <w:tcPr>
            <w:tcW w:w="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Adage Capital Partners LP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374,531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7,999,982.16</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Citadel CEMF Investments Ltd.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327,715</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6,999,992.40</w:t>
            </w:r>
          </w:p>
        </w:tc>
        <w:tc>
          <w:tcPr>
            <w:tcW w:w="60" w:type="dxa"/>
            <w:vAlign w:val="bottom"/>
          </w:tcPr>
          <w:p>
            <w:pPr>
              <w:spacing w:after="0"/>
              <w:rPr>
                <w:sz w:val="18"/>
                <w:szCs w:val="18"/>
                <w:color w:val="auto"/>
              </w:rPr>
            </w:pPr>
          </w:p>
        </w:tc>
      </w:tr>
      <w:tr>
        <w:trPr>
          <w:trHeight w:val="27"/>
        </w:trPr>
        <w:tc>
          <w:tcPr>
            <w:tcW w:w="5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12,963,542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3,422,380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349,999,871.54</w:t>
            </w:r>
          </w:p>
        </w:tc>
        <w:tc>
          <w:tcPr>
            <w:tcW w:w="60" w:type="dxa"/>
            <w:vAlign w:val="bottom"/>
            <w:shd w:val="clear" w:color="auto" w:fill="CCEEFF"/>
          </w:tcPr>
          <w:p>
            <w:pPr>
              <w:spacing w:after="0"/>
              <w:rPr>
                <w:sz w:val="18"/>
                <w:szCs w:val="18"/>
                <w:color w:val="auto"/>
              </w:rPr>
            </w:pPr>
          </w:p>
        </w:tc>
      </w:tr>
      <w:tr>
        <w:trPr>
          <w:trHeight w:val="372"/>
        </w:trPr>
        <w:tc>
          <w:tcPr>
            <w:tcW w:w="586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52</w:t>
            </w: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260"/>
          </w:cols>
          <w:pgMar w:left="1320" w:top="288" w:right="13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9"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24, 2023 by and among Arvinas,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“Investors” named in that certain Securities Purchase Agreement by and among the Company and the Investors, dated as of November 24, 2023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Capitalized terms used herein have the respective meanings ascribed thereto in the Purchase Agreement unless otherwise defined herein.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117" w:lineRule="exact"/>
        <w:rPr>
          <w:sz w:val="20"/>
          <w:szCs w:val="20"/>
          <w:color w:val="auto"/>
        </w:rPr>
      </w:pPr>
    </w:p>
    <w:p>
      <w:pPr>
        <w:ind w:left="620" w:hanging="184"/>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has the meaning set forth in Section 2(c)(ii).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Date</w:t>
      </w:r>
      <w:r>
        <w:rPr>
          <w:rFonts w:ascii="Times New Roman" w:cs="Times New Roman" w:eastAsia="Times New Roman" w:hAnsi="Times New Roman"/>
          <w:sz w:val="18"/>
          <w:szCs w:val="18"/>
          <w:color w:val="auto"/>
        </w:rPr>
        <w:t>” has the meaning set forth in Section 3(i).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has the meaning set forth in Section 2(d)(ii).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Cut Back Shares</w:t>
      </w:r>
      <w:r>
        <w:rPr>
          <w:rFonts w:ascii="Times New Roman" w:cs="Times New Roman" w:eastAsia="Times New Roman" w:hAnsi="Times New Roman"/>
          <w:sz w:val="18"/>
          <w:szCs w:val="18"/>
          <w:color w:val="auto"/>
        </w:rPr>
        <w:t>” has the meaning set forth in Section 2(e).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Liquidated Damages</w:t>
      </w:r>
      <w:r>
        <w:rPr>
          <w:rFonts w:ascii="Times New Roman" w:cs="Times New Roman" w:eastAsia="Times New Roman" w:hAnsi="Times New Roman"/>
          <w:sz w:val="18"/>
          <w:szCs w:val="18"/>
          <w:color w:val="auto"/>
        </w:rPr>
        <w:t>” has the meaning set forth in Section 2(d)(ii).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has the meaning set forth in Section 3(a).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has the meaning set forth in Section 2(a)(i).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has the meaning set forth in Section 4.</w:t>
      </w:r>
    </w:p>
    <w:p>
      <w:pPr>
        <w:spacing w:after="0" w:line="225"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the Investors identified in the Purchase Agreement and any Affiliate or permitted transferee of any Investor who is a subsequent holder of Registrable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has the meaning set forth in Section 2(d)(ii).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Maintenance Failure</w:t>
      </w:r>
      <w:r>
        <w:rPr>
          <w:rFonts w:ascii="Times New Roman" w:cs="Times New Roman" w:eastAsia="Times New Roman" w:hAnsi="Times New Roman"/>
          <w:sz w:val="18"/>
          <w:szCs w:val="18"/>
          <w:color w:val="auto"/>
        </w:rPr>
        <w:t>” has the meaning set forth in Section 2(d)(ii).</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ectPr>
          <w:pgSz w:w="11900" w:h="16838" w:orient="portrait"/>
          <w:cols w:equalWidth="0" w:num="1">
            <w:col w:w="11020"/>
          </w:cols>
          <w:pgMar w:left="440" w:top="117" w:right="43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Qualification Date</w:t>
      </w:r>
      <w:r>
        <w:rPr>
          <w:rFonts w:ascii="Times New Roman" w:cs="Times New Roman" w:eastAsia="Times New Roman" w:hAnsi="Times New Roman"/>
          <w:sz w:val="18"/>
          <w:szCs w:val="18"/>
          <w:color w:val="auto"/>
        </w:rPr>
        <w:t>” has the meaning set forth in Section 2(a)(ii).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Qualification Deadline</w:t>
      </w:r>
      <w:r>
        <w:rPr>
          <w:rFonts w:ascii="Times New Roman" w:cs="Times New Roman" w:eastAsia="Times New Roman" w:hAnsi="Times New Roman"/>
          <w:sz w:val="18"/>
          <w:szCs w:val="18"/>
          <w:color w:val="auto"/>
        </w:rPr>
        <w:t>” has the meaning set forth in Section 2(a)(ii).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has the meaning set forth in Section 4.</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(i) the Shares, (ii) the Warrant Shares and (iii) any other securities issued or issuable with respect to or in exchange for Shares or Warrant Shares, whether by merger, charter amendment or otherwise; provided, that a security shall cease to be a Registrable Security upon the earliest of: (A) sale pursuant to a Registration Statement or Rule 144 under the 1933 Act, (B) such security becoming eligible for sale without restriction by the Investor holding such security pursuant to Rule 144, including without any manner of sale or volume limitations, and without the requirement to be in compliance with Rule 144(c)(1) (or any successor thereto) promulgated under the 1933 Act, or (C) five years after the Closing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Liquidated Damages</w:t>
      </w:r>
      <w:r>
        <w:rPr>
          <w:rFonts w:ascii="Times New Roman" w:cs="Times New Roman" w:eastAsia="Times New Roman" w:hAnsi="Times New Roman"/>
          <w:sz w:val="18"/>
          <w:szCs w:val="18"/>
          <w:color w:val="auto"/>
        </w:rPr>
        <w:t>” has the meaning set forth in Section 2(d)(i).</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Investors</w:t>
      </w:r>
      <w:r>
        <w:rPr>
          <w:rFonts w:ascii="Times New Roman" w:cs="Times New Roman" w:eastAsia="Times New Roman" w:hAnsi="Times New Roman"/>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Termination Date</w:t>
      </w:r>
      <w:r>
        <w:rPr>
          <w:rFonts w:ascii="Times New Roman" w:cs="Times New Roman" w:eastAsia="Times New Roman" w:hAnsi="Times New Roman"/>
          <w:sz w:val="18"/>
          <w:szCs w:val="18"/>
          <w:color w:val="auto"/>
        </w:rPr>
        <w:t>” has the meaning set forth in Section 2(e).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Restrictions</w:t>
      </w:r>
      <w:r>
        <w:rPr>
          <w:rFonts w:ascii="Times New Roman" w:cs="Times New Roman" w:eastAsia="Times New Roman" w:hAnsi="Times New Roman"/>
          <w:sz w:val="18"/>
          <w:szCs w:val="18"/>
          <w:color w:val="auto"/>
        </w:rPr>
        <w:t>” has the meaning set forth in Section 2(e).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has the meaning set forth in Section 2(a)(ii).</w:t>
      </w:r>
    </w:p>
    <w:p>
      <w:pPr>
        <w:spacing w:after="0" w:line="225" w:lineRule="exact"/>
        <w:rPr>
          <w:sz w:val="20"/>
          <w:szCs w:val="20"/>
          <w:color w:val="auto"/>
        </w:rPr>
      </w:pPr>
    </w:p>
    <w:p>
      <w:pPr>
        <w:ind w:left="620" w:hanging="184"/>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40" w:firstLine="1428"/>
        <w:spacing w:after="0" w:line="266" w:lineRule="auto"/>
        <w:tabs>
          <w:tab w:leader="none" w:pos="164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Closing Date but no later than thirty (30) days after the Closing Date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the Company shall prepare and file with the SEC one Registration Statement covering the resale of all of the Registrable Securities. Subject to any SEC comments, such Registration Statement shall include the plan of distribution,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80" w:name="page81"/>
    <w:bookmarkEnd w:id="8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substantially in the form and substance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provided, however, that no Investor shall be named as an “underwriter” in such Registration Statement without the Investor’s prior written consent.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Such Registration Statement (and each amendment or supplement thereto, and each request for acceleration of effectiveness thereof) shall be provided in accordance with Section 3(c) to the Investors prior to its filing or other submission.</w:t>
      </w:r>
    </w:p>
    <w:p>
      <w:pPr>
        <w:spacing w:after="0" w:line="189" w:lineRule="exact"/>
        <w:rPr>
          <w:sz w:val="20"/>
          <w:szCs w:val="20"/>
          <w:color w:val="auto"/>
        </w:rPr>
      </w:pPr>
    </w:p>
    <w:p>
      <w:pPr>
        <w:ind w:firstLine="1428"/>
        <w:spacing w:after="0" w:line="254" w:lineRule="auto"/>
        <w:tabs>
          <w:tab w:leader="none" w:pos="16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referred to in Section 2(a)(i) shall be on Form S-3. In the event that Form S-3 is not available for the registration of the resale of Registrable Securities hereunder, the Company shall (i) register the resale of the Registrable Securities on such other form as is available to the Company and (ii) so long as Registrable Securities remain outstanding, promptly following the date (the “</w:t>
      </w:r>
      <w:r>
        <w:rPr>
          <w:rFonts w:ascii="Times New Roman" w:cs="Times New Roman" w:eastAsia="Times New Roman" w:hAnsi="Times New Roman"/>
          <w:sz w:val="18"/>
          <w:szCs w:val="18"/>
          <w:u w:val="single" w:color="auto"/>
          <w:color w:val="auto"/>
        </w:rPr>
        <w:t>Qualification Date</w:t>
      </w:r>
      <w:r>
        <w:rPr>
          <w:rFonts w:ascii="Times New Roman" w:cs="Times New Roman" w:eastAsia="Times New Roman" w:hAnsi="Times New Roman"/>
          <w:sz w:val="18"/>
          <w:szCs w:val="18"/>
          <w:color w:val="auto"/>
        </w:rPr>
        <w:t>”) upon which the Company becomes eligible to use a registration statement on Form S-3 to register the Registrable Securities for resale, but in no event more than thirty (30) days after the Qualification Date (the “</w:t>
      </w:r>
      <w:r>
        <w:rPr>
          <w:rFonts w:ascii="Times New Roman" w:cs="Times New Roman" w:eastAsia="Times New Roman" w:hAnsi="Times New Roman"/>
          <w:sz w:val="18"/>
          <w:szCs w:val="18"/>
          <w:u w:val="single" w:color="auto"/>
          <w:color w:val="auto"/>
        </w:rPr>
        <w:t>Qualification Deadline</w:t>
      </w:r>
      <w:r>
        <w:rPr>
          <w:rFonts w:ascii="Times New Roman" w:cs="Times New Roman" w:eastAsia="Times New Roman" w:hAnsi="Times New Roman"/>
          <w:sz w:val="18"/>
          <w:szCs w:val="18"/>
          <w:color w:val="auto"/>
        </w:rPr>
        <w:t>”), file a registration statement on Form S-3 covering the Registrable Securities (or a post-effective amendment on Form S-3 to a registration statement on Form S-1) (a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and use commercially reasonable efforts to cause such Shelf Registration Statement to be declared effective as promptly as practicable thereafter; provided that the Company shall maintain the effectiveness of the Registration Statement then in effect until such time as a Shelf Registration Statement covering the Registrable Securities has been declared effective by the SEC.</w:t>
      </w:r>
    </w:p>
    <w:p>
      <w:pPr>
        <w:spacing w:after="0" w:line="188"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58" w:lineRule="auto"/>
        <w:tabs>
          <w:tab w:leader="none" w:pos="164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each Registration Statement declared effective, if not automatically effective upon filing, as soon as reasonably practicable after such Registration Statement has been filed with the SEC. The Company shall notify the Investors by facsimile or e-mail as promptly as practicable, and in any event, within twenty-four (24) hours, after any Registration Statement becomes or is declared effective and shall provide the Investors with copies of any related Prospectus to be used in connection with the sale or other disposition of the securities covered thereby.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81" w:name="page82"/>
    <w:bookmarkEnd w:id="81"/>
    <w:p>
      <w:pPr>
        <w:ind w:firstLine="1428"/>
        <w:spacing w:after="0" w:line="253" w:lineRule="auto"/>
        <w:tabs>
          <w:tab w:leader="none" w:pos="169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not more than thirty (30) consecutive days or for a total of not more than sixty (60)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such Registration Statement until the end of the Allowed Delay and (c) use commercially reasonable efforts to terminate an Allowed Delay as promptly as practicable.</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Failure to File and Obtain and Maintain Effectiveness of Registration Statement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428"/>
        <w:spacing w:after="0" w:line="254" w:lineRule="auto"/>
        <w:tabs>
          <w:tab w:leader="none" w:pos="164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Registration Statement covering the Registrable Securities is not filed with the SEC on or prior to the Filing Deadline, the Company will make pro rata payments to each Investor then holding Registrable Securities, as liquidated damages and not as a penalty (the “</w:t>
      </w:r>
      <w:r>
        <w:rPr>
          <w:rFonts w:ascii="Times New Roman" w:cs="Times New Roman" w:eastAsia="Times New Roman" w:hAnsi="Times New Roman"/>
          <w:sz w:val="18"/>
          <w:szCs w:val="18"/>
          <w:u w:val="single" w:color="auto"/>
          <w:color w:val="auto"/>
        </w:rPr>
        <w:t>Registration Liquidated Damages</w:t>
      </w:r>
      <w:r>
        <w:rPr>
          <w:rFonts w:ascii="Times New Roman" w:cs="Times New Roman" w:eastAsia="Times New Roman" w:hAnsi="Times New Roman"/>
          <w:sz w:val="18"/>
          <w:szCs w:val="18"/>
          <w:color w:val="auto"/>
        </w:rPr>
        <w:t>”), in an amount equal to one percent (1.0%) of the aggregate amount invested by such Investor for the initial day of failure to file such Registration Statement by the Filing Deadline and for each subsequent 30-day period (pro rata for any portion thereof) thereafter for which no such Registration Statement is filed with respect to the Registrable Securities. Such payments shall be made to each Investor then holding Registrable Securities in cash no later than ten (10) Business Days after the end of the date of the initial failure to file such Registration Statement by the Filing Deadline and each subsequent 30-day period (pro rata for any portion thereof) until such Registration Statement is filed with respect to the Registrable Securities. Interest shall accrue at the rate of one percent (1.0%) per month on any such liquidated damages payments that shall not be paid by the applicable payment date until such amount is paid in full.</w:t>
      </w:r>
    </w:p>
    <w:p>
      <w:pPr>
        <w:spacing w:after="0" w:line="188" w:lineRule="exact"/>
        <w:rPr>
          <w:sz w:val="20"/>
          <w:szCs w:val="20"/>
          <w:color w:val="auto"/>
        </w:rPr>
      </w:pPr>
    </w:p>
    <w:p>
      <w:pPr>
        <w:ind w:right="20" w:firstLine="1428"/>
        <w:spacing w:after="0" w:line="242" w:lineRule="auto"/>
        <w:tabs>
          <w:tab w:leader="none" w:pos="16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Registration Statement covering the Registrable Securities is not automatically effective upon filing with the SEC or not declared effective by the SEC prior to the earlier of (i) five (5) Business Days after the SEC informs the Company that no review of such Registration Statement will be made or that the SEC has no further comments on such Registration Statement or (ii)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Closing Date (or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Closing Date if the SEC reviews such Registration Statement), or (B) after a Registration Statement has been declared effective by the SEC or otherwise becomes effective, sales cannot be made pursuant to such Registration Statement for any reason (including, without limitation, by reason of a stop order or the Company’s failure to update such Registration Statement), but excluding any Allowed Delay or the inability of any Investor to sell the Registrable Securities covered thereby due to market conditions (each of (A) and (B), a “</w:t>
      </w:r>
      <w:r>
        <w:rPr>
          <w:rFonts w:ascii="Times New Roman" w:cs="Times New Roman" w:eastAsia="Times New Roman" w:hAnsi="Times New Roman"/>
          <w:sz w:val="18"/>
          <w:szCs w:val="18"/>
          <w:u w:val="single" w:color="auto"/>
          <w:color w:val="auto"/>
        </w:rPr>
        <w:t>Maintenance Failure</w:t>
      </w:r>
      <w:r>
        <w:rPr>
          <w:rFonts w:ascii="Times New Roman" w:cs="Times New Roman" w:eastAsia="Times New Roman" w:hAnsi="Times New Roman"/>
          <w:sz w:val="18"/>
          <w:szCs w:val="18"/>
          <w:color w:val="auto"/>
        </w:rPr>
        <w:t>”), then the Company will make pro rata payments to each Investor then holding Registrable Securities, as liquidated damages and not as a penalty (the “</w:t>
      </w:r>
      <w:r>
        <w:rPr>
          <w:rFonts w:ascii="Times New Roman" w:cs="Times New Roman" w:eastAsia="Times New Roman" w:hAnsi="Times New Roman"/>
          <w:sz w:val="18"/>
          <w:szCs w:val="18"/>
          <w:u w:val="single" w:color="auto"/>
          <w:color w:val="auto"/>
        </w:rPr>
        <w:t>Effectiveness Liquidated Damages</w:t>
      </w:r>
      <w:r>
        <w:rPr>
          <w:rFonts w:ascii="Times New Roman" w:cs="Times New Roman" w:eastAsia="Times New Roman" w:hAnsi="Times New Roman"/>
          <w:sz w:val="18"/>
          <w:szCs w:val="18"/>
          <w:color w:val="auto"/>
        </w:rPr>
        <w:t>” and together with the Registration Liquidated Damages, the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in an amount equal to one percent (1.0%) of the aggregate amount invested by such Investor for the Registrable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2" w:name="page83"/>
    <w:bookmarkEnd w:id="82"/>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then held by such Investor for the initial day of a Maintenance Failure and for each 30-day period (pro rata for any portion thereof) thereafter until the Maintenance Failure is cured (each, a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The Effectiveness Liquidated Damages shall be paid monthly within ten</w:t>
      </w:r>
    </w:p>
    <w:p>
      <w:pPr>
        <w:ind w:left="4" w:right="80" w:hanging="4"/>
        <w:spacing w:after="0" w:line="255" w:lineRule="auto"/>
        <w:tabs>
          <w:tab w:leader="none" w:pos="3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end of the date of such Maintenance Failure and each subsequent 30-day period (pro rata for any portion thereof). Such payments shall be made to each Investor then holding Registrable Securities in cash. Interest shall accrue at the rate of one percent (1.0%) per month on any such liquidated damages payments that shall not be paid by the applicable payment date until such amount is paid in full.</w:t>
      </w:r>
    </w:p>
    <w:p>
      <w:pPr>
        <w:spacing w:after="0" w:line="185" w:lineRule="exact"/>
        <w:rPr>
          <w:rFonts w:ascii="Times New Roman" w:cs="Times New Roman" w:eastAsia="Times New Roman" w:hAnsi="Times New Roman"/>
          <w:sz w:val="18"/>
          <w:szCs w:val="18"/>
          <w:color w:val="auto"/>
        </w:rPr>
      </w:pPr>
    </w:p>
    <w:p>
      <w:pPr>
        <w:ind w:left="4" w:firstLine="1428"/>
        <w:spacing w:after="0" w:line="255" w:lineRule="auto"/>
        <w:tabs>
          <w:tab w:leader="none" w:pos="175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(1) notwithstanding anything to the contrary herein or in the Purchase Agreement, no Liquidated Damages shall be payable with respect to any period after the expiration of the Effectiveness Period (it being understood that this sentence shall not relieve the Company of any Liquidated Damages accruing prior to the expiration of the Effectiveness Period), and in no event shall the aggregate amount of Liquidated Damages payable to an Investor exceed, in the aggregate, six percent (6.0%) of the aggregate purchase price paid by such Investor pursuant to the Purchase Agreement and (2) except with respect to (A) the initial day of failure to file a Registration Statement by the Filing Deadline and (B) the initial day of any Maintenance Failure, in no event shall the Company be liable in any thirty (30) day period for Liquidated Damages under this Agreement in excess of one percent (1.0%) of the aggregate purchase price paid by the Investors pursuant to the Purchase Agreement.</w:t>
      </w:r>
    </w:p>
    <w:p>
      <w:pPr>
        <w:spacing w:after="0" w:line="188" w:lineRule="exact"/>
        <w:rPr>
          <w:rFonts w:ascii="Times New Roman" w:cs="Times New Roman" w:eastAsia="Times New Roman" w:hAnsi="Times New Roman"/>
          <w:sz w:val="18"/>
          <w:szCs w:val="18"/>
          <w:color w:val="auto"/>
        </w:rPr>
      </w:pPr>
    </w:p>
    <w:p>
      <w:pPr>
        <w:ind w:left="4" w:right="140" w:firstLine="1428"/>
        <w:spacing w:after="0" w:line="261" w:lineRule="auto"/>
        <w:tabs>
          <w:tab w:leader="none" w:pos="174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and the Investors agree that the Company will not be liable for any Liquidated Damages under this Section 2(d) with respect to any Registrable Securities prior to their issuance. The Liquidated Damages described in this Section 2(d) shall constitute the Investors’ exclusive monetary remedy for any failure to meet the Filing Deadline and for any Maintenance Failure, but shall not affect the right of the Investors to seek injunctive relief.</w:t>
      </w:r>
    </w:p>
    <w:p>
      <w:pPr>
        <w:spacing w:after="0" w:line="179"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advocate before the SEC its reasonable position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Section 2(e), including participation in any meetings or discussions with the SEC regarding the SEC’s position and to comment on any written submission made to the SEC with respect thereto, which counsel shall be designated by the holders of a majority of the Registrable Securities. In the event that, despite the Company’s commercially reasonable efforts and compliance with the terms of this Section 2(e), the SEC does not alter its position, the Company shall (i) remove from such Registration Statement such portion of the Registrable Securities (the “</w:t>
      </w:r>
      <w:r>
        <w:rPr>
          <w:rFonts w:ascii="Times New Roman" w:cs="Times New Roman" w:eastAsia="Times New Roman" w:hAnsi="Times New Roman"/>
          <w:sz w:val="18"/>
          <w:szCs w:val="18"/>
          <w:u w:val="single" w:color="auto"/>
          <w:color w:val="auto"/>
        </w:rPr>
        <w:t>Cut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Back Shares</w:t>
      </w:r>
      <w:r>
        <w:rPr>
          <w:rFonts w:ascii="Times New Roman" w:cs="Times New Roman" w:eastAsia="Times New Roman" w:hAnsi="Times New Roman"/>
          <w:sz w:val="18"/>
          <w:szCs w:val="18"/>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u w:val="single" w:color="auto"/>
          <w:color w:val="auto"/>
        </w:rPr>
        <w:t>SEC Restrictions</w:t>
      </w:r>
      <w:r>
        <w:rPr>
          <w:rFonts w:ascii="Times New Roman" w:cs="Times New Roman" w:eastAsia="Times New Roman" w:hAnsi="Times New Roman"/>
          <w:sz w:val="18"/>
          <w:szCs w:val="18"/>
          <w:color w:val="auto"/>
        </w:rPr>
        <w:t>”); provided, however, that the Company shall not agree to name any Investor as an “underwriter” in such Registration Statement without the prior written consent of such</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83" w:name="page84"/>
    <w:bookmarkEnd w:id="83"/>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Any cut-back imposed on the Investors pursuant to this Section 2(e)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From and after the Restriction Termination Date applicable to any Cut Back Shares, all of the provisions of this Section 2 (including the Company’s obligations with respect to the filing of a Registration Statement and its obligations to use commercially reasonable efforts to have such Registration Statement declared effective within the time periods set forth herein and the liquidated damages provisions relating thereto) shall again be applicable to such Cut Back Shares; provided, however, that (i) the Filing Deadline and/or the Qualification Deadline, as applicable, for such Registration Statement including such Cut Back Shares shall be ten (10) Business Days after such Restriction Termination Date, and (ii) the date by which the Company is required to obtain effectiveness with respect to such Cut Back Shares under Section 2(c) shall be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immediately after the Restriction Termination Date (or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if the SEC reviews such Registration Statement).</w:t>
      </w:r>
    </w:p>
    <w:p>
      <w:pPr>
        <w:spacing w:after="0" w:line="70" w:lineRule="exact"/>
        <w:rPr>
          <w:sz w:val="20"/>
          <w:szCs w:val="20"/>
          <w:color w:val="auto"/>
        </w:rPr>
      </w:pPr>
    </w:p>
    <w:p>
      <w:pPr>
        <w:ind w:right="680" w:firstLine="436"/>
        <w:spacing w:after="0" w:line="282"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Obligations</w:t>
      </w:r>
      <w:r>
        <w:rPr>
          <w:rFonts w:ascii="Times New Roman" w:cs="Times New Roman" w:eastAsia="Times New Roman" w:hAnsi="Times New Roman"/>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53"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such Registration Statement to become effective (if not automatically effective upon filing) and to remain continuously effective for a period that will terminate upon the earlier of (i) the date on which all Registrable Securities covered by such Registration Statement, as amended from time to time, have been sold, and (ii) the date on which all Shares and Warrant Shares cease to be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and advise the Investors promptly in writing when the Effectiveness Period has expired;</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75"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each Investor to review each Registration Statement and all amendments and supplements thereto no fewer than two (2) days prior to their filing with the SEC and to furnish reasonable comments thereon;</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84" w:name="page85"/>
    <w:bookmarkEnd w:id="8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(other than any portion thereof which contains information for which the Company has sought confidential treatment), and</w:t>
      </w:r>
    </w:p>
    <w:p>
      <w:pPr>
        <w:spacing w:after="0" w:line="27" w:lineRule="exact"/>
        <w:rPr>
          <w:sz w:val="20"/>
          <w:szCs w:val="20"/>
          <w:color w:val="auto"/>
        </w:rPr>
      </w:pPr>
    </w:p>
    <w:p>
      <w:pPr>
        <w:ind w:left="4" w:right="80" w:hanging="4"/>
        <w:spacing w:after="0" w:line="255"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w:t>
      </w:r>
    </w:p>
    <w:p>
      <w:pPr>
        <w:spacing w:after="0" w:line="185"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(i) prevent the issuance of any stop order or other suspension of effectiveness and, (ii) if such order is issued, obtain the withdrawal of any such order at the earliest practical moment;</w:t>
      </w:r>
    </w:p>
    <w:p>
      <w:pPr>
        <w:spacing w:after="0" w:line="161" w:lineRule="exact"/>
        <w:rPr>
          <w:rFonts w:ascii="Times New Roman" w:cs="Times New Roman" w:eastAsia="Times New Roman" w:hAnsi="Times New Roman"/>
          <w:sz w:val="18"/>
          <w:szCs w:val="18"/>
          <w:color w:val="auto"/>
        </w:rPr>
      </w:pPr>
    </w:p>
    <w:p>
      <w:pPr>
        <w:ind w:left="4" w:firstLine="987"/>
        <w:spacing w:after="0" w:line="255" w:lineRule="auto"/>
        <w:tabs>
          <w:tab w:leader="none" w:pos="12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188"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the Nasdaq Global Select Market (or the primary securities exchange, interdealer quotation system or other market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(provided that such notice shall not, without the prior written consent of an Investor, disclose to such Investor any material nonpublic information regarding the Company),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88" w:lineRule="exact"/>
        <w:rPr>
          <w:rFonts w:ascii="Times New Roman" w:cs="Times New Roman" w:eastAsia="Times New Roman" w:hAnsi="Times New Roman"/>
          <w:sz w:val="18"/>
          <w:szCs w:val="18"/>
          <w:color w:val="auto"/>
        </w:rPr>
      </w:pPr>
    </w:p>
    <w:p>
      <w:pPr>
        <w:ind w:left="4" w:right="160" w:firstLine="987"/>
        <w:spacing w:after="0" w:line="258" w:lineRule="auto"/>
        <w:tabs>
          <w:tab w:leader="none" w:pos="12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70" w:right="499" w:bottom="1440" w:gutter="0" w:footer="0" w:header="0"/>
        </w:sectPr>
      </w:pPr>
    </w:p>
    <w:bookmarkStart w:id="85" w:name="page86"/>
    <w:bookmarkEnd w:id="85"/>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subsection 3(i), “</w:t>
      </w:r>
      <w:r>
        <w:rPr>
          <w:rFonts w:ascii="Times New Roman" w:cs="Times New Roman" w:eastAsia="Times New Roman" w:hAnsi="Times New Roman"/>
          <w:sz w:val="18"/>
          <w:szCs w:val="18"/>
          <w:u w:val="single" w:color="auto"/>
          <w:color w:val="auto"/>
        </w:rPr>
        <w:t>Availability Date</w:t>
      </w:r>
      <w:r>
        <w:rPr>
          <w:rFonts w:ascii="Times New Roman" w:cs="Times New Roman" w:eastAsia="Times New Roman" w:hAnsi="Times New Roman"/>
          <w:sz w:val="18"/>
          <w:szCs w:val="18"/>
          <w:color w:val="auto"/>
        </w:rPr>
        <w:t>” means the 45th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means the 90th day after the end of such fourth fiscal quarter);</w:t>
      </w:r>
    </w:p>
    <w:p>
      <w:pPr>
        <w:spacing w:after="0" w:line="187" w:lineRule="exact"/>
        <w:rPr>
          <w:sz w:val="20"/>
          <w:szCs w:val="20"/>
          <w:color w:val="auto"/>
        </w:rPr>
      </w:pPr>
    </w:p>
    <w:p>
      <w:pPr>
        <w:ind w:left="4" w:right="40" w:firstLine="987"/>
        <w:spacing w:after="0" w:line="255" w:lineRule="auto"/>
        <w:tabs>
          <w:tab w:leader="none" w:pos="121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 Investor, the Company shall (i) as soon as reasonably practicable,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make amendments to any Registration Statement if reasonably requested by an Investor holding any Registrable Securities;</w:t>
      </w:r>
    </w:p>
    <w:p>
      <w:pPr>
        <w:spacing w:after="0" w:line="188"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a Registration Statement which covers Registrable Securities is ordered effective by the SEC (if not automatically effective upon filing), the Company shall deliver to the transfer agent for such Registrable Securities (with copies to the Investors whose Registrable Securities are included in such Registration Statement) confirmation that such Registration Statement has been declared effective by the SEC; and</w:t>
      </w:r>
    </w:p>
    <w:p>
      <w:pPr>
        <w:spacing w:after="0" w:line="179" w:lineRule="exact"/>
        <w:rPr>
          <w:rFonts w:ascii="Times New Roman" w:cs="Times New Roman" w:eastAsia="Times New Roman" w:hAnsi="Times New Roman"/>
          <w:sz w:val="18"/>
          <w:szCs w:val="18"/>
          <w:color w:val="auto"/>
        </w:rPr>
      </w:pPr>
    </w:p>
    <w:p>
      <w:pPr>
        <w:ind w:left="4" w:right="80" w:firstLine="987"/>
        <w:spacing w:after="0" w:line="276" w:lineRule="auto"/>
        <w:tabs>
          <w:tab w:leader="none" w:pos="121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w:t>
      </w:r>
    </w:p>
    <w:p>
      <w:pPr>
        <w:ind w:left="4" w:hanging="4"/>
        <w:spacing w:after="0" w:line="252" w:lineRule="auto"/>
        <w:tabs>
          <w:tab w:leader="none" w:pos="2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all of the Registrable Securities shall have been resold; (ii) file with the SEC in a timely manner all reports and other documents required of the Company under the 1934 Act; and (iii)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86" w:name="page87"/>
    <w:bookmarkEnd w:id="86"/>
    <w:p>
      <w:pPr>
        <w:ind w:left="4" w:firstLine="436"/>
        <w:spacing w:after="0" w:line="252" w:lineRule="auto"/>
        <w:tabs>
          <w:tab w:leader="none" w:pos="6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Diligence Review; Information</w:t>
      </w:r>
      <w:r>
        <w:rPr>
          <w:rFonts w:ascii="Times New Roman" w:cs="Times New Roman" w:eastAsia="Times New Roman" w:hAnsi="Times New Roman"/>
          <w:sz w:val="18"/>
          <w:szCs w:val="18"/>
          <w:color w:val="auto"/>
        </w:rPr>
        <w:t>. The Company shall, upon reasonable prior notice, make available, during normal business hours and for reasonable periods, for inspection and review by the Investors, and advisors to and representatives of the Investors (who may or may not be affiliated with the Investors and who are reasonably acceptable to the Company) (collectively, the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all pertinent financial and other records, and all other pertinent corporate documents and properties of the Company (collectively, the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the Investors and their accountants and attorneys to conduct initial and ongoing due diligence with respect to the Company and the accuracy of such Registration Statement; provided, however, that each Inspector shall have agreed in writing to hold in strict confidence and to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Section 4 or any other Transaction Document.</w:t>
      </w:r>
    </w:p>
    <w:p>
      <w:pPr>
        <w:spacing w:after="0" w:line="19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such representatives with the opportunity to accept or refuse to accept such material nonpublic information for review and any Investor wishing to obtain such information enters into an appropriate confidentiality and non-use agreement with the Company with respect thereto.</w:t>
      </w:r>
    </w:p>
    <w:p>
      <w:pPr>
        <w:spacing w:after="0" w:line="183" w:lineRule="exact"/>
        <w:rPr>
          <w:sz w:val="20"/>
          <w:szCs w:val="20"/>
          <w:color w:val="auto"/>
        </w:rPr>
      </w:pPr>
    </w:p>
    <w:p>
      <w:pPr>
        <w:ind w:left="624" w:hanging="184"/>
        <w:spacing w:after="0"/>
        <w:tabs>
          <w:tab w:leader="none" w:pos="62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0" w:firstLine="987"/>
        <w:spacing w:after="0" w:line="268" w:lineRule="auto"/>
        <w:tabs>
          <w:tab w:leader="none" w:pos="1240"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each Investor of the information the Company requires from such Investor if such Investor elects to have any of the Registrable Securities included in such Registration Statement. An Investor shall provide such information, including but not limited to a completed questionnaire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to the Company at least three</w:t>
      </w:r>
    </w:p>
    <w:p>
      <w:pPr>
        <w:spacing w:after="0" w:line="4" w:lineRule="exact"/>
        <w:rPr>
          <w:rFonts w:ascii="Times New Roman" w:cs="Times New Roman" w:eastAsia="Times New Roman" w:hAnsi="Times New Roman"/>
          <w:sz w:val="17"/>
          <w:szCs w:val="17"/>
          <w:color w:val="auto"/>
        </w:rPr>
      </w:pPr>
    </w:p>
    <w:p>
      <w:pPr>
        <w:ind w:left="4" w:right="80" w:hanging="4"/>
        <w:spacing w:after="0" w:line="260"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first anticipated filing date of such Registration Statement if such Investor elects to have any of the Registrable Securities included in such Registration Statement.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87" w:name="page88"/>
    <w:bookmarkEnd w:id="87"/>
    <w:p>
      <w:pPr>
        <w:ind w:left="-40" w:right="40" w:firstLine="987"/>
        <w:spacing w:after="0" w:line="266" w:lineRule="auto"/>
        <w:tabs>
          <w:tab w:leader="none" w:pos="12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75" w:lineRule="exact"/>
        <w:rPr>
          <w:rFonts w:ascii="Times New Roman" w:cs="Times New Roman" w:eastAsia="Times New Roman" w:hAnsi="Times New Roman"/>
          <w:sz w:val="18"/>
          <w:szCs w:val="18"/>
          <w:color w:val="auto"/>
        </w:rPr>
      </w:pPr>
    </w:p>
    <w:p>
      <w:pPr>
        <w:ind w:left="-40" w:right="20" w:firstLine="987"/>
        <w:spacing w:after="0" w:line="261" w:lineRule="auto"/>
        <w:tabs>
          <w:tab w:leader="none" w:pos="11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79" w:lineRule="exact"/>
        <w:rPr>
          <w:rFonts w:ascii="Times New Roman" w:cs="Times New Roman" w:eastAsia="Times New Roman" w:hAnsi="Times New Roman"/>
          <w:sz w:val="18"/>
          <w:szCs w:val="18"/>
          <w:color w:val="auto"/>
        </w:rPr>
      </w:pPr>
    </w:p>
    <w:p>
      <w:pPr>
        <w:ind w:left="-40" w:right="40" w:firstLine="987"/>
        <w:spacing w:after="0" w:line="282" w:lineRule="auto"/>
        <w:tabs>
          <w:tab w:leader="none" w:pos="12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161"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987"/>
        <w:spacing w:after="0" w:line="252" w:lineRule="auto"/>
        <w:tabs>
          <w:tab w:leader="none" w:pos="119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will indemnify and hold harmless each Investor and its officers, directors, members, employees and agents,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by the Company or its agents of any rule or regulation promulgated under the 1933 Act applicable to the Company or its agents and relating to action or inaction required of the Company in connection with such registration, and will reimburse such Investor, and each such officer, director, member, employee, agent and each such controlling person for any legal or other documented, out-of-pocket expenses reasonably incurred by them in connection with investigating or defending any such loss, claim, damage or liability (or action in respect thereof); provided, however,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 or (iv) an Investor’s bad faith, gross negligence, recklessness, fraud or willful misconduct.</w:t>
      </w:r>
    </w:p>
    <w:p>
      <w:pPr>
        <w:spacing w:after="0" w:line="194" w:lineRule="exact"/>
        <w:rPr>
          <w:rFonts w:ascii="Times New Roman" w:cs="Times New Roman" w:eastAsia="Times New Roman" w:hAnsi="Times New Roman"/>
          <w:sz w:val="18"/>
          <w:szCs w:val="18"/>
          <w:color w:val="auto"/>
        </w:rPr>
      </w:pPr>
    </w:p>
    <w:p>
      <w:pPr>
        <w:jc w:val="both"/>
        <w:ind w:left="-40" w:right="140" w:firstLine="987"/>
        <w:spacing w:after="0" w:line="261" w:lineRule="auto"/>
        <w:tabs>
          <w:tab w:leader="none" w:pos="120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Investors</w:t>
      </w:r>
      <w:r>
        <w:rPr>
          <w:rFonts w:ascii="Times New Roman" w:cs="Times New Roman" w:eastAsia="Times New Roman" w:hAnsi="Times New Roman"/>
          <w:sz w:val="18"/>
          <w:szCs w:val="18"/>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70" w:right="499" w:bottom="1440" w:gutter="0" w:footer="0" w:header="0"/>
        </w:sectPr>
      </w:pPr>
    </w:p>
    <w:bookmarkStart w:id="88" w:name="page89"/>
    <w:bookmarkEnd w:id="8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Except to the extent that any such losses, claims, damages, liabilities or expenses are finally judicially determined to have resulted from an Investor’s bad faith, gross negligence, recklessness, fraud or willful misconduct, in no event shall the liability of an Investor be greater in amount than the dollar amount of the proceeds (net of all expense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spacing w:after="0" w:line="188" w:lineRule="exact"/>
        <w:rPr>
          <w:sz w:val="20"/>
          <w:szCs w:val="20"/>
          <w:color w:val="auto"/>
        </w:rPr>
      </w:pPr>
    </w:p>
    <w:p>
      <w:pPr>
        <w:ind w:firstLine="987"/>
        <w:spacing w:after="0" w:line="252"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19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89" w:name="page90"/>
    <w:bookmarkEnd w:id="89"/>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to the extent that any such losses, claims, damages or liabilities are finally judicially determined to have resulted from a holder of Registrable Securities’ bad faith, gross negligence, recklessness, fraud or willful misconduct, in no event shall the contribution obligation of such holder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3" w:lineRule="exact"/>
        <w:rPr>
          <w:sz w:val="20"/>
          <w:szCs w:val="20"/>
          <w:color w:val="auto"/>
        </w:rPr>
      </w:pPr>
    </w:p>
    <w:p>
      <w:pPr>
        <w:ind w:left="620" w:hanging="184"/>
        <w:spacing w:after="0"/>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be effective as of the Closing, and if the Closing has not occurred on or prior to fifth Trading Day following the date of the Purchase Agreement, unless otherwise mutually agreed, then this Agreement shall be null and void.</w:t>
      </w:r>
    </w:p>
    <w:p>
      <w:pPr>
        <w:spacing w:after="0" w:line="161" w:lineRule="exact"/>
        <w:rPr>
          <w:rFonts w:ascii="Times New Roman" w:cs="Times New Roman" w:eastAsia="Times New Roman" w:hAnsi="Times New Roman"/>
          <w:sz w:val="18"/>
          <w:szCs w:val="18"/>
          <w:color w:val="auto"/>
        </w:rPr>
      </w:pPr>
    </w:p>
    <w:p>
      <w:pPr>
        <w:ind w:right="140" w:firstLine="987"/>
        <w:spacing w:after="0" w:line="258" w:lineRule="auto"/>
        <w:tabs>
          <w:tab w:leader="none" w:pos="12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be amended only by a writing signed by the Company and the Required Investors. Notwithstanding the foregoing, any amendment to the definition of “Filing Deadline”, Section 2(d) or Section 6 will only apply with respect to an Investor if such Investor has consented in writing to such amendment.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183" w:lineRule="exact"/>
        <w:rPr>
          <w:rFonts w:ascii="Times New Roman" w:cs="Times New Roman" w:eastAsia="Times New Roman" w:hAnsi="Times New Roman"/>
          <w:sz w:val="18"/>
          <w:szCs w:val="18"/>
          <w:color w:val="auto"/>
        </w:rPr>
      </w:pPr>
    </w:p>
    <w:p>
      <w:pPr>
        <w:ind w:right="380" w:firstLine="987"/>
        <w:spacing w:after="0" w:line="282" w:lineRule="auto"/>
        <w:tabs>
          <w:tab w:leader="none" w:pos="12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or permitted hereunder shall be made as set forth in Section 9.4 of the Purchase Agreement.</w:t>
      </w:r>
    </w:p>
    <w:p>
      <w:pPr>
        <w:spacing w:after="0" w:line="161"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and Transfers by Investors</w:t>
      </w:r>
      <w:r>
        <w:rPr>
          <w:rFonts w:ascii="Times New Roman" w:cs="Times New Roman" w:eastAsia="Times New Roman" w:hAnsi="Times New Roman"/>
          <w:sz w:val="18"/>
          <w:szCs w:val="18"/>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and Transfers by the Company</w:t>
      </w:r>
      <w:r>
        <w:rPr>
          <w:rFonts w:ascii="Times New Roman" w:cs="Times New Roman" w:eastAsia="Times New Roman" w:hAnsi="Times New Roman"/>
          <w:sz w:val="18"/>
          <w:szCs w:val="18"/>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90" w:name="page91"/>
    <w:bookmarkEnd w:id="90"/>
    <w:p>
      <w:pPr>
        <w:ind w:right="80" w:firstLine="987"/>
        <w:spacing w:after="0" w:line="261" w:lineRule="auto"/>
        <w:tabs>
          <w:tab w:leader="none" w:pos="12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Benefits of the Agreement</w:t>
      </w:r>
      <w:r>
        <w:rPr>
          <w:rFonts w:ascii="Times New Roman" w:cs="Times New Roman" w:eastAsia="Times New Roman" w:hAnsi="Times New Roman"/>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79"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1" w:lineRule="exact"/>
        <w:rPr>
          <w:rFonts w:ascii="Times New Roman" w:cs="Times New Roman" w:eastAsia="Times New Roman" w:hAnsi="Times New Roman"/>
          <w:sz w:val="18"/>
          <w:szCs w:val="18"/>
          <w:color w:val="auto"/>
        </w:rPr>
      </w:pPr>
    </w:p>
    <w:p>
      <w:pPr>
        <w:ind w:right="40" w:firstLine="987"/>
        <w:spacing w:after="0" w:line="258"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83" w:lineRule="exact"/>
        <w:rPr>
          <w:rFonts w:ascii="Times New Roman" w:cs="Times New Roman" w:eastAsia="Times New Roman" w:hAnsi="Times New Roman"/>
          <w:sz w:val="18"/>
          <w:szCs w:val="18"/>
          <w:color w:val="auto"/>
        </w:rPr>
      </w:pPr>
    </w:p>
    <w:p>
      <w:pPr>
        <w:ind w:right="120" w:firstLine="987"/>
        <w:spacing w:after="0" w:line="282"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Service of process in connection with any such suit, action or proceeding may be served on each party hereto anywhere in the world by the same methods as are specified for the giving of notices under this Agreement.</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91" w:name="page92"/>
    <w:bookmarkEnd w:id="9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or caused their duly authorized officers to execute this Agreement as of the date first above written.</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8"/>
          <w:szCs w:val="18"/>
          <w:color w:val="auto"/>
        </w:rPr>
        <w:t>ARVINAS,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Sean Cassidy</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60"/>
          </w:cols>
          <w:pgMar w:left="440" w:top="270" w:right="599" w:bottom="1440" w:gutter="0" w:footer="0" w:header="0"/>
        </w:sectPr>
      </w:pPr>
    </w:p>
    <w:bookmarkStart w:id="92" w:name="page93"/>
    <w:bookmarkEnd w:id="92"/>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ECOR1 CAPITAL FUND QUALIFIED,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Oleg Nodelman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019"/>
          </w:cols>
          <w:pgMar w:left="440" w:top="270" w:right="1440" w:bottom="1440" w:gutter="0" w:footer="0" w:header="0"/>
        </w:sectPr>
      </w:pPr>
    </w:p>
    <w:bookmarkStart w:id="93" w:name="page94"/>
    <w:bookmarkEnd w:id="93"/>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ECOR1 CAPITAL FUND,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Oleg Nodelman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019"/>
          </w:cols>
          <w:pgMar w:left="440" w:top="270" w:right="1440" w:bottom="1440" w:gutter="0" w:footer="0" w:header="0"/>
        </w:sectPr>
      </w:pPr>
    </w:p>
    <w:bookmarkStart w:id="94" w:name="page95"/>
    <w:bookmarkEnd w:id="94"/>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ADAGE CAPITAL PARTNERS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Adage Capital Partners, GP, LLC,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Adage Capital Advisors, LLC, its Managing Member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 Lehan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Dan Lehan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Operating Officer</w:t>
      </w:r>
    </w:p>
    <w:p>
      <w:pPr>
        <w:sectPr>
          <w:pgSz w:w="11900" w:h="16838" w:orient="portrait"/>
          <w:cols w:equalWidth="0" w:num="1">
            <w:col w:w="10019"/>
          </w:cols>
          <w:pgMar w:left="440" w:top="270" w:right="1440" w:bottom="1440" w:gutter="0" w:footer="0" w:header="0"/>
        </w:sectPr>
      </w:pPr>
    </w:p>
    <w:bookmarkStart w:id="95" w:name="page96"/>
    <w:bookmarkEnd w:id="95"/>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ArrowMark Life Science Fund II, LP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Rick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Rick Grove</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019"/>
          </w:cols>
          <w:pgMar w:left="440" w:top="270" w:right="1440" w:bottom="1440" w:gutter="0" w:footer="0" w:header="0"/>
        </w:sectPr>
      </w:pPr>
    </w:p>
    <w:bookmarkStart w:id="96" w:name="page97"/>
    <w:bookmarkEnd w:id="96"/>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Avidity Master Fund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Avidity Capital Partners Fund (GP) LP,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Avidity Capital Partners (GP)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Michael Gregory</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100"/>
          </w:cols>
          <w:pgMar w:left="440" w:top="270" w:right="1359" w:bottom="1440" w:gutter="0" w:footer="0" w:header="0"/>
        </w:sectPr>
      </w:pPr>
    </w:p>
    <w:bookmarkStart w:id="97" w:name="page98"/>
    <w:bookmarkEnd w:id="97"/>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Avidity Private Master Fund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Avidity Capital Partners Fund (GP) LP,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Avidity Capital Partners (GP)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Michael Gregory</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100"/>
          </w:cols>
          <w:pgMar w:left="440" w:top="270" w:right="1359" w:bottom="1440" w:gutter="0" w:footer="0" w:header="0"/>
        </w:sectPr>
      </w:pPr>
    </w:p>
    <w:bookmarkStart w:id="98" w:name="page99"/>
    <w:bookmarkEnd w:id="98"/>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BIOMEDICAL OFFSHORE VALUE FUND, LTD.</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Tavi Yehudai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Tavi Yehudai</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Director of Great Point Partners LLC</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Investment Manager)</w:t>
      </w:r>
    </w:p>
    <w:p>
      <w:pPr>
        <w:sectPr>
          <w:pgSz w:w="11900" w:h="16838" w:orient="portrait"/>
          <w:cols w:equalWidth="0" w:num="1">
            <w:col w:w="10040"/>
          </w:cols>
          <w:pgMar w:left="440" w:top="270" w:right="1419" w:bottom="1440" w:gutter="0" w:footer="0" w:header="0"/>
        </w:sectPr>
      </w:pPr>
    </w:p>
    <w:bookmarkStart w:id="99" w:name="page100"/>
    <w:bookmarkEnd w:id="99"/>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BIOMEDICAL VALUE FUND, L.P.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Tavi Yehudai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Tavi Yehudai</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Director of Great Point Partners LLC</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Investment Manager)</w:t>
      </w:r>
    </w:p>
    <w:p>
      <w:pPr>
        <w:sectPr>
          <w:pgSz w:w="11900" w:h="16838" w:orient="portrait"/>
          <w:cols w:equalWidth="0" w:num="1">
            <w:col w:w="10040"/>
          </w:cols>
          <w:pgMar w:left="440" w:top="270" w:right="14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INVESTOR:</w:t>
            </w: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CHEYNE SELECT MASTER FUND ICAV – CHEYNE GLOBAL</w:t>
            </w:r>
          </w:p>
        </w:tc>
      </w:tr>
      <w:tr>
        <w:trPr>
          <w:trHeight w:val="234"/>
        </w:trPr>
        <w:tc>
          <w:tcPr>
            <w:tcW w:w="3280" w:type="dxa"/>
            <w:vAlign w:val="bottom"/>
          </w:tcPr>
          <w:p>
            <w:pPr>
              <w:spacing w:after="0"/>
              <w:rPr>
                <w:sz w:val="20"/>
                <w:szCs w:val="20"/>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EQUITY FUND</w:t>
            </w:r>
          </w:p>
        </w:tc>
      </w:tr>
      <w:tr>
        <w:trPr>
          <w:trHeight w:val="432"/>
        </w:trPr>
        <w:tc>
          <w:tcPr>
            <w:tcW w:w="3280" w:type="dxa"/>
            <w:vAlign w:val="bottom"/>
          </w:tcPr>
          <w:p>
            <w:pPr>
              <w:spacing w:after="0"/>
              <w:rPr>
                <w:sz w:val="24"/>
                <w:szCs w:val="24"/>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Tavi Yehudai</w:t>
            </w:r>
          </w:p>
        </w:tc>
      </w:tr>
      <w:tr>
        <w:trPr>
          <w:trHeight w:val="191"/>
        </w:trPr>
        <w:tc>
          <w:tcPr>
            <w:tcW w:w="3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Tavi Yehudai</w:t>
            </w:r>
          </w:p>
        </w:tc>
      </w:tr>
      <w:tr>
        <w:trPr>
          <w:trHeight w:val="216"/>
        </w:trPr>
        <w:tc>
          <w:tcPr>
            <w:tcW w:w="3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Managing Director of Great Point Partners LLC</w:t>
            </w:r>
          </w:p>
        </w:tc>
      </w:tr>
      <w:tr>
        <w:trPr>
          <w:trHeight w:val="234"/>
        </w:trPr>
        <w:tc>
          <w:tcPr>
            <w:tcW w:w="3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Sub-Adviser)</w:t>
            </w:r>
          </w:p>
        </w:tc>
      </w:tr>
    </w:tbl>
    <w:p>
      <w:pPr>
        <w:ind w:left="12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1" w:name="page102"/>
    <w:bookmarkEnd w:id="101"/>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INVESTOR:</w:t>
            </w:r>
          </w:p>
        </w:tc>
        <w:tc>
          <w:tcPr>
            <w:tcW w:w="42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Biotech Target N.V.</w:t>
            </w:r>
          </w:p>
        </w:tc>
        <w:tc>
          <w:tcPr>
            <w:tcW w:w="3540" w:type="dxa"/>
            <w:vAlign w:val="bottom"/>
          </w:tcPr>
          <w:p>
            <w:pPr>
              <w:spacing w:after="0"/>
              <w:rPr>
                <w:sz w:val="20"/>
                <w:szCs w:val="20"/>
                <w:color w:val="auto"/>
              </w:rPr>
            </w:pPr>
          </w:p>
        </w:tc>
      </w:tr>
      <w:tr>
        <w:trPr>
          <w:trHeight w:val="432"/>
        </w:trPr>
        <w:tc>
          <w:tcPr>
            <w:tcW w:w="3280" w:type="dxa"/>
            <w:vAlign w:val="bottom"/>
          </w:tcPr>
          <w:p>
            <w:pPr>
              <w:spacing w:after="0"/>
              <w:rPr>
                <w:sz w:val="24"/>
                <w:szCs w:val="24"/>
                <w:color w:val="auto"/>
              </w:rPr>
            </w:pPr>
          </w:p>
        </w:tc>
        <w:tc>
          <w:tcPr>
            <w:tcW w:w="42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J. Bootsma</w:t>
            </w: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H. van Neutegem</w:t>
            </w:r>
          </w:p>
        </w:tc>
      </w:tr>
      <w:tr>
        <w:trPr>
          <w:trHeight w:val="191"/>
        </w:trPr>
        <w:tc>
          <w:tcPr>
            <w:tcW w:w="3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54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J. Bootsma</w:t>
            </w:r>
          </w:p>
        </w:tc>
        <w:tc>
          <w:tcPr>
            <w:tcW w:w="35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 van Neutegem</w:t>
            </w:r>
          </w:p>
        </w:tc>
      </w:tr>
      <w:tr>
        <w:trPr>
          <w:trHeight w:val="234"/>
        </w:trPr>
        <w:tc>
          <w:tcPr>
            <w:tcW w:w="3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Title:  Managing Directors</w:t>
            </w:r>
          </w:p>
        </w:tc>
      </w:tr>
    </w:tbl>
    <w:p>
      <w:pPr>
        <w:ind w:left="12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2" w:name="page103"/>
    <w:bookmarkEnd w:id="102"/>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Boxer Capital,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Aaron Davis</w:t>
      </w:r>
    </w:p>
    <w:p>
      <w:pPr>
        <w:spacing w:after="0" w:line="23"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019"/>
          </w:cols>
          <w:pgMar w:left="440" w:top="270"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INVESTOR:</w:t>
            </w:r>
          </w:p>
        </w:tc>
        <w:tc>
          <w:tcPr>
            <w:tcW w:w="774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Nextech VII Oncology SCSp S.a.r.l.</w:t>
            </w:r>
          </w:p>
        </w:tc>
      </w:tr>
      <w:tr>
        <w:trPr>
          <w:trHeight w:val="432"/>
        </w:trPr>
        <w:tc>
          <w:tcPr>
            <w:tcW w:w="3280" w:type="dxa"/>
            <w:vAlign w:val="bottom"/>
          </w:tcPr>
          <w:p>
            <w:pPr>
              <w:spacing w:after="0"/>
              <w:rPr>
                <w:sz w:val="24"/>
                <w:szCs w:val="24"/>
                <w:color w:val="auto"/>
              </w:rPr>
            </w:pPr>
          </w:p>
        </w:tc>
        <w:tc>
          <w:tcPr>
            <w:tcW w:w="44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Rocco Sgobbo</w:t>
            </w: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Costas Constantinides</w:t>
            </w:r>
          </w:p>
        </w:tc>
      </w:tr>
      <w:tr>
        <w:trPr>
          <w:trHeight w:val="211"/>
        </w:trPr>
        <w:tc>
          <w:tcPr>
            <w:tcW w:w="3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Rocco Sgobbo</w:t>
            </w:r>
          </w:p>
        </w:tc>
        <w:tc>
          <w:tcPr>
            <w:tcW w:w="3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Costas Constantinides</w:t>
            </w:r>
          </w:p>
        </w:tc>
      </w:tr>
    </w:tbl>
    <w:p>
      <w:pPr>
        <w:ind w:left="6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  Managers of Nextech VII GP acting as general partner of</w:t>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Nextech VII Oncology SCSp</w:t>
      </w:r>
    </w:p>
    <w:p>
      <w:pPr>
        <w:sectPr>
          <w:pgSz w:w="11900" w:h="16838" w:orient="portrait"/>
          <w:cols w:equalWidth="0" w:num="1">
            <w:col w:w="11020"/>
          </w:cols>
          <w:pgMar w:left="440" w:top="270" w:right="439" w:bottom="1440" w:gutter="0" w:footer="0" w:header="0"/>
        </w:sectPr>
      </w:pPr>
    </w:p>
    <w:bookmarkStart w:id="104" w:name="page105"/>
    <w:bookmarkEnd w:id="104"/>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PERCEPTIVE LIFE SCIENCES MASTER FUND, LTD.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James H. Mannix</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Operating Officer</w:t>
      </w:r>
    </w:p>
    <w:p>
      <w:pPr>
        <w:sectPr>
          <w:pgSz w:w="11900" w:h="16838" w:orient="portrait"/>
          <w:cols w:equalWidth="0" w:num="1">
            <w:col w:w="10019"/>
          </w:cols>
          <w:pgMar w:left="440" w:top="270" w:right="1440" w:bottom="1440" w:gutter="0" w:footer="0" w:header="0"/>
        </w:sectPr>
      </w:pPr>
    </w:p>
    <w:bookmarkStart w:id="105" w:name="page106"/>
    <w:bookmarkEnd w:id="105"/>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RA Capital Healthcare Fund GP, LLC, Its General Partner</w:t>
      </w:r>
    </w:p>
    <w:p>
      <w:pPr>
        <w:spacing w:after="0" w:line="23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Rajeev Shah</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120"/>
          </w:cols>
          <w:pgMar w:left="440" w:top="270" w:right="1339" w:bottom="1440" w:gutter="0" w:footer="0" w:header="0"/>
        </w:sectPr>
      </w:pPr>
    </w:p>
    <w:bookmarkStart w:id="106" w:name="page107"/>
    <w:bookmarkEnd w:id="106"/>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RTW MASTER FUND, LTD.</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Darshan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Darshan Patel</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RTW INNOVATION MASTER FUND, LTD.</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Darshan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Darshan Patel</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RTW BIOTECH OPPORTUNITIES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RTW Investments, LP, its Investment Manager</w:t>
      </w:r>
    </w:p>
    <w:p>
      <w:pPr>
        <w:spacing w:after="0" w:line="23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Partner</w:t>
      </w:r>
    </w:p>
    <w:p>
      <w:pPr>
        <w:sectPr>
          <w:pgSz w:w="11900" w:h="16838" w:orient="portrait"/>
          <w:cols w:equalWidth="0" w:num="1">
            <w:col w:w="10019"/>
          </w:cols>
          <w:pgMar w:left="440" w:top="270"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INVESTOR:</w:t>
            </w: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 ROWE PRICE HEALTH SCIENCES FUND, INC.</w:t>
            </w:r>
          </w:p>
        </w:tc>
      </w:tr>
      <w:tr>
        <w:trPr>
          <w:trHeight w:val="216"/>
        </w:trPr>
        <w:tc>
          <w:tcPr>
            <w:tcW w:w="3280" w:type="dxa"/>
            <w:vAlign w:val="bottom"/>
          </w:tcPr>
          <w:p>
            <w:pPr>
              <w:spacing w:after="0"/>
              <w:rPr>
                <w:sz w:val="18"/>
                <w:szCs w:val="18"/>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TD MUTUAL FUNDS – TD HEALTH SCIENCES FUND</w:t>
            </w:r>
          </w:p>
        </w:tc>
      </w:tr>
      <w:tr>
        <w:trPr>
          <w:trHeight w:val="216"/>
        </w:trPr>
        <w:tc>
          <w:tcPr>
            <w:tcW w:w="3280" w:type="dxa"/>
            <w:vAlign w:val="bottom"/>
          </w:tcPr>
          <w:p>
            <w:pPr>
              <w:spacing w:after="0"/>
              <w:rPr>
                <w:sz w:val="18"/>
                <w:szCs w:val="18"/>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 ROWE PRICE HEALTH SCIENCES PORTFOLIO</w:t>
            </w:r>
          </w:p>
        </w:tc>
      </w:tr>
      <w:tr>
        <w:trPr>
          <w:trHeight w:val="216"/>
        </w:trPr>
        <w:tc>
          <w:tcPr>
            <w:tcW w:w="3280" w:type="dxa"/>
            <w:vAlign w:val="bottom"/>
          </w:tcPr>
          <w:p>
            <w:pPr>
              <w:spacing w:after="0"/>
              <w:rPr>
                <w:sz w:val="18"/>
                <w:szCs w:val="18"/>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 ROWE NEW HORIZONS FUND, INC.</w:t>
            </w:r>
          </w:p>
        </w:tc>
      </w:tr>
      <w:tr>
        <w:trPr>
          <w:trHeight w:val="216"/>
        </w:trPr>
        <w:tc>
          <w:tcPr>
            <w:tcW w:w="3280" w:type="dxa"/>
            <w:vAlign w:val="bottom"/>
          </w:tcPr>
          <w:p>
            <w:pPr>
              <w:spacing w:after="0"/>
              <w:rPr>
                <w:sz w:val="18"/>
                <w:szCs w:val="18"/>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NEW YORK CITY DEFERRED COMPENSATION PLAN</w:t>
            </w:r>
          </w:p>
        </w:tc>
      </w:tr>
      <w:tr>
        <w:trPr>
          <w:trHeight w:val="216"/>
        </w:trPr>
        <w:tc>
          <w:tcPr>
            <w:tcW w:w="3280" w:type="dxa"/>
            <w:vAlign w:val="bottom"/>
          </w:tcPr>
          <w:p>
            <w:pPr>
              <w:spacing w:after="0"/>
              <w:rPr>
                <w:sz w:val="18"/>
                <w:szCs w:val="18"/>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 ROWE PRICE HORIZONS TRUST</w:t>
            </w:r>
          </w:p>
        </w:tc>
      </w:tr>
      <w:tr>
        <w:trPr>
          <w:trHeight w:val="234"/>
        </w:trPr>
        <w:tc>
          <w:tcPr>
            <w:tcW w:w="3280" w:type="dxa"/>
            <w:vAlign w:val="bottom"/>
          </w:tcPr>
          <w:p>
            <w:pPr>
              <w:spacing w:after="0"/>
              <w:rPr>
                <w:sz w:val="20"/>
                <w:szCs w:val="20"/>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 ROWE PRICE U.S. EQUITIES TRUST</w:t>
            </w:r>
          </w:p>
        </w:tc>
      </w:tr>
      <w:tr>
        <w:trPr>
          <w:trHeight w:val="338"/>
        </w:trPr>
        <w:tc>
          <w:tcPr>
            <w:tcW w:w="3280" w:type="dxa"/>
            <w:vAlign w:val="bottom"/>
          </w:tcPr>
          <w:p>
            <w:pPr>
              <w:spacing w:after="0"/>
              <w:rPr>
                <w:sz w:val="24"/>
                <w:szCs w:val="24"/>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Each account, severally and not jointly</w:t>
            </w:r>
          </w:p>
        </w:tc>
      </w:tr>
      <w:tr>
        <w:trPr>
          <w:trHeight w:val="427"/>
        </w:trPr>
        <w:tc>
          <w:tcPr>
            <w:tcW w:w="3280" w:type="dxa"/>
            <w:vAlign w:val="bottom"/>
          </w:tcPr>
          <w:p>
            <w:pPr>
              <w:spacing w:after="0"/>
              <w:rPr>
                <w:sz w:val="24"/>
                <w:szCs w:val="24"/>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T. Rowe Price Associates, Inc., Investment Adviser or Subadviser, as</w:t>
            </w:r>
          </w:p>
        </w:tc>
      </w:tr>
      <w:tr>
        <w:trPr>
          <w:trHeight w:val="234"/>
        </w:trPr>
        <w:tc>
          <w:tcPr>
            <w:tcW w:w="3280" w:type="dxa"/>
            <w:vAlign w:val="bottom"/>
          </w:tcPr>
          <w:p>
            <w:pPr>
              <w:spacing w:after="0"/>
              <w:rPr>
                <w:sz w:val="20"/>
                <w:szCs w:val="20"/>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280" w:type="dxa"/>
            <w:vAlign w:val="bottom"/>
          </w:tcPr>
          <w:p>
            <w:pPr>
              <w:spacing w:after="0"/>
              <w:rPr>
                <w:sz w:val="24"/>
                <w:szCs w:val="24"/>
                <w:color w:val="auto"/>
              </w:rPr>
            </w:pPr>
          </w:p>
        </w:tc>
        <w:tc>
          <w:tcPr>
            <w:tcW w:w="77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Nick Garifo</w:t>
            </w:r>
          </w:p>
        </w:tc>
      </w:tr>
      <w:tr>
        <w:trPr>
          <w:trHeight w:val="191"/>
        </w:trPr>
        <w:tc>
          <w:tcPr>
            <w:tcW w:w="3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Nick Garifo</w:t>
            </w:r>
          </w:p>
        </w:tc>
      </w:tr>
      <w:tr>
        <w:trPr>
          <w:trHeight w:val="234"/>
        </w:trPr>
        <w:tc>
          <w:tcPr>
            <w:tcW w:w="3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Vice President, Senior Legal Counsel</w:t>
            </w:r>
          </w:p>
        </w:tc>
      </w:tr>
    </w:tbl>
    <w:p>
      <w:pPr>
        <w:ind w:left="12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8" w:name="page109"/>
    <w:bookmarkEnd w:id="108"/>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VENROCK HEALTHCARE CAPITAL PARTNERS EG,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VHCP Management EG, LLC, its general partner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100"/>
          </w:cols>
          <w:pgMar w:left="440" w:top="270" w:right="1359" w:bottom="1440" w:gutter="0" w:footer="0" w:header="0"/>
        </w:sectPr>
      </w:pPr>
    </w:p>
    <w:bookmarkStart w:id="109" w:name="page110"/>
    <w:bookmarkEnd w:id="109"/>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VENROCK HEALTHCARE CAPITAL PARTNERS III,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VHCP Management III,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VR Adviser, LLC, its manager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040"/>
          </w:cols>
          <w:pgMar w:left="440" w:top="270" w:right="1419" w:bottom="1440" w:gutter="0" w:footer="0" w:header="0"/>
        </w:sectPr>
      </w:pPr>
    </w:p>
    <w:bookmarkStart w:id="110" w:name="page111"/>
    <w:bookmarkEnd w:id="110"/>
    <w:p>
      <w:pPr>
        <w:spacing w:after="0"/>
        <w:tabs>
          <w:tab w:leader="none" w:pos="56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7"/>
          <w:szCs w:val="17"/>
          <w:color w:val="auto"/>
        </w:rPr>
        <w:t>VHCP CO-INVESTMENT HOLDINGS III,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VHCP Management III, LLC, its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VR Adviser, LLC, its manager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019"/>
          </w:cols>
          <w:pgMar w:left="440" w:top="270" w:right="1440" w:bottom="1440" w:gutter="0" w:footer="0" w:header="0"/>
        </w:sectPr>
      </w:pPr>
    </w:p>
    <w:bookmarkStart w:id="111" w:name="page112"/>
    <w:bookmarkEnd w:id="111"/>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Citadel CEMF Investments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Citadel Advisors LLC, its portfolio manager</w:t>
      </w:r>
    </w:p>
    <w:p>
      <w:pPr>
        <w:spacing w:after="0" w:line="23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Michael Weiner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019"/>
          </w:cols>
          <w:pgMar w:left="440" w:top="270" w:right="1440" w:bottom="1440" w:gutter="0" w:footer="0" w:header="0"/>
        </w:sectPr>
      </w:pPr>
    </w:p>
    <w:bookmarkStart w:id="112" w:name="page113"/>
    <w:bookmarkEnd w:id="112"/>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8"/>
          <w:szCs w:val="18"/>
          <w:color w:val="auto"/>
        </w:rPr>
        <w:t>Citadel CEMF Investments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Citadel Advisors LLC, its portfolio manager</w:t>
      </w:r>
    </w:p>
    <w:p>
      <w:pPr>
        <w:spacing w:after="0" w:line="23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Michael Weiner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019"/>
          </w:cols>
          <w:pgMar w:left="440" w:top="270"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ordinary brokerage transactions and transactions in which the broker-dealer solicits purchasers;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block trades in which the broker-dealer will attempt to sell the shares as agent, but may position and resell a portion of the block as principal to facilitate the transaction;</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purchases by a broker-dealer as principal and resale by the broker-dealer for its account;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an exchange distribution in accordance with the rules of the applicable exchange;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privately negotiated transactions;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short sales;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through the writing or settlement of options or other hedging transactions, whether through an options exchange or otherwise;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broker-dealers may agree with the selling stockholders to sell a specified number of such shares at a stipulated price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a combination of any such methods of sale;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any other method permitted by applicable law.</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ectPr>
          <w:pgSz w:w="11900" w:h="16838" w:orient="portrait"/>
          <w:cols w:equalWidth="0" w:num="1">
            <w:col w:w="10980"/>
          </w:cols>
          <w:pgMar w:left="440" w:top="266" w:right="479" w:bottom="1440" w:gutter="0" w:footer="0" w:header="0"/>
        </w:sectPr>
      </w:pPr>
    </w:p>
    <w:bookmarkStart w:id="114" w:name="page115"/>
    <w:bookmarkEnd w:id="114"/>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ectPr>
          <w:pgSz w:w="11900" w:h="16838" w:orient="portrait"/>
          <w:cols w:equalWidth="0" w:num="1">
            <w:col w:w="11000"/>
          </w:cols>
          <w:pgMar w:left="440" w:top="270" w:right="459" w:bottom="1440" w:gutter="0" w:footer="0" w:header="0"/>
        </w:sectPr>
      </w:pPr>
    </w:p>
    <w:bookmarkStart w:id="115" w:name="page116"/>
    <w:bookmarkEnd w:id="115"/>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ectPr>
          <w:pgSz w:w="11900" w:h="16838" w:orient="portrait"/>
          <w:cols w:equalWidth="0" w:num="1">
            <w:col w:w="10900"/>
          </w:cols>
          <w:pgMar w:left="440" w:top="270" w:right="5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Selling Stockholder Questionnaire</w:t>
      </w:r>
    </w:p>
    <w:p>
      <w:pPr>
        <w:sectPr>
          <w:pgSz w:w="11900" w:h="16838" w:orient="portrait"/>
          <w:cols w:equalWidth="0" w:num="1">
            <w:col w:w="9019"/>
          </w:cols>
          <w:pgMar w:left="1440" w:top="266" w:right="1440" w:bottom="1440" w:gutter="0" w:footer="0" w:header="0"/>
        </w:sectPr>
      </w:pPr>
    </w:p>
    <w:bookmarkStart w:id="117" w:name="page118"/>
    <w:bookmarkEnd w:id="11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ARVINAS, INC.</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0"/>
          <w:szCs w:val="20"/>
          <w:color w:val="auto"/>
        </w:rPr>
        <w:t>SELLING STOCKHOLDER QUESTIONNAIRE</w:t>
      </w:r>
    </w:p>
    <w:p>
      <w:pPr>
        <w:spacing w:after="0" w:line="220"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Reference is made to that certain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dated as of [•], 2023, by and among Arvinas,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parties named therein. Capitalized terms used and not defined herein shall have the meanings given to such terms in the Registration Rights Agreement.</w:t>
      </w:r>
    </w:p>
    <w:p>
      <w:pPr>
        <w:spacing w:after="0" w:line="176"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The undersigned holder of the Registrable Securities (the “undersigned or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is providing this Selling Stockholder Questionnaire pursuant to Section 5(a) of the Registration Rights Agreement. The undersigned, by signing and returning this Selling Stockholder Questionnaire, understands that it will be bound by the terms and conditions of this Selling Stockholder Questionnaire and the Registration Rights Agreement. The undersigned hereby acknowledges its indemnity obligations pursuant to Section 6(b) of the Registration Rights Agreement.</w:t>
      </w:r>
    </w:p>
    <w:p>
      <w:pPr>
        <w:spacing w:after="0" w:line="180"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The undersigned further acknowledges that the Company intends to use the information set forth below in preparing a resale registration statement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relating to the Registrable Securities. The undersigned understands that failure to provide the requested information may result in the Company’s exclusion of the undersigned Registrable Securities from the Resale Registration Statement.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provides the following information to the Company and represents and warrants that such information is accurate and complete.</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PART A. </w:t>
      </w:r>
      <w:r>
        <w:rPr>
          <w:rFonts w:ascii="Times New Roman" w:cs="Times New Roman" w:eastAsia="Times New Roman" w:hAnsi="Times New Roman"/>
          <w:sz w:val="18"/>
          <w:szCs w:val="18"/>
          <w:u w:val="single" w:color="auto"/>
          <w:color w:val="auto"/>
        </w:rPr>
        <w:t>BACKGROUND INFORMATION</w:t>
      </w:r>
    </w:p>
    <w:p>
      <w:pPr>
        <w:spacing w:after="0" w:line="252" w:lineRule="exact"/>
        <w:rPr>
          <w:sz w:val="20"/>
          <w:szCs w:val="20"/>
          <w:color w:val="auto"/>
        </w:rPr>
      </w:pPr>
    </w:p>
    <w:p>
      <w:pPr>
        <w:ind w:left="444" w:hanging="444"/>
        <w:spacing w:after="0"/>
        <w:tabs>
          <w:tab w:leader="none" w:pos="4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 Legal Name of the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884" w:hanging="439"/>
        <w:spacing w:after="0"/>
        <w:tabs>
          <w:tab w:leader="none" w:pos="8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listed in (3) below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884" w:hanging="439"/>
        <w:spacing w:after="0" w:line="282" w:lineRule="auto"/>
        <w:tabs>
          <w:tab w:leader="none" w:pos="8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DTC Participant (if applicable and if not the same as (b) above) through which Registrable Securities listed in (3) below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to the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4" w:right="930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-2807970</wp:posOffset>
            </wp:positionV>
            <wp:extent cx="44272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2722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-2259330</wp:posOffset>
            </wp:positionV>
            <wp:extent cx="44272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427220"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-1573530</wp:posOffset>
            </wp:positionV>
            <wp:extent cx="44272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2722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-1007745</wp:posOffset>
            </wp:positionV>
            <wp:extent cx="46558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5582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-733425</wp:posOffset>
            </wp:positionV>
            <wp:extent cx="46558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55820"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-459105</wp:posOffset>
            </wp:positionV>
            <wp:extent cx="4084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84320" cy="8255"/>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-184785</wp:posOffset>
            </wp:positionV>
            <wp:extent cx="37420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742055" cy="8890"/>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118" w:name="page119"/>
    <w:bookmarkEnd w:id="118"/>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 Ownership of Registrable Securities (the securities being purchased pursuant to the Purchase Agreement):</w:t>
      </w:r>
    </w:p>
    <w:p>
      <w:pPr>
        <w:spacing w:after="0" w:line="225" w:lineRule="exact"/>
        <w:rPr>
          <w:rFonts w:ascii="Times New Roman" w:cs="Times New Roman" w:eastAsia="Times New Roman" w:hAnsi="Times New Roman"/>
          <w:sz w:val="18"/>
          <w:szCs w:val="18"/>
          <w:color w:val="auto"/>
        </w:rPr>
      </w:pPr>
    </w:p>
    <w:p>
      <w:pPr>
        <w:ind w:left="884" w:hanging="452"/>
        <w:spacing w:after="0"/>
        <w:tabs>
          <w:tab w:leader="none" w:pos="88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Principal Amount/Number of Registrable Securities beneficially owned: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884" w:hanging="452"/>
        <w:spacing w:after="0"/>
        <w:tabs>
          <w:tab w:leader="none" w:pos="88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No(s). of such Registrable Securities beneficially owned: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Other Securities of the Company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-830580</wp:posOffset>
            </wp:positionV>
            <wp:extent cx="44272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42722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-281940</wp:posOffset>
            </wp:positionV>
            <wp:extent cx="44272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427220" cy="8255"/>
                    </a:xfrm>
                    <a:prstGeom prst="rect">
                      <a:avLst/>
                    </a:prstGeom>
                    <a:noFill/>
                  </pic:spPr>
                </pic:pic>
              </a:graphicData>
            </a:graphic>
          </wp:anchor>
        </w:drawing>
      </w:r>
    </w:p>
    <w:p>
      <w:pPr>
        <w:spacing w:after="0" w:line="20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Except as set forth below in this Item (4), the Selling Stockholder is not the beneficial or registered owner of any securities of the Company other than the Registrable Securities listed above in Item (3).</w:t>
      </w:r>
    </w:p>
    <w:p>
      <w:pPr>
        <w:spacing w:after="0" w:line="189" w:lineRule="exact"/>
        <w:rPr>
          <w:sz w:val="20"/>
          <w:szCs w:val="20"/>
          <w:color w:val="auto"/>
        </w:rPr>
      </w:pPr>
    </w:p>
    <w:p>
      <w:pPr>
        <w:ind w:left="884" w:hanging="344"/>
        <w:spacing w:after="0"/>
        <w:tabs>
          <w:tab w:leader="none" w:pos="88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884" w:hanging="344"/>
        <w:spacing w:after="0"/>
        <w:tabs>
          <w:tab w:leader="none" w:pos="88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No(s). of such Other Securities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-281940</wp:posOffset>
            </wp:positionV>
            <wp:extent cx="44272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427220"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266065</wp:posOffset>
            </wp:positionV>
            <wp:extent cx="44272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427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spacing w:after="0"/>
        <w:tabs>
          <w:tab w:leader="none" w:pos="1024" w:val="left"/>
        </w:tabs>
        <w:rPr>
          <w:sz w:val="20"/>
          <w:szCs w:val="20"/>
          <w:color w:val="auto"/>
        </w:rPr>
      </w:pPr>
      <w:r>
        <w:rPr>
          <w:rFonts w:ascii="Times New Roman" w:cs="Times New Roman" w:eastAsia="Times New Roman" w:hAnsi="Times New Roman"/>
          <w:sz w:val="18"/>
          <w:szCs w:val="18"/>
          <w:color w:val="auto"/>
        </w:rPr>
        <w:t>PART B.</w:t>
      </w:r>
      <w:r>
        <w:rPr>
          <w:sz w:val="20"/>
          <w:szCs w:val="20"/>
          <w:color w:val="auto"/>
        </w:rPr>
        <w:tab/>
      </w:r>
      <w:r>
        <w:rPr>
          <w:rFonts w:ascii="Times New Roman" w:cs="Times New Roman" w:eastAsia="Times New Roman" w:hAnsi="Times New Roman"/>
          <w:sz w:val="17"/>
          <w:szCs w:val="17"/>
          <w:u w:val="single" w:color="auto"/>
          <w:color w:val="auto"/>
        </w:rPr>
        <w:t>RESALE REGISTRATION STATEMENT QUESTIONS</w:t>
      </w:r>
    </w:p>
    <w:p>
      <w:pPr>
        <w:spacing w:after="0" w:line="252" w:lineRule="exact"/>
        <w:rPr>
          <w:sz w:val="20"/>
          <w:szCs w:val="20"/>
          <w:color w:val="auto"/>
        </w:rPr>
      </w:pPr>
    </w:p>
    <w:p>
      <w:pPr>
        <w:ind w:left="344" w:right="260" w:hanging="254"/>
        <w:spacing w:after="0" w:line="266" w:lineRule="auto"/>
        <w:tabs>
          <w:tab w:leader="none" w:pos="3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Affiliation with Broker-Dealers: Is the undersigned a registered broker-dealer or an affiliate of a registered broker-dealer? For purposes of this question, an “affiliate” of a specified person or entity means a person or entity that directly, or indirectly through one or more intermediaries, controls or is controlled by, or is under common control with, the person or entity specified.</w:t>
      </w:r>
    </w:p>
    <w:p>
      <w:pPr>
        <w:spacing w:after="0" w:line="176" w:lineRule="exact"/>
        <w:rPr>
          <w:sz w:val="20"/>
          <w:szCs w:val="20"/>
          <w:color w:val="auto"/>
        </w:rPr>
      </w:pPr>
    </w:p>
    <w:p>
      <w:pPr>
        <w:ind w:left="344"/>
        <w:spacing w:after="0"/>
        <w:tabs>
          <w:tab w:leader="none" w:pos="1884"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-7620</wp:posOffset>
            </wp:positionV>
            <wp:extent cx="3429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-7620</wp:posOffset>
            </wp:positionV>
            <wp:extent cx="3429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8"/>
          <w:szCs w:val="18"/>
          <w:color w:val="auto"/>
        </w:rPr>
        <w:t>If so, please answer the remaining questions in this section.</w:t>
      </w:r>
    </w:p>
    <w:p>
      <w:pPr>
        <w:spacing w:after="0" w:line="225" w:lineRule="exact"/>
        <w:rPr>
          <w:sz w:val="20"/>
          <w:szCs w:val="20"/>
          <w:color w:val="auto"/>
        </w:rPr>
      </w:pPr>
    </w:p>
    <w:p>
      <w:pPr>
        <w:ind w:left="344" w:right="320"/>
        <w:spacing w:after="0" w:line="282" w:lineRule="auto"/>
        <w:rPr>
          <w:sz w:val="20"/>
          <w:szCs w:val="20"/>
          <w:color w:val="auto"/>
        </w:rPr>
      </w:pPr>
      <w:r>
        <w:rPr>
          <w:rFonts w:ascii="Times New Roman" w:cs="Times New Roman" w:eastAsia="Times New Roman" w:hAnsi="Times New Roman"/>
          <w:sz w:val="18"/>
          <w:szCs w:val="18"/>
          <w:color w:val="auto"/>
        </w:rPr>
        <w:t>Please identify the registered broker-dealer(s) and describe the nature of the affiliation(s) between the undersigned and any registered broker-dealers: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225425</wp:posOffset>
            </wp:positionV>
            <wp:extent cx="53701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7019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499745</wp:posOffset>
            </wp:positionV>
            <wp:extent cx="53701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70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
        <w:spacing w:after="0"/>
        <w:rPr>
          <w:sz w:val="20"/>
          <w:szCs w:val="20"/>
          <w:color w:val="auto"/>
        </w:rPr>
      </w:pPr>
      <w:r>
        <w:rPr>
          <w:rFonts w:ascii="Times New Roman" w:cs="Times New Roman" w:eastAsia="Times New Roman" w:hAnsi="Times New Roman"/>
          <w:sz w:val="18"/>
          <w:szCs w:val="18"/>
          <w:color w:val="auto"/>
        </w:rPr>
        <w:t>2. If the Registrable Securities are being purchased by you other than in the ordinary course of business, please describe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266065</wp:posOffset>
            </wp:positionV>
            <wp:extent cx="53701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70195" cy="8890"/>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540385</wp:posOffset>
            </wp:positionV>
            <wp:extent cx="53701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70195" cy="8255"/>
                    </a:xfrm>
                    <a:prstGeom prst="rect">
                      <a:avLst/>
                    </a:prstGeom>
                    <a:noFill/>
                  </pic:spPr>
                </pic:pic>
              </a:graphicData>
            </a:graphic>
          </wp:anchor>
        </w:drawing>
      </w:r>
    </w:p>
    <w:p>
      <w:pPr>
        <w:sectPr>
          <w:pgSz w:w="11900" w:h="16838" w:orient="portrait"/>
          <w:cols w:equalWidth="0" w:num="1">
            <w:col w:w="10824"/>
          </w:cols>
          <w:pgMar w:left="436" w:top="270" w:right="639" w:bottom="1440" w:gutter="0" w:footer="0" w:header="0"/>
        </w:sectPr>
      </w:pPr>
    </w:p>
    <w:bookmarkStart w:id="119" w:name="page120"/>
    <w:bookmarkEnd w:id="119"/>
    <w:p>
      <w:pPr>
        <w:ind w:left="254" w:right="40" w:hanging="254"/>
        <w:spacing w:after="0" w:line="282" w:lineRule="auto"/>
        <w:tabs>
          <w:tab w:leader="none" w:pos="2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at the time of purchasing the Registrable Securities, will have any agreements or understandings, directly or indirectly, with any person to distribute the Registrable Securities, please describe such agreements or understandings: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254" w:hanging="254"/>
        <w:spacing w:after="0"/>
        <w:tabs>
          <w:tab w:leader="none" w:pos="2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 with the Company:</w:t>
      </w:r>
    </w:p>
    <w:p>
      <w:pPr>
        <w:spacing w:after="0" w:line="225" w:lineRule="exact"/>
        <w:rPr>
          <w:rFonts w:ascii="Times New Roman" w:cs="Times New Roman" w:eastAsia="Times New Roman" w:hAnsi="Times New Roman"/>
          <w:sz w:val="18"/>
          <w:szCs w:val="18"/>
          <w:color w:val="auto"/>
        </w:rPr>
      </w:pPr>
    </w:p>
    <w:p>
      <w:pPr>
        <w:ind w:left="654" w:hanging="407"/>
        <w:spacing w:after="0" w:line="266" w:lineRule="auto"/>
        <w:tabs>
          <w:tab w:leader="none" w:pos="6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you or any of your affiliates, officers, directors or principal equity holders (owners of 5% or more of the equity securities of the undersigned) held any position or office or have you had any other material relationship with the Company (or its predecessors or affiliates) within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-1136015</wp:posOffset>
            </wp:positionV>
            <wp:extent cx="53701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7019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-861695</wp:posOffset>
            </wp:positionV>
            <wp:extent cx="53701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70195" cy="8255"/>
                    </a:xfrm>
                    <a:prstGeom prst="rect">
                      <a:avLst/>
                    </a:prstGeom>
                    <a:noFill/>
                  </pic:spPr>
                </pic:pic>
              </a:graphicData>
            </a:graphic>
          </wp:anchor>
        </w:drawing>
      </w:r>
    </w:p>
    <w:p>
      <w:pPr>
        <w:spacing w:after="0" w:line="156" w:lineRule="exact"/>
        <w:rPr>
          <w:sz w:val="20"/>
          <w:szCs w:val="20"/>
          <w:color w:val="auto"/>
        </w:rPr>
      </w:pPr>
    </w:p>
    <w:p>
      <w:pPr>
        <w:ind w:left="254"/>
        <w:spacing w:after="0"/>
        <w:tabs>
          <w:tab w:leader="none" w:pos="1794"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-7620</wp:posOffset>
            </wp:positionV>
            <wp:extent cx="3429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-7620</wp:posOffset>
            </wp:positionV>
            <wp:extent cx="3429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654" w:hanging="407"/>
        <w:spacing w:after="0"/>
        <w:tabs>
          <w:tab w:leader="none" w:pos="65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please state the nature and duration of your relationship with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jc w:val="both"/>
        <w:ind w:left="254" w:hanging="254"/>
        <w:spacing w:after="0" w:line="266" w:lineRule="auto"/>
        <w:tabs>
          <w:tab w:leader="none" w:pos="2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of Distribution: Except as set forth below, the undersigned intends to distribute its Registrable Securities pursuant to the Resale Registration Statement in accordance with the “Plan of Distribution” that will be included therein, a copy of which is attached as Exhibit A to the Registration Rights Agreement by and among the Company and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-861695</wp:posOffset>
            </wp:positionV>
            <wp:extent cx="47986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98695" cy="825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-587375</wp:posOffset>
            </wp:positionV>
            <wp:extent cx="47986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98695" cy="8255"/>
                    </a:xfrm>
                    <a:prstGeom prst="rect">
                      <a:avLst/>
                    </a:prstGeom>
                    <a:noFill/>
                  </pic:spPr>
                </pic:pic>
              </a:graphicData>
            </a:graphic>
          </wp:anchor>
        </w:drawing>
      </w:r>
    </w:p>
    <w:p>
      <w:pPr>
        <w:spacing w:after="0" w:line="156" w:lineRule="exact"/>
        <w:rPr>
          <w:sz w:val="20"/>
          <w:szCs w:val="20"/>
          <w:color w:val="auto"/>
        </w:rPr>
      </w:pPr>
    </w:p>
    <w:p>
      <w:pPr>
        <w:ind w:left="654"/>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266065</wp:posOffset>
            </wp:positionV>
            <wp:extent cx="47986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98695" cy="825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540385</wp:posOffset>
            </wp:positionV>
            <wp:extent cx="47986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98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54" w:right="140" w:hanging="254"/>
        <w:spacing w:after="0" w:line="282" w:lineRule="auto"/>
        <w:tabs>
          <w:tab w:leader="none" w:pos="2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Nature of Beneficial Holding: The purpose of this question is to identify the ultimate natural person(s) or publicly held entity that will exercise(s) sole or shared voting or dispositive power over the Registrable Securities.</w:t>
      </w:r>
    </w:p>
    <w:p>
      <w:pPr>
        <w:spacing w:after="0" w:line="162" w:lineRule="exact"/>
        <w:rPr>
          <w:sz w:val="20"/>
          <w:szCs w:val="20"/>
          <w:color w:val="auto"/>
        </w:rPr>
      </w:pPr>
    </w:p>
    <w:p>
      <w:pPr>
        <w:ind w:left="654" w:right="200" w:hanging="407"/>
        <w:spacing w:after="0" w:line="266"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undersigned required to file, or is it a wholly-owned subsidiary of a company that is required to file, periodic and other reports (for example, Forms 10-K, 10-Q, 8-K)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section 13(a) or 15(d) of the Exchange Act?</w:t>
      </w:r>
    </w:p>
    <w:p>
      <w:pPr>
        <w:spacing w:after="0" w:line="176" w:lineRule="exact"/>
        <w:rPr>
          <w:sz w:val="20"/>
          <w:szCs w:val="20"/>
          <w:color w:val="auto"/>
        </w:rPr>
      </w:pPr>
    </w:p>
    <w:p>
      <w:pPr>
        <w:ind w:left="594"/>
        <w:spacing w:after="0"/>
        <w:tabs>
          <w:tab w:leader="none" w:pos="2194"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-7620</wp:posOffset>
            </wp:positionV>
            <wp:extent cx="3429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-7620</wp:posOffset>
            </wp:positionV>
            <wp:extent cx="3429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654" w:hanging="407"/>
        <w:spacing w:after="0"/>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whether the undersigned is a subsidiary of an investment company, registered under the Investment Company Act of 1940:</w:t>
      </w:r>
    </w:p>
    <w:p>
      <w:pPr>
        <w:spacing w:after="0" w:line="225" w:lineRule="exact"/>
        <w:rPr>
          <w:rFonts w:ascii="Times New Roman" w:cs="Times New Roman" w:eastAsia="Times New Roman" w:hAnsi="Times New Roman"/>
          <w:sz w:val="18"/>
          <w:szCs w:val="18"/>
          <w:color w:val="auto"/>
        </w:rPr>
      </w:pPr>
    </w:p>
    <w:p>
      <w:pPr>
        <w:ind w:left="59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-7620</wp:posOffset>
            </wp:positionV>
            <wp:extent cx="3429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1544320</wp:posOffset>
            </wp:positionH>
            <wp:positionV relativeFrom="paragraph">
              <wp:posOffset>-7620</wp:posOffset>
            </wp:positionV>
            <wp:extent cx="3429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714"/>
          </w:cols>
          <w:pgMar w:left="526" w:top="270" w:right="659" w:bottom="1440" w:gutter="0" w:footer="0" w:header="0"/>
        </w:sectPr>
      </w:pPr>
    </w:p>
    <w:bookmarkStart w:id="120" w:name="page121"/>
    <w:bookmarkEnd w:id="120"/>
    <w:p>
      <w:pPr>
        <w:ind w:left="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subsidiary, please identify the publicly-held parent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128905</wp:posOffset>
            </wp:positionV>
            <wp:extent cx="47986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98695" cy="8255"/>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403225</wp:posOffset>
            </wp:positionV>
            <wp:extent cx="47986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98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If you answered “Yes” to these two questions (Part B, clauses 6(A) and (B)), you may skip the next question, and proceed to the signature page of this Questionnaire.</w:t>
      </w:r>
    </w:p>
    <w:p>
      <w:pPr>
        <w:spacing w:after="0" w:line="162" w:lineRule="exact"/>
        <w:rPr>
          <w:sz w:val="20"/>
          <w:szCs w:val="20"/>
          <w:color w:val="auto"/>
        </w:rPr>
      </w:pPr>
    </w:p>
    <w:p>
      <w:pPr>
        <w:ind w:left="520" w:right="20" w:hanging="416"/>
        <w:spacing w:after="0" w:line="266"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identify the controlling person(s) of the undersigned (the “</w:t>
      </w:r>
      <w:r>
        <w:rPr>
          <w:rFonts w:ascii="Times New Roman" w:cs="Times New Roman" w:eastAsia="Times New Roman" w:hAnsi="Times New Roman"/>
          <w:sz w:val="18"/>
          <w:szCs w:val="18"/>
          <w:u w:val="single" w:color="auto"/>
          <w:color w:val="auto"/>
        </w:rPr>
        <w:t>Controlling Entity</w:t>
      </w:r>
      <w:r>
        <w:rPr>
          <w:rFonts w:ascii="Times New Roman" w:cs="Times New Roman" w:eastAsia="Times New Roman" w:hAnsi="Times New Roman"/>
          <w:sz w:val="18"/>
          <w:szCs w:val="18"/>
          <w:color w:val="auto"/>
        </w:rPr>
        <w:t>”). If the Controlling Entity is not a natural person or a publicly held entity, please identify each controlling person(s) of such Controlling Entity. This process should be repeated until you reach natural persons or a publicly held entity that will exercise sole or shared voting or dispositive power over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234950</wp:posOffset>
            </wp:positionV>
            <wp:extent cx="47986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98695" cy="8255"/>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509270</wp:posOffset>
            </wp:positionV>
            <wp:extent cx="47986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98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find below an example of the requested natural person disclosure:</w:t>
      </w:r>
    </w:p>
    <w:p>
      <w:pPr>
        <w:spacing w:after="0" w:line="11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The securities will be held by [VC Fund I] and [VC Fund II]. The [sole general partner] of [VC Fund I] and [VC Fund II] is [VC Management LLC]. The [managers] of [VC Management LLC] are [John Smith] and [Jane Doe]. These individuals may be deemed to have shared voting and investment power of the securities held by [VC Fund I] and [VC Fund II]. Each of these individuals will disclaim beneficial ownership of such securities, except to the extent of his or her pecuniary interest therein.</w:t>
      </w:r>
    </w:p>
    <w:p>
      <w:pPr>
        <w:spacing w:after="0" w:line="182" w:lineRule="exact"/>
        <w:rPr>
          <w:sz w:val="20"/>
          <w:szCs w:val="20"/>
          <w:color w:val="auto"/>
        </w:rPr>
      </w:pPr>
    </w:p>
    <w:p>
      <w:pPr>
        <w:ind w:left="100"/>
        <w:spacing w:after="0"/>
        <w:tabs>
          <w:tab w:leader="none" w:pos="500" w:val="left"/>
        </w:tabs>
        <w:rPr>
          <w:sz w:val="20"/>
          <w:szCs w:val="20"/>
          <w:color w:val="auto"/>
        </w:rPr>
      </w:pPr>
      <w:r>
        <w:rPr>
          <w:rFonts w:ascii="Times New Roman" w:cs="Times New Roman" w:eastAsia="Times New Roman" w:hAnsi="Times New Roman"/>
          <w:sz w:val="18"/>
          <w:szCs w:val="18"/>
          <w:color w:val="auto"/>
        </w:rPr>
        <w:t>(D)</w:t>
        <w:tab/>
        <w:t>Please provide contact information for all controlling persons and Controlling Entities identified in Part B, clause 6(C) above: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Name of controlling</w:t>
            </w:r>
          </w:p>
        </w:tc>
        <w:tc>
          <w:tcPr>
            <w:tcW w:w="37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person or Controlling</w:t>
            </w:r>
          </w:p>
        </w:tc>
        <w:tc>
          <w:tcPr>
            <w:tcW w:w="3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Entity (including</w:t>
            </w:r>
          </w:p>
        </w:tc>
        <w:tc>
          <w:tcPr>
            <w:tcW w:w="3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contact person for</w:t>
            </w:r>
          </w:p>
        </w:tc>
        <w:tc>
          <w:tcPr>
            <w:tcW w:w="372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color w:val="auto"/>
              </w:rPr>
              <w:t>Mailing Address</w:t>
            </w:r>
          </w:p>
        </w:tc>
        <w:tc>
          <w:tcPr>
            <w:tcW w:w="268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E-Mail Address</w:t>
            </w:r>
          </w:p>
        </w:tc>
        <w:tc>
          <w:tcPr>
            <w:tcW w:w="17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Telephone Number</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u w:val="single" w:color="auto"/>
                <w:color w:val="auto"/>
              </w:rPr>
              <w:t>Controlling Entities)</w:t>
            </w:r>
          </w:p>
        </w:tc>
        <w:tc>
          <w:tcPr>
            <w:tcW w:w="372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-1270</wp:posOffset>
            </wp:positionV>
            <wp:extent cx="48088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21" w:name="page122"/>
    <w:bookmarkEnd w:id="121"/>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advises the Investor that the SEC currently takes the position that coverage of Short Sales (as defined in the Purchase Agreement) of shares of common stock “against the box” prior to effectiveness of a resale registration statement with securities included in such registration statement would be a violation of Section 5 of the Securities Act, as set forth in Item 239.10 of the Securities Act Rules Compliance and Disclosure Interpretations compiled by the Office of Chief Counsel, Division of Corporation Finance.</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you need more space for any response, please attach additional sheets of paper. Please be sure to indicate your name and the number of the item being responded to on each such additional sheet of paper, and to sign each such additional sheet of paper before attaching it to this Questionnaire. Please note that you may be asked to answer additional questions depending on your responses to the above questions.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Resale Registration Statement and the related prospectus. Accordingly, holders and beneficial owners of Registrable Securities are advised to consult their own securities law counsel regarding the consequences of being named or not being named as a selling stockholder in the Resale Registration Statement and the related prospectus.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elects to include the Registrable Securities owned by it in the Registration Statement and consents to the disclosure of the information contained herein and the inclusion of such information in the Resale Registration Statement, any amendments thereto and the related prospectus or other filings with the SEC. The undersigned understands that such information will be relied upon by the Company in connection with the preparation or amendment of the Resale Registration Statement and the related prospectus.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Selling Stockholder acknowledges that it understands its obligations to comply with the provisions of the Securities Exchange Act of 1934, as amended, and the rules thereunder relating to stock manipulation, particularly Regulation M thereunder (or any successor rules or regulations), in connection with any offering of Registrable Securities pursuant to the Resale Registration Agreement. The Selling Stockholder agrees that neither it nor any person acting on its behalf will engage in any transaction in violation of such provisions.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undersigned agrees to notify the Company immediately of any changes in the foregoing information and to furnish any supplementary information that may be appropriate.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00"/>
          </w:cols>
          <w:pgMar w:left="440" w:top="270" w:right="459" w:bottom="1440" w:gutter="0" w:footer="0" w:header="0"/>
        </w:sectPr>
      </w:pPr>
    </w:p>
    <w:bookmarkStart w:id="122" w:name="page123"/>
    <w:bookmarkEnd w:id="122"/>
    <w:tbl>
      <w:tblPr>
        <w:tblLayout w:type="fixed"/>
        <w:tblInd w:w="4" w:type="dxa"/>
        <w:tblCellMar>
          <w:top w:w="0" w:type="dxa"/>
          <w:left w:w="0" w:type="dxa"/>
          <w:bottom w:w="0" w:type="dxa"/>
          <w:right w:w="0" w:type="dxa"/>
        </w:tblCellMar>
      </w:tblPr>
      <w:tr>
        <w:trPr>
          <w:trHeight w:val="207"/>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executed this Questionnaire this</w:t>
            </w:r>
          </w:p>
        </w:tc>
        <w:tc>
          <w:tcPr>
            <w:tcW w:w="540" w:type="dxa"/>
            <w:vAlign w:val="bottom"/>
            <w:tcBorders>
              <w:bottom w:val="single" w:sz="8" w:color="auto"/>
            </w:tcBorders>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 of</w:t>
            </w:r>
          </w:p>
        </w:tc>
        <w:tc>
          <w:tcPr>
            <w:tcW w:w="1080" w:type="dxa"/>
            <w:vAlign w:val="bottom"/>
            <w:tcBorders>
              <w:bottom w:val="single" w:sz="8" w:color="auto"/>
            </w:tcBorders>
          </w:tcPr>
          <w:p>
            <w:pPr>
              <w:spacing w:after="0"/>
              <w:rPr>
                <w:sz w:val="17"/>
                <w:szCs w:val="17"/>
                <w:color w:val="auto"/>
              </w:rPr>
            </w:pPr>
          </w:p>
        </w:tc>
        <w:tc>
          <w:tcPr>
            <w:tcW w:w="2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2023, and declares that it is</w:t>
            </w:r>
          </w:p>
        </w:tc>
      </w:tr>
      <w:tr>
        <w:trPr>
          <w:trHeight w:val="23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truthful and correct.</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EXECUTION BY AN ENTITY:</w:t>
      </w:r>
    </w:p>
    <w:p>
      <w:pPr>
        <w:spacing w:after="0" w:line="256" w:lineRule="exact"/>
        <w:rPr>
          <w:sz w:val="20"/>
          <w:szCs w:val="20"/>
          <w:color w:val="auto"/>
        </w:rPr>
      </w:pPr>
    </w:p>
    <w:tbl>
      <w:tblPr>
        <w:tblLayout w:type="fixed"/>
        <w:tblInd w:w="424"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97"/>
              </w:rPr>
              <w:t>Entity Name:</w:t>
            </w:r>
          </w:p>
        </w:tc>
      </w:tr>
      <w:tr>
        <w:trPr>
          <w:trHeight w:val="418"/>
        </w:trPr>
        <w:tc>
          <w:tcPr>
            <w:tcW w:w="1500" w:type="dxa"/>
            <w:vAlign w:val="bottom"/>
            <w:tcBorders>
              <w:bottom w:val="single" w:sz="8" w:color="auto"/>
            </w:tcBorders>
          </w:tcPr>
          <w:p>
            <w:pPr>
              <w:spacing w:after="0"/>
              <w:rPr>
                <w:sz w:val="24"/>
                <w:szCs w:val="24"/>
                <w:color w:val="auto"/>
              </w:rPr>
            </w:pP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By:</w:t>
            </w: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Print Name:</w:t>
            </w:r>
          </w:p>
        </w:tc>
      </w:tr>
      <w:tr>
        <w:trPr>
          <w:trHeight w:val="257"/>
        </w:trPr>
        <w:tc>
          <w:tcPr>
            <w:tcW w:w="1500" w:type="dxa"/>
            <w:vAlign w:val="bottom"/>
          </w:tcPr>
          <w:p>
            <w:pPr>
              <w:spacing w:after="0"/>
              <w:rPr>
                <w:sz w:val="22"/>
                <w:szCs w:val="22"/>
                <w:color w:val="auto"/>
              </w:rPr>
            </w:pP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-591185</wp:posOffset>
            </wp:positionV>
            <wp:extent cx="28632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-153670</wp:posOffset>
            </wp:positionV>
            <wp:extent cx="28632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0</wp:posOffset>
            </wp:positionV>
            <wp:extent cx="28632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-299720</wp:posOffset>
            </wp:positionV>
            <wp:extent cx="29317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28" w:lineRule="exact"/>
        <w:rPr>
          <w:sz w:val="20"/>
          <w:szCs w:val="20"/>
          <w:color w:val="auto"/>
        </w:rPr>
      </w:pPr>
    </w:p>
    <w:p>
      <w:pPr>
        <w:ind w:left="5304" w:right="3080" w:hanging="5304"/>
        <w:spacing w:after="0" w:line="534" w:lineRule="auto"/>
        <w:tabs>
          <w:tab w:leader="none" w:pos="431"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SIGNATURES (if required by partnership, corporation or trust document): </w:t>
      </w:r>
      <w:r>
        <w:rPr>
          <w:rFonts w:ascii="Times New Roman" w:cs="Times New Roman" w:eastAsia="Times New Roman" w:hAnsi="Times New Roman"/>
          <w:sz w:val="18"/>
          <w:szCs w:val="18"/>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-141605</wp:posOffset>
            </wp:positionV>
            <wp:extent cx="28632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tbl>
      <w:tblPr>
        <w:tblLayout w:type="fixed"/>
        <w:tblInd w:w="424"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16"/>
                <w:szCs w:val="16"/>
                <w:color w:val="auto"/>
              </w:rPr>
            </w:pPr>
          </w:p>
        </w:tc>
        <w:tc>
          <w:tcPr>
            <w:tcW w:w="4340" w:type="dxa"/>
            <w:vAlign w:val="bottom"/>
          </w:tcPr>
          <w:p>
            <w:pPr>
              <w:ind w:left="3380"/>
              <w:spacing w:after="0" w:line="195" w:lineRule="exact"/>
              <w:rPr>
                <w:sz w:val="20"/>
                <w:szCs w:val="20"/>
                <w:color w:val="auto"/>
              </w:rPr>
            </w:pPr>
            <w:r>
              <w:rPr>
                <w:rFonts w:ascii="Times New Roman" w:cs="Times New Roman" w:eastAsia="Times New Roman" w:hAnsi="Times New Roman"/>
                <w:sz w:val="18"/>
                <w:szCs w:val="18"/>
                <w:color w:val="auto"/>
              </w:rPr>
              <w:t>By:</w:t>
            </w: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Print Name:</w:t>
            </w:r>
          </w:p>
        </w:tc>
      </w:tr>
      <w:tr>
        <w:trPr>
          <w:trHeight w:val="257"/>
        </w:trPr>
        <w:tc>
          <w:tcPr>
            <w:tcW w:w="1500" w:type="dxa"/>
            <w:vAlign w:val="bottom"/>
          </w:tcPr>
          <w:p>
            <w:pPr>
              <w:spacing w:after="0"/>
              <w:rPr>
                <w:sz w:val="22"/>
                <w:szCs w:val="22"/>
                <w:color w:val="auto"/>
              </w:rPr>
            </w:pP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Title:</w:t>
            </w:r>
          </w:p>
        </w:tc>
      </w:tr>
      <w:tr>
        <w:trPr>
          <w:trHeight w:val="486"/>
        </w:trPr>
        <w:tc>
          <w:tcPr>
            <w:tcW w:w="1500" w:type="dxa"/>
            <w:vAlign w:val="bottom"/>
          </w:tcPr>
          <w:p>
            <w:pPr>
              <w:spacing w:after="0"/>
              <w:rPr>
                <w:sz w:val="24"/>
                <w:szCs w:val="24"/>
                <w:color w:val="auto"/>
              </w:rPr>
            </w:pP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97"/>
              </w:rPr>
              <w:t>Entity Name:</w:t>
            </w:r>
          </w:p>
        </w:tc>
      </w:tr>
      <w:tr>
        <w:trPr>
          <w:trHeight w:val="418"/>
        </w:trPr>
        <w:tc>
          <w:tcPr>
            <w:tcW w:w="1500" w:type="dxa"/>
            <w:vAlign w:val="bottom"/>
            <w:tcBorders>
              <w:bottom w:val="single" w:sz="8" w:color="auto"/>
            </w:tcBorders>
          </w:tcPr>
          <w:p>
            <w:pPr>
              <w:spacing w:after="0"/>
              <w:rPr>
                <w:sz w:val="24"/>
                <w:szCs w:val="24"/>
                <w:color w:val="auto"/>
              </w:rPr>
            </w:pP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By:</w:t>
            </w: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Print Name:</w:t>
            </w:r>
          </w:p>
        </w:tc>
      </w:tr>
      <w:tr>
        <w:trPr>
          <w:trHeight w:val="256"/>
        </w:trPr>
        <w:tc>
          <w:tcPr>
            <w:tcW w:w="1500" w:type="dxa"/>
            <w:vAlign w:val="bottom"/>
          </w:tcPr>
          <w:p>
            <w:pPr>
              <w:spacing w:after="0"/>
              <w:rPr>
                <w:sz w:val="22"/>
                <w:szCs w:val="22"/>
                <w:color w:val="auto"/>
              </w:rPr>
            </w:pPr>
          </w:p>
        </w:tc>
        <w:tc>
          <w:tcPr>
            <w:tcW w:w="43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-1053465</wp:posOffset>
            </wp:positionV>
            <wp:extent cx="28632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-899795</wp:posOffset>
            </wp:positionV>
            <wp:extent cx="28632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-1199515</wp:posOffset>
            </wp:positionV>
            <wp:extent cx="29317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-590550</wp:posOffset>
            </wp:positionV>
            <wp:extent cx="28632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-153670</wp:posOffset>
            </wp:positionV>
            <wp:extent cx="28632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0</wp:posOffset>
            </wp:positionV>
            <wp:extent cx="28632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-299720</wp:posOffset>
            </wp:positionV>
            <wp:extent cx="29317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28" w:lineRule="exact"/>
        <w:rPr>
          <w:sz w:val="20"/>
          <w:szCs w:val="20"/>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EXECUTION BY AN INDIVIDUAL:</w:t>
      </w:r>
    </w:p>
    <w:p>
      <w:pPr>
        <w:spacing w:after="0" w:line="256"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17145</wp:posOffset>
            </wp:positionV>
            <wp:extent cx="30003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-7620</wp:posOffset>
            </wp:positionV>
            <wp:extent cx="9423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42340" cy="8890"/>
                    </a:xfrm>
                    <a:prstGeom prst="rect">
                      <a:avLst/>
                    </a:prstGeom>
                    <a:noFill/>
                  </pic:spPr>
                </pic:pic>
              </a:graphicData>
            </a:graphic>
          </wp:anchor>
        </w:drawing>
      </w:r>
    </w:p>
    <w:p>
      <w:pPr>
        <w:spacing w:after="0" w:line="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-19050</wp:posOffset>
            </wp:positionV>
            <wp:extent cx="4572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0544"/>
          </w:cols>
          <w:pgMar w:left="436" w:top="256" w:right="9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Arvinas Announces Oversubscribed $350 Million Private Placement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NEW HAVEN, Conn., November 27, 2023 – Arvinas, Inc. (Nasdaq: ARVN), a clinical-stage biotechnology company creating a new class of drugs based on targeted protein degradation, today announced that it has entered into a securities purchase agreement with a select group of institutional accredited investors to sell 12,963,542 shares of common stock at a price of $21.36 per share and, in lieu of common stock, pre-funded warrants to purchase up to 3,422,380 shares of common stock at a price of $21.359 per pre-funded warrant, in a private placement. Each pre-funded warrant will have an exercise price of $0.001 per share, will be exercisable immediately and will be exercisable until exercised in full. The aggregate gross proceeds from the offering are expected to be approximately $350 million, before deducting placement agent fees and offering expenses. The private placement is expected to close on or about November 28, 2023, subject to the satisfaction of customary closing conditions. The private placement is being conducted in accordance with applicable Nasdaq rules and was priced to satisfy the “Minimum Price” requirement (as defined in the Nasdaq rules).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private placement was co-led by EcoR1 Capital and entities managed by RTW Investments, LP, with participation by new and existing investors, including Adage Capital Partners LP, ArrowMark Partners, Avidity Partners, BB Biotech, Boxer Capital, Citadel Global Equities, Great Point Partners, LLC, Nextech Invest Ltd, on behalf of one or more funds managed by it, RA Capital Management and Surveyor Capital (a Citadel company), among others.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 and Goldman Sachs &amp; Co. LLC acted as joint lead placement agents to Arvinas in connection with the private placement.</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Arvinas expects to use net proceeds from the private placement to advance its clinical development programs and preclinical pipeline, and for working capital and other general corporate purposes.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securities to be sold in the private placement have not been registered under the Securities Act of 1933, as amended (the “Securities Act”), or any state or other applicable jurisdiction’s securities laws, and may not be offered or sold in the United States absent registration or an applicable exemption from the registration requirements of the Securities Act and applicable state or other jurisdictions’ securities laws. Arvinas has agreed to file a registration statement with the U.S. Securities and Exchange Commission (the “SEC”) registering the resale of the shares of common stock issued in the private placement and the shares of common stock issuable upon the exercise of the pre-funded warrants issued in the private placement no later than the 30th day after the closing of the private placement.</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offer, solicitation or sale of these securities in any jurisdiction in which such offer, solicitation or sale would be unlawful. Any offering of the securities under the resale registration statement will only be made by means of a prospectus.</w:t>
      </w:r>
    </w:p>
    <w:p>
      <w:pPr>
        <w:sectPr>
          <w:pgSz w:w="11900" w:h="16838" w:orient="portrait"/>
          <w:cols w:equalWidth="0" w:num="1">
            <w:col w:w="11020"/>
          </w:cols>
          <w:pgMar w:left="440" w:top="117"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Arvinas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Arvinas is a clinical-stage biotechnology company dedicated to improving the lives of patients suffering from debilitating and life-threatening diseases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discovery, development, and commercialization of therapies that degrade disease-causing proteins. Arvinas uses its proprietary</w:t>
      </w:r>
    </w:p>
    <w:p>
      <w:pPr>
        <w:spacing w:after="0" w:line="181" w:lineRule="auto"/>
        <w:rPr>
          <w:sz w:val="20"/>
          <w:szCs w:val="20"/>
          <w:color w:val="auto"/>
        </w:rPr>
      </w:pPr>
      <w:r>
        <w:rPr>
          <w:rFonts w:ascii="Times New Roman" w:cs="Times New Roman" w:eastAsia="Times New Roman" w:hAnsi="Times New Roman"/>
          <w:sz w:val="18"/>
          <w:szCs w:val="18"/>
          <w:color w:val="auto"/>
        </w:rPr>
        <w:t>PROTAC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Discovery Engine platform to engineer proteolysis targeting chimeras, or PROTAC targeted protein degraders, that are designed to harness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body’s own natural protein disposal system to selectively and efficiently degrade and remove disease-causing proteins. In addition to its robust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preclinical pipeline of PROTAC protein degraders against validated and “undruggable” targets, the company has three investigational clinical-stage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programs: ARV-766 and bavdegalutamide for the treatment of men with metastatic castration-resistant prostate cancer; and vepdegestrant (ARV-471)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treatment of patients with locally advanced or metastatic ER+/HER2- breast cancer.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including statements regarding Arvinas’ statements about the expected closing of the private placement; Arvinas’ anticipated use of proceeds from the private placement; whether the conditions for the closing of the private placement will be satisfied; the filing of a registration statement to register the resale of the shares and pre-funded warrant shares to be issued and sold in the private placement; and Arvinas’ business strategies, plans and prospects. All statements, other than statements of historical facts, contained in this press release, including statements regarding Arvinas’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Arvinas may not actually achieve the plans, intentions or expectations disclosed in its forward-looking statements, and you should not place undue reliance on its forward-looking statements. Actual results or events could differ materially from the plans, intentions and expectations disclosed in the forward-looking statements Arvinas makes as a result of various risks and uncertainties, including but not limited to: whether the conditions for the closing of the private placement will be satisfied; Arvinas’ and Pfizer, Inc.’s (“Pfizer”) performance of their respective obligations with respect to the collaboration with Pfizer; whether Arvinas and Pfizer will be able to successfully conduct and complete clinical development for vepdegestrant; whether Arvinas will be able to successfully conduct and complete development for its product candidates, including whether Arvinas initiates and completes clinical trials for its product candidates and receives results from its clinical trials on its expected timelines or at all; whether Arvinas obtains marketing approval for and commercializes vepdegestrant, ARV-766 and its other product candidates on Arvinas’ current timelines or at all; Arvinas’ ability to maintain and protect its intellectual property portfolio; whether Arvinas’ cash and cash equivalent resources will be sufficient to fund its</w:t>
      </w:r>
    </w:p>
    <w:p>
      <w:pPr>
        <w:sectPr>
          <w:pgSz w:w="11900" w:h="16838" w:orient="portrait"/>
          <w:cols w:equalWidth="0" w:num="1">
            <w:col w:w="11000"/>
          </w:cols>
          <w:pgMar w:left="440" w:top="266" w:right="459" w:bottom="1440" w:gutter="0" w:footer="0" w:header="0"/>
        </w:sectPr>
      </w:pPr>
    </w:p>
    <w:bookmarkStart w:id="125" w:name="page126"/>
    <w:bookmarkEnd w:id="12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foreseeable and unforeseeable operating expenses and capital expenditure requirements; and other important factors discussed in the “Risk Factors” section of Arvinas’ Annual Report on Form 10-K for the year ended December 31, 2022 and subsequent other reports on file with the SEC. The forward-looking statements contained in this press release reflect Arvinas’ current views with respect to future events, and Arvinas assumes no obligation to update any forward-looking statements, except as required by applicable law. These forward-looking statements should not be relied upon as representing Arvinas’ views as of any date subsequent to the date of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Boyle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(347) 247-5089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Jeff.Boyle@arvinas.com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Kirsten Owens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(203) 584-0307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Kirsten.Owens@arvinas.com</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lowerLetter"/>
      <w:start w:val="2"/>
    </w:lvl>
  </w:abstractNum>
  <w:abstractNum w:abstractNumId="2">
    <w:nsid w:val="57E4CCAF"/>
    <w:multiLevelType w:val="hybridMultilevel"/>
    <w:lvl w:ilvl="0">
      <w:lvlJc w:val="left"/>
      <w:lvlText w:val="%1)"/>
      <w:numFmt w:val="lowerLetter"/>
      <w:start w:val="1"/>
    </w:lvl>
  </w:abstractNum>
  <w:abstractNum w:abstractNumId="3">
    <w:nsid w:val="7A6D8D3C"/>
    <w:multiLevelType w:val="hybridMultilevel"/>
    <w:lvl w:ilvl="0">
      <w:lvlJc w:val="left"/>
      <w:lvlText w:val="%1)"/>
      <w:numFmt w:val="lowerLetter"/>
      <w:start w:val="2"/>
    </w:lvl>
    <w:lvl w:ilvl="1">
      <w:lvlJc w:val="left"/>
      <w:lvlText w:val="(%2)"/>
      <w:numFmt w:val="upperLetter"/>
      <w:start w:val="1"/>
    </w:lvl>
  </w:abstractNum>
  <w:abstractNum w:abstractNumId="4">
    <w:nsid w:val="4B588F54"/>
    <w:multiLevelType w:val="hybridMultilevel"/>
    <w:lvl w:ilvl="0">
      <w:lvlJc w:val="left"/>
      <w:lvlText w:val="(%1)"/>
      <w:numFmt w:val="upperLetter"/>
      <w:start w:val="24"/>
    </w:lvl>
  </w:abstractNum>
  <w:abstractNum w:abstractNumId="5">
    <w:nsid w:val="542289EC"/>
    <w:multiLevelType w:val="hybridMultilevel"/>
    <w:lvl w:ilvl="0">
      <w:lvlJc w:val="left"/>
      <w:lvlText w:val="%1)"/>
      <w:numFmt w:val="lowerLetter"/>
      <w:start w:val="4"/>
    </w:lvl>
    <w:lvl w:ilvl="1">
      <w:lvlJc w:val="left"/>
      <w:lvlText w:val="%2."/>
      <w:numFmt w:val="lowerRoman"/>
      <w:start w:val="1"/>
    </w:lvl>
  </w:abstractNum>
  <w:abstractNum w:abstractNumId="6">
    <w:nsid w:val="6DE91B18"/>
    <w:multiLevelType w:val="hybridMultilevel"/>
    <w:lvl w:ilvl="0">
      <w:lvlJc w:val="left"/>
      <w:lvlText w:val="%1."/>
      <w:numFmt w:val="lowerRoman"/>
      <w:start w:val="2"/>
    </w:lvl>
  </w:abstractNum>
  <w:abstractNum w:abstractNumId="7">
    <w:nsid w:val="38437FDB"/>
    <w:multiLevelType w:val="hybridMultilevel"/>
    <w:lvl w:ilvl="0">
      <w:lvlJc w:val="left"/>
      <w:lvlText w:val="%1."/>
      <w:numFmt w:val="lowerRoman"/>
      <w:start w:val="5"/>
    </w:lvl>
  </w:abstractNum>
  <w:abstractNum w:abstractNumId="8">
    <w:nsid w:val="7644A45C"/>
    <w:multiLevelType w:val="hybridMultilevel"/>
    <w:lvl w:ilvl="0">
      <w:lvlJc w:val="left"/>
      <w:lvlText w:val="%1)"/>
      <w:numFmt w:val="lowerLetter"/>
      <w:start w:val="5"/>
    </w:lvl>
  </w:abstractNum>
  <w:abstractNum w:abstractNumId="9">
    <w:nsid w:val="32FFF902"/>
    <w:multiLevelType w:val="hybridMultilevel"/>
    <w:lvl w:ilvl="0">
      <w:lvlJc w:val="left"/>
      <w:lvlText w:val="%1)"/>
      <w:numFmt w:val="lowerLetter"/>
      <w:start w:val="1"/>
    </w:lvl>
  </w:abstractNum>
  <w:abstractNum w:abstractNumId="10">
    <w:nsid w:val="684A481A"/>
    <w:multiLevelType w:val="hybridMultilevel"/>
    <w:lvl w:ilvl="0">
      <w:lvlJc w:val="left"/>
      <w:lvlText w:val="%1"/>
      <w:numFmt w:val="lowerRoman"/>
      <w:start w:val="1"/>
    </w:lvl>
    <w:lvl w:ilvl="1">
      <w:lvlJc w:val="left"/>
      <w:lvlText w:val="%2)"/>
      <w:numFmt w:val="lowerLetter"/>
      <w:start w:val="4"/>
    </w:lvl>
  </w:abstractNum>
  <w:abstractNum w:abstractNumId="11">
    <w:nsid w:val="579478FE"/>
    <w:multiLevelType w:val="hybridMultilevel"/>
    <w:lvl w:ilvl="0">
      <w:lvlJc w:val="left"/>
      <w:lvlText w:val="(%1)"/>
      <w:numFmt w:val="lowerRoman"/>
      <w:start w:val="3"/>
    </w:lvl>
    <w:lvl w:ilvl="1">
      <w:lvlJc w:val="left"/>
      <w:lvlText w:val="%2"/>
      <w:numFmt w:val="lowerLetter"/>
      <w:start w:val="1"/>
    </w:lvl>
  </w:abstractNum>
  <w:abstractNum w:abstractNumId="12">
    <w:nsid w:val="749ABB43"/>
    <w:multiLevelType w:val="hybridMultilevel"/>
    <w:lvl w:ilvl="0">
      <w:lvlJc w:val="left"/>
      <w:lvlText w:val="%1)"/>
      <w:numFmt w:val="lowerLetter"/>
      <w:start w:val="5"/>
    </w:lvl>
    <w:lvl w:ilvl="1">
      <w:lvlJc w:val="left"/>
      <w:lvlText w:val="%2."/>
      <w:numFmt w:val="lowerRoman"/>
      <w:start w:val="1"/>
    </w:lvl>
  </w:abstractNum>
  <w:abstractNum w:abstractNumId="13">
    <w:nsid w:val="3DC240FB"/>
    <w:multiLevelType w:val="hybridMultilevel"/>
    <w:lvl w:ilvl="0">
      <w:lvlJc w:val="left"/>
      <w:lvlText w:val="(%1)"/>
      <w:numFmt w:val="lowerRoman"/>
      <w:start w:val="10"/>
    </w:lvl>
  </w:abstractNum>
  <w:abstractNum w:abstractNumId="14">
    <w:nsid w:val="1BA026FA"/>
    <w:multiLevelType w:val="hybridMultilevel"/>
    <w:lvl w:ilvl="0">
      <w:lvlJc w:val="left"/>
      <w:lvlText w:val="%1)"/>
      <w:numFmt w:val="lowerLetter"/>
      <w:start w:val="1"/>
    </w:lvl>
  </w:abstractNum>
  <w:abstractNum w:abstractNumId="15">
    <w:nsid w:val="79A1DEAA"/>
    <w:multiLevelType w:val="hybridMultilevel"/>
    <w:lvl w:ilvl="0">
      <w:lvlJc w:val="left"/>
      <w:lvlText w:val="%1)"/>
      <w:numFmt w:val="lowerLetter"/>
      <w:start w:val="2"/>
    </w:lvl>
  </w:abstractNum>
  <w:abstractNum w:abstractNumId="16">
    <w:nsid w:val="75C6C33A"/>
    <w:multiLevelType w:val="hybridMultilevel"/>
    <w:lvl w:ilvl="0">
      <w:lvlJc w:val="left"/>
      <w:lvlText w:val="%1)"/>
      <w:numFmt w:val="lowerLetter"/>
      <w:start w:val="1"/>
    </w:lvl>
  </w:abstractNum>
  <w:abstractNum w:abstractNumId="17">
    <w:nsid w:val="12E685FB"/>
    <w:multiLevelType w:val="hybridMultilevel"/>
    <w:lvl w:ilvl="0">
      <w:lvlJc w:val="left"/>
      <w:lvlText w:val="%1)"/>
      <w:numFmt w:val="lowerLetter"/>
      <w:start w:val="2"/>
    </w:lvl>
  </w:abstractNum>
  <w:abstractNum w:abstractNumId="18">
    <w:nsid w:val="70C6A529"/>
    <w:multiLevelType w:val="hybridMultilevel"/>
    <w:lvl w:ilvl="0">
      <w:lvlJc w:val="left"/>
      <w:lvlText w:val="%1)"/>
      <w:numFmt w:val="lowerLetter"/>
      <w:start w:val="5"/>
    </w:lvl>
  </w:abstractNum>
  <w:abstractNum w:abstractNumId="19">
    <w:nsid w:val="520EEDD1"/>
    <w:multiLevelType w:val="hybridMultilevel"/>
    <w:lvl w:ilvl="0">
      <w:lvlJc w:val="left"/>
      <w:lvlText w:val="%1)"/>
      <w:numFmt w:val="lowerLetter"/>
      <w:start w:val="8"/>
    </w:lvl>
  </w:abstractNum>
  <w:abstractNum w:abstractNumId="20">
    <w:nsid w:val="374A3FE6"/>
    <w:multiLevelType w:val="hybridMultilevel"/>
    <w:lvl w:ilvl="0">
      <w:lvlJc w:val="left"/>
      <w:lvlText w:val="%1)"/>
      <w:numFmt w:val="lowerLetter"/>
      <w:start w:val="12"/>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24">
    <w:nsid w:val="275AC794"/>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25">
    <w:nsid w:val="39386575"/>
    <w:multiLevelType w:val="hybridMultilevel"/>
    <w:lvl w:ilvl="0">
      <w:lvlJc w:val="left"/>
      <w:lvlText w:val="%1."/>
      <w:numFmt w:val="decimal"/>
      <w:start w:val="2"/>
    </w:lvl>
  </w:abstractNum>
  <w:abstractNum w:abstractNumId="26">
    <w:nsid w:val="1CF10FD8"/>
    <w:multiLevelType w:val="hybridMultilevel"/>
    <w:lvl w:ilvl="0">
      <w:lvlJc w:val="left"/>
      <w:lvlText w:val="%1."/>
      <w:numFmt w:val="decimal"/>
      <w:start w:val="4"/>
    </w:lvl>
  </w:abstractNum>
  <w:abstractNum w:abstractNumId="27">
    <w:nsid w:val="180115BE"/>
    <w:multiLevelType w:val="hybridMultilevel"/>
    <w:lvl w:ilvl="0">
      <w:lvlJc w:val="left"/>
      <w:lvlText w:val="(%1)"/>
      <w:numFmt w:val="lowerRoman"/>
      <w:start w:val="1"/>
    </w:lvl>
  </w:abstractNum>
  <w:abstractNum w:abstractNumId="28">
    <w:nsid w:val="235BA861"/>
    <w:multiLevelType w:val="hybridMultilevel"/>
    <w:lvl w:ilvl="0">
      <w:lvlJc w:val="left"/>
      <w:lvlText w:val="(%1)"/>
      <w:numFmt w:val="lowerRoman"/>
      <w:start w:val="9"/>
    </w:lvl>
  </w:abstractNum>
  <w:abstractNum w:abstractNumId="29">
    <w:nsid w:val="47398C89"/>
    <w:multiLevelType w:val="hybridMultilevel"/>
    <w:lvl w:ilvl="0">
      <w:lvlJc w:val="left"/>
      <w:lvlText w:val="(%1)"/>
      <w:numFmt w:val="lowerRoman"/>
      <w:start w:val="1"/>
    </w:lvl>
  </w:abstractNum>
  <w:abstractNum w:abstractNumId="30">
    <w:nsid w:val="354FE9F9"/>
    <w:multiLevelType w:val="hybridMultilevel"/>
    <w:lvl w:ilvl="0">
      <w:lvlJc w:val="left"/>
      <w:lvlText w:val="(%1)"/>
      <w:numFmt w:val="lowerLetter"/>
      <w:start w:val="1"/>
    </w:lvl>
  </w:abstractNum>
  <w:abstractNum w:abstractNumId="31">
    <w:nsid w:val="15B5AF5C"/>
    <w:multiLevelType w:val="hybridMultilevel"/>
    <w:lvl w:ilvl="0">
      <w:lvlJc w:val="left"/>
      <w:lvlText w:val="(%1)"/>
      <w:numFmt w:val="lowerLetter"/>
      <w:start w:val="3"/>
    </w:lvl>
  </w:abstractNum>
  <w:abstractNum w:abstractNumId="32">
    <w:nsid w:val="741226BB"/>
    <w:multiLevelType w:val="hybridMultilevel"/>
    <w:lvl w:ilvl="0">
      <w:lvlJc w:val="left"/>
      <w:lvlText w:val="(%1)"/>
      <w:numFmt w:val="upperLetter"/>
      <w:start w:val="1"/>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Roman"/>
      <w:start w:val="2"/>
    </w:lvl>
  </w:abstractNum>
  <w:abstractNum w:abstractNumId="35">
    <w:nsid w:val="3F6AB60F"/>
    <w:multiLevelType w:val="hybridMultilevel"/>
    <w:lvl w:ilvl="0">
      <w:lvlJc w:val="left"/>
      <w:lvlText w:val="%1."/>
      <w:numFmt w:val="decimal"/>
      <w:start w:val="6"/>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8"/>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lowerLetter"/>
      <w:start w:val="1"/>
    </w:lvl>
    <w:lvl w:ilvl="1">
      <w:lvlJc w:val="left"/>
      <w:lvlText w:val="(%2)"/>
      <w:numFmt w:val="lowerRoman"/>
      <w:start w:val="1"/>
    </w:lvl>
  </w:abstractNum>
  <w:abstractNum w:abstractNumId="40">
    <w:nsid w:val="310C50B3"/>
    <w:multiLevelType w:val="hybridMultilevel"/>
    <w:lvl w:ilvl="0">
      <w:lvlJc w:val="left"/>
      <w:lvlText w:val="(%1)"/>
      <w:numFmt w:val="lowerRoman"/>
      <w:start w:val="3"/>
    </w:lvl>
  </w:abstractNum>
  <w:abstractNum w:abstractNumId="41">
    <w:nsid w:val="5FF87E05"/>
    <w:multiLevelType w:val="hybridMultilevel"/>
    <w:lvl w:ilvl="0">
      <w:lvlJc w:val="left"/>
      <w:lvlText w:val="%1"/>
      <w:numFmt w:val="decimal"/>
      <w:start w:val="1"/>
    </w:lvl>
    <w:lvl w:ilvl="1">
      <w:lvlJc w:val="left"/>
      <w:lvlText w:val="(%2)"/>
      <w:numFmt w:val="lowerLetter"/>
      <w:start w:val="2"/>
    </w:lvl>
  </w:abstractNum>
  <w:abstractNum w:abstractNumId="42">
    <w:nsid w:val="2F305DEF"/>
    <w:multiLevelType w:val="hybridMultilevel"/>
    <w:lvl w:ilvl="0">
      <w:lvlJc w:val="left"/>
      <w:lvlText w:val="%1."/>
      <w:numFmt w:val="decimal"/>
      <w:start w:val="7"/>
    </w:lvl>
    <w:lvl w:ilvl="1">
      <w:lvlJc w:val="left"/>
      <w:lvlText w:val="%2"/>
      <w:numFmt w:val="lowerLetter"/>
      <w:start w:val="1"/>
    </w:lvl>
  </w:abstractNum>
  <w:abstractNum w:abstractNumId="43">
    <w:nsid w:val="25A70BF7"/>
    <w:multiLevelType w:val="hybridMultilevel"/>
    <w:lvl w:ilvl="0">
      <w:lvlJc w:val="left"/>
      <w:lvlText w:val="%1"/>
      <w:numFmt w:val="lowerLetter"/>
      <w:start w:val="1"/>
    </w:lvl>
    <w:lvl w:ilvl="1">
      <w:lvlJc w:val="left"/>
      <w:lvlText w:val="(%2)"/>
      <w:numFmt w:val="lowerLetter"/>
      <w:start w:val="1"/>
    </w:lvl>
  </w:abstractNum>
  <w:abstractNum w:abstractNumId="44">
    <w:nsid w:val="1DBABF00"/>
    <w:multiLevelType w:val="hybridMultilevel"/>
    <w:lvl w:ilvl="0">
      <w:lvlJc w:val="left"/>
      <w:lvlText w:val="(%1)"/>
      <w:numFmt w:val="lowerLetter"/>
      <w:start w:val="9"/>
    </w:lvl>
    <w:lvl w:ilvl="1">
      <w:lvlJc w:val="left"/>
      <w:lvlText w:val="%2"/>
      <w:numFmt w:val="lowerLetter"/>
      <w:start w:val="1"/>
    </w:lvl>
  </w:abstractNum>
  <w:abstractNum w:abstractNumId="45">
    <w:nsid w:val="4AD084E9"/>
    <w:multiLevelType w:val="hybridMultilevel"/>
    <w:lvl w:ilvl="0">
      <w:lvlJc w:val="left"/>
      <w:lvlText w:val="(%1)"/>
      <w:numFmt w:val="lowerLetter"/>
      <w:start w:val="3"/>
    </w:lvl>
  </w:abstractNum>
  <w:abstractNum w:abstractNumId="46">
    <w:nsid w:val="1F48EAA1"/>
    <w:multiLevelType w:val="hybridMultilevel"/>
    <w:lvl w:ilvl="0">
      <w:lvlJc w:val="left"/>
      <w:lvlText w:val="(%1)"/>
      <w:numFmt w:val="lowerLetter"/>
      <w:start w:val="1"/>
    </w:lvl>
  </w:abstractNum>
  <w:abstractNum w:abstractNumId="47">
    <w:nsid w:val="1381823A"/>
    <w:multiLevelType w:val="hybridMultilevel"/>
    <w:lvl w:ilvl="0">
      <w:lvlJc w:val="left"/>
      <w:lvlText w:val="(%1)"/>
      <w:numFmt w:val="lowerLetter"/>
      <w:start w:val="2"/>
    </w:lvl>
  </w:abstractNum>
  <w:abstractNum w:abstractNumId="48">
    <w:nsid w:val="5DB70AE5"/>
    <w:multiLevelType w:val="hybridMultilevel"/>
    <w:lvl w:ilvl="0">
      <w:lvlJc w:val="left"/>
      <w:lvlText w:val="%1."/>
      <w:numFmt w:val="decimal"/>
      <w:start w:val="8"/>
    </w:lvl>
  </w:abstractNum>
  <w:abstractNum w:abstractNumId="49">
    <w:nsid w:val="100F8FCA"/>
    <w:multiLevelType w:val="hybridMultilevel"/>
    <w:lvl w:ilvl="0">
      <w:lvlJc w:val="left"/>
      <w:lvlText w:val="%1."/>
      <w:numFmt w:val="decimal"/>
      <w:start w:val="9"/>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Roman"/>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4">
    <w:nsid w:val="799D0247"/>
    <w:multiLevelType w:val="hybridMultilevel"/>
    <w:lvl w:ilvl="0">
      <w:lvlJc w:val="left"/>
      <w:lvlText w:val="%1"/>
      <w:numFmt w:val="lowerLetter"/>
      <w:start w:val="1"/>
    </w:lvl>
    <w:lvl w:ilvl="1">
      <w:lvlJc w:val="left"/>
      <w:lvlText w:val="(%2)"/>
      <w:numFmt w:val="lowerLetter"/>
      <w:start w:val="35"/>
    </w:lvl>
  </w:abstractNum>
  <w:abstractNum w:abstractNumId="55">
    <w:nsid w:val="6B94764"/>
    <w:multiLevelType w:val="hybridMultilevel"/>
    <w:lvl w:ilvl="0">
      <w:lvlJc w:val="left"/>
      <w:lvlText w:val="(%1)"/>
      <w:numFmt w:val="lowerLetter"/>
      <w:start w:val="2"/>
    </w:lvl>
    <w:lvl w:ilvl="1">
      <w:lvlJc w:val="left"/>
      <w:lvlText w:val="(%2)"/>
      <w:numFmt w:val="lowerLetter"/>
      <w:start w:val="9"/>
    </w:lvl>
  </w:abstractNum>
  <w:abstractNum w:abstractNumId="56">
    <w:nsid w:val="42C296BD"/>
    <w:multiLevelType w:val="hybridMultilevel"/>
    <w:lvl w:ilvl="0">
      <w:lvlJc w:val="left"/>
      <w:lvlText w:val="%1"/>
      <w:numFmt w:val="lowerLetter"/>
      <w:start w:val="1"/>
    </w:lvl>
    <w:lvl w:ilvl="1">
      <w:lvlJc w:val="left"/>
      <w:lvlText w:val="(%2)"/>
      <w:numFmt w:val="lowerLetter"/>
      <w:start w:val="35"/>
    </w:lvl>
  </w:abstractNum>
  <w:abstractNum w:abstractNumId="57">
    <w:nsid w:val="168E121F"/>
    <w:multiLevelType w:val="hybridMultilevel"/>
    <w:lvl w:ilvl="0">
      <w:lvlJc w:val="left"/>
      <w:lvlText w:val="(%1)"/>
      <w:numFmt w:val="lowerLetter"/>
      <w:start w:val="4"/>
    </w:lvl>
    <w:lvl w:ilvl="1">
      <w:lvlJc w:val="left"/>
      <w:lvlText w:val="(%2)"/>
      <w:numFmt w:val="lowerLetter"/>
      <w:start w:val="9"/>
    </w:lvl>
  </w:abstractNum>
  <w:abstractNum w:abstractNumId="58">
    <w:nsid w:val="1EBA5D23"/>
    <w:multiLevelType w:val="hybridMultilevel"/>
    <w:lvl w:ilvl="0">
      <w:lvlJc w:val="left"/>
      <w:lvlText w:val="(%1)"/>
      <w:numFmt w:val="lowerRoman"/>
      <w:start w:val="2"/>
    </w:lvl>
  </w:abstractNum>
  <w:abstractNum w:abstractNumId="59">
    <w:nsid w:val="661E3F1E"/>
    <w:multiLevelType w:val="hybridMultilevel"/>
    <w:lvl w:ilvl="0">
      <w:lvlJc w:val="left"/>
      <w:lvlText w:val="(%1)"/>
      <w:numFmt w:val="decimal"/>
      <w:start w:val="10"/>
    </w:lvl>
    <w:lvl w:ilvl="1">
      <w:lvlJc w:val="left"/>
      <w:lvlText w:val="(%2)"/>
      <w:numFmt w:val="lowerLetter"/>
      <w:start w:val="4"/>
    </w:lvl>
    <w:lvl w:ilvl="2">
      <w:lvlJc w:val="left"/>
      <w:lvlText w:val="(%3)"/>
      <w:numFmt w:val="lowerRoman"/>
      <w:start w:val="3"/>
    </w:lvl>
  </w:abstractNum>
  <w:abstractNum w:abstractNumId="60">
    <w:nsid w:val="5DC79EA8"/>
    <w:multiLevelType w:val="hybridMultilevel"/>
    <w:lvl w:ilvl="0">
      <w:lvlJc w:val="left"/>
      <w:lvlText w:val="%1."/>
      <w:numFmt w:val="decimal"/>
      <w:start w:val="3"/>
    </w:lvl>
    <w:lvl w:ilvl="1">
      <w:lvlJc w:val="left"/>
      <w:lvlText w:val="(%2)"/>
      <w:numFmt w:val="lowerLetter"/>
      <w:start w:val="1"/>
    </w:lvl>
  </w:abstractNum>
  <w:abstractNum w:abstractNumId="61">
    <w:nsid w:val="540A471C"/>
    <w:multiLevelType w:val="hybridMultilevel"/>
    <w:lvl w:ilvl="0">
      <w:lvlJc w:val="left"/>
      <w:lvlText w:val="(%1)"/>
      <w:numFmt w:val="lowerLetter"/>
      <w:start w:val="35"/>
    </w:lvl>
    <w:lvl w:ilvl="1">
      <w:lvlJc w:val="left"/>
      <w:lvlText w:val="(%2)"/>
      <w:numFmt w:val="lowerLetter"/>
      <w:start w:val="5"/>
    </w:lvl>
  </w:abstractNum>
  <w:abstractNum w:abstractNumId="62">
    <w:nsid w:val="7BD3EE7B"/>
    <w:multiLevelType w:val="hybridMultilevel"/>
    <w:lvl w:ilvl="0">
      <w:lvlJc w:val="left"/>
      <w:lvlText w:val="%1"/>
      <w:numFmt w:val="lowerLetter"/>
      <w:start w:val="1"/>
    </w:lvl>
    <w:lvl w:ilvl="1">
      <w:lvlJc w:val="left"/>
      <w:lvlText w:val="(%2)"/>
      <w:numFmt w:val="lowerLetter"/>
      <w:start w:val="10"/>
    </w:lvl>
  </w:abstractNum>
  <w:abstractNum w:abstractNumId="63">
    <w:nsid w:val="51D9C564"/>
    <w:multiLevelType w:val="hybridMultilevel"/>
    <w:lvl w:ilvl="0">
      <w:lvlJc w:val="left"/>
      <w:lvlText w:val="(%1)"/>
      <w:numFmt w:val="lowerLetter"/>
      <w:start w:val="9"/>
    </w:lvl>
    <w:lvl w:ilvl="1">
      <w:lvlJc w:val="left"/>
      <w:lvlText w:val="%2"/>
      <w:numFmt w:val="lowerLetter"/>
      <w:start w:val="1"/>
    </w:lvl>
  </w:abstractNum>
  <w:abstractNum w:abstractNumId="64">
    <w:nsid w:val="613EFDC5"/>
    <w:multiLevelType w:val="hybridMultilevel"/>
    <w:lvl w:ilvl="0">
      <w:lvlJc w:val="left"/>
      <w:lvlText w:val="%1."/>
      <w:numFmt w:val="decimal"/>
      <w:start w:val="4"/>
    </w:lvl>
  </w:abstractNum>
  <w:abstractNum w:abstractNumId="65">
    <w:nsid w:val="BF72B1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66">
    <w:nsid w:val="11447B73"/>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67">
    <w:nsid w:val="42963E5A"/>
    <w:multiLevelType w:val="hybridMultilevel"/>
    <w:lvl w:ilvl="0">
      <w:lvlJc w:val="left"/>
      <w:lvlText w:val="%1"/>
      <w:numFmt w:val="decimal"/>
      <w:start w:val="1"/>
    </w:lvl>
    <w:lvl w:ilvl="1">
      <w:lvlJc w:val="left"/>
      <w:lvlText w:val="(%2)"/>
      <w:numFmt w:val="lowerLetter"/>
      <w:start w:val="2"/>
    </w:lvl>
  </w:abstractNum>
  <w:abstractNum w:abstractNumId="68">
    <w:nsid w:val="A0382C5"/>
    <w:multiLevelType w:val="hybridMultilevel"/>
    <w:lvl w:ilvl="0">
      <w:lvlJc w:val="left"/>
      <w:lvlText w:val="%1."/>
      <w:numFmt w:val="decimal"/>
      <w:start w:val="6"/>
    </w:lvl>
    <w:lvl w:ilvl="1">
      <w:lvlJc w:val="left"/>
      <w:lvlText w:val="(%2)"/>
      <w:numFmt w:val="lowerLetter"/>
      <w:start w:val="1"/>
    </w:lvl>
  </w:abstractNum>
  <w:abstractNum w:abstractNumId="69">
    <w:nsid w:val="8F2B15E"/>
    <w:multiLevelType w:val="hybridMultilevel"/>
    <w:lvl w:ilvl="0">
      <w:lvlJc w:val="left"/>
      <w:lvlText w:val="(%1)"/>
      <w:numFmt w:val="lowerLetter"/>
      <w:start w:val="3"/>
    </w:lvl>
  </w:abstractNum>
  <w:abstractNum w:abstractNumId="70">
    <w:nsid w:val="1A32234B"/>
    <w:multiLevelType w:val="hybridMultilevel"/>
    <w:lvl w:ilvl="0">
      <w:lvlJc w:val="left"/>
      <w:lvlText w:val="%1."/>
      <w:numFmt w:val="decimal"/>
      <w:start w:val="7"/>
    </w:lvl>
    <w:lvl w:ilvl="1">
      <w:lvlJc w:val="left"/>
      <w:lvlText w:val="(%2)"/>
      <w:numFmt w:val="lowerLetter"/>
      <w:start w:val="1"/>
    </w:lvl>
  </w:abstractNum>
  <w:abstractNum w:abstractNumId="71">
    <w:nsid w:val="3B0FD379"/>
    <w:multiLevelType w:val="hybridMultilevel"/>
    <w:lvl w:ilvl="0">
      <w:lvlJc w:val="left"/>
      <w:lvlText w:val="(%1)"/>
      <w:numFmt w:val="lowerLetter"/>
      <w:start w:val="6"/>
    </w:lvl>
  </w:abstractNum>
  <w:abstractNum w:abstractNumId="72">
    <w:nsid w:val="68EB2F63"/>
    <w:multiLevelType w:val="hybridMultilevel"/>
    <w:lvl w:ilvl="0">
      <w:lvlJc w:val="left"/>
      <w:lvlText w:val="\endash "/>
      <w:numFmt w:val="bullet"/>
      <w:start w:val="1"/>
    </w:lvl>
  </w:abstractNum>
  <w:abstractNum w:abstractNumId="73">
    <w:nsid w:val="4962813B"/>
    <w:multiLevelType w:val="hybridMultilevel"/>
    <w:lvl w:ilvl="0">
      <w:lvlJc w:val="left"/>
      <w:lvlText w:val="(%1)"/>
      <w:numFmt w:val="decimal"/>
      <w:start w:val="1"/>
    </w:lvl>
    <w:lvl w:ilvl="1">
      <w:lvlJc w:val="left"/>
      <w:lvlText w:val="(%2)"/>
      <w:numFmt w:val="lowerLetter"/>
      <w:start w:val="2"/>
    </w:lvl>
  </w:abstractNum>
  <w:abstractNum w:abstractNumId="74">
    <w:nsid w:val="60B6DF70"/>
    <w:multiLevelType w:val="hybridMultilevel"/>
    <w:lvl w:ilvl="0">
      <w:lvlJc w:val="left"/>
      <w:lvlText w:val="(%1)"/>
      <w:numFmt w:val="decimal"/>
      <w:start w:val="3"/>
    </w:lvl>
    <w:lvl w:ilvl="1">
      <w:lvlJc w:val="left"/>
      <w:lvlText w:val="(%2)"/>
      <w:numFmt w:val="lowerLetter"/>
      <w:start w:val="1"/>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3"/>
    </w:lvl>
    <w:lvl w:ilvl="1">
      <w:lvlJc w:val="left"/>
      <w:lvlText w:val="(%2)"/>
      <w:numFmt w:val="upperLetter"/>
      <w:start w:val="1"/>
    </w:lvl>
  </w:abstractNum>
  <w:abstractNum w:abstractNumId="78">
    <w:nsid w:val="1A27709E"/>
    <w:multiLevelType w:val="hybridMultilevel"/>
    <w:lvl w:ilvl="0">
      <w:lvlJc w:val="left"/>
      <w:lvlText w:val="%1"/>
      <w:numFmt w:val="decimal"/>
      <w:start w:val="1"/>
    </w:lvl>
    <w:lvl w:ilvl="1">
      <w:lvlJc w:val="left"/>
      <w:lvlText w:val="(%2)"/>
      <w:numFmt w:val="upperLetter"/>
      <w:start w:val="2"/>
    </w:lvl>
  </w:abstractNum>
  <w:abstractNum w:abstractNumId="79">
    <w:nsid w:val="71EA1109"/>
    <w:multiLevelType w:val="hybridMultilevel"/>
    <w:lvl w:ilvl="0">
      <w:lvlJc w:val="left"/>
      <w:lvlText w:val="%1."/>
      <w:numFmt w:val="decimal"/>
      <w:start w:val="5"/>
    </w:lvl>
    <w:lvl w:ilvl="1">
      <w:lvlJc w:val="left"/>
      <w:lvlText w:val="%2"/>
      <w:numFmt w:val="upperLetter"/>
      <w:start w:val="1"/>
    </w:lvl>
  </w:abstractNum>
  <w:abstractNum w:abstractNumId="80">
    <w:nsid w:val="100F59DC"/>
    <w:multiLevelType w:val="hybridMultilevel"/>
    <w:lvl w:ilvl="0">
      <w:lvlJc w:val="left"/>
      <w:lvlText w:val="%1."/>
      <w:numFmt w:val="decimal"/>
      <w:start w:val="6"/>
    </w:lvl>
  </w:abstractNum>
  <w:abstractNum w:abstractNumId="81">
    <w:nsid w:val="7FB7E0AA"/>
    <w:multiLevelType w:val="hybridMultilevel"/>
    <w:lvl w:ilvl="0">
      <w:lvlJc w:val="left"/>
      <w:lvlText w:val="(%1)"/>
      <w:numFmt w:val="upperLetter"/>
      <w:start w:val="1"/>
    </w:lvl>
  </w:abstractNum>
  <w:abstractNum w:abstractNumId="82">
    <w:nsid w:val="6EB5BD4"/>
    <w:multiLevelType w:val="hybridMultilevel"/>
    <w:lvl w:ilvl="0">
      <w:lvlJc w:val="left"/>
      <w:lvlText w:val="(%1)"/>
      <w:numFmt w:val="upperLetter"/>
      <w:start w:val="2"/>
    </w:lvl>
  </w:abstractNum>
  <w:abstractNum w:abstractNumId="83">
    <w:nsid w:val="6F6DD9AC"/>
    <w:multiLevelType w:val="hybridMultilevel"/>
    <w:lvl w:ilvl="0">
      <w:lvlJc w:val="left"/>
      <w:lvlText w:val="(%1)"/>
      <w:numFmt w:val="upperLetter"/>
      <w:start w:val="3"/>
    </w:lvl>
  </w:abstractNum>
  <w:abstractNum w:abstractNumId="84">
    <w:nsid w:val="94211F2"/>
    <w:multiLevelType w:val="hybridMultilevel"/>
    <w:lvl w:ilvl="0">
      <w:lvlJc w:val="left"/>
      <w:lvlText w:val="%1."/>
      <w:numFmt w:val="upperLetter"/>
      <w:start w:val="1"/>
    </w:lvl>
  </w:abstractNum>
  <w:abstractNum w:abstractNumId="85">
    <w:nsid w:val="885E1B"/>
    <w:multiLevelType w:val="hybridMultilevel"/>
    <w:lvl w:ilvl="0">
      <w:lvlJc w:val="left"/>
      <w:lvlText w:val="%1."/>
      <w:numFmt w:val="upperLetter"/>
      <w:start w:val="2"/>
    </w:lvl>
  </w:abstractNum>
  <w:abstractNum w:abstractNumId="86">
    <w:nsid w:val="76272110"/>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2023-11-27T06:22:37Z</dcterms:created>
  <dcterms:modified xsi:type="dcterms:W3CDTF">2023-11-27T06:22:37Z</dcterms:modified>
</cp:coreProperties>
</file>