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496570</wp:posOffset>
            </wp:positionH>
            <wp:positionV relativeFrom="page">
              <wp:posOffset>297815</wp:posOffset>
            </wp:positionV>
            <wp:extent cx="65620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6985"/>
                    </a:xfrm>
                    <a:prstGeom prst="rect">
                      <a:avLst/>
                    </a:prstGeom>
                    <a:noFill/>
                  </pic:spPr>
                </pic:pic>
              </a:graphicData>
            </a:graphic>
          </wp:anchor>
        </w:drawing>
        <w:drawing>
          <wp:anchor simplePos="0" relativeHeight="251657728" behindDoc="1" locked="0" layoutInCell="0" allowOverlap="1">
            <wp:simplePos x="0" y="0"/>
            <wp:positionH relativeFrom="page">
              <wp:posOffset>496570</wp:posOffset>
            </wp:positionH>
            <wp:positionV relativeFrom="page">
              <wp:posOffset>318135</wp:posOffset>
            </wp:positionV>
            <wp:extent cx="65620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698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5"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________________________________________________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8"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________________________________________________</w:t>
      </w:r>
    </w:p>
    <w:p>
      <w:pPr>
        <w:spacing w:after="0" w:line="1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9" w:lineRule="exact"/>
        <w:rPr>
          <w:sz w:val="24"/>
          <w:szCs w:val="24"/>
          <w:color w:val="auto"/>
        </w:rPr>
      </w:pPr>
    </w:p>
    <w:p>
      <w:pPr>
        <w:ind w:left="940" w:hanging="449"/>
        <w:spacing w:after="0"/>
        <w:tabs>
          <w:tab w:leader="none" w:pos="940" w:val="left"/>
        </w:tabs>
        <w:numPr>
          <w:ilvl w:val="0"/>
          <w:numId w:val="1"/>
        </w:numPr>
        <w:rPr>
          <w:rFonts w:ascii="Wingdings" w:cs="Wingdings" w:eastAsia="Wingdings" w:hAnsi="Wingdings"/>
          <w:sz w:val="13"/>
          <w:szCs w:val="13"/>
          <w:b w:val="1"/>
          <w:bCs w:val="1"/>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2025</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63" w:lineRule="exact"/>
        <w:rPr>
          <w:sz w:val="24"/>
          <w:szCs w:val="24"/>
          <w:color w:val="auto"/>
        </w:rPr>
      </w:pPr>
    </w:p>
    <w:p>
      <w:pPr>
        <w:ind w:left="940" w:hanging="449"/>
        <w:spacing w:after="0"/>
        <w:tabs>
          <w:tab w:leader="none" w:pos="940" w:val="left"/>
        </w:tabs>
        <w:numPr>
          <w:ilvl w:val="0"/>
          <w:numId w:val="2"/>
        </w:numPr>
        <w:rPr>
          <w:rFonts w:ascii="Wingdings" w:cs="Wingdings" w:eastAsia="Wingdings" w:hAnsi="Wingdings"/>
          <w:sz w:val="13"/>
          <w:szCs w:val="13"/>
          <w:b w:val="1"/>
          <w:bCs w:val="1"/>
          <w:color w:val="auto"/>
          <w:highlight w:val="black"/>
        </w:rPr>
      </w:pPr>
      <w:r>
        <w:rPr>
          <w:rFonts w:ascii="Arial" w:cs="Arial" w:eastAsia="Arial" w:hAnsi="Arial"/>
          <w:sz w:val="13"/>
          <w:szCs w:val="13"/>
          <w:b w:val="1"/>
          <w:bCs w:val="1"/>
          <w:color w:val="auto"/>
        </w:rPr>
        <w:t>TRANSITION REPORT PURSUANT TO SECTION 13 OR 15(d) OF THE SECURITIES EXCHANGE ACT OF 1934 FOR THE TRANSITION PERIOD FROM</w:t>
      </w:r>
    </w:p>
    <w:p>
      <w:pPr>
        <w:spacing w:after="0" w:line="11" w:lineRule="exact"/>
        <w:rPr>
          <w:rFonts w:ascii="Wingdings" w:cs="Wingdings" w:eastAsia="Wingdings" w:hAnsi="Wingdings"/>
          <w:sz w:val="13"/>
          <w:szCs w:val="13"/>
          <w:b w:val="1"/>
          <w:bCs w:val="1"/>
          <w:color w:val="auto"/>
          <w:highlight w:val="black"/>
        </w:rPr>
      </w:pPr>
    </w:p>
    <w:p>
      <w:pPr>
        <w:ind w:left="1440"/>
        <w:spacing w:after="0"/>
        <w:rPr>
          <w:rFonts w:ascii="Wingdings" w:cs="Wingdings" w:eastAsia="Wingdings" w:hAnsi="Wingdings"/>
          <w:sz w:val="13"/>
          <w:szCs w:val="13"/>
          <w:b w:val="1"/>
          <w:bCs w:val="1"/>
          <w:color w:val="auto"/>
          <w:highlight w:val="black"/>
        </w:rPr>
      </w:pPr>
      <w:r>
        <w:rPr>
          <w:rFonts w:ascii="Arial" w:cs="Arial" w:eastAsia="Arial" w:hAnsi="Arial"/>
          <w:sz w:val="13"/>
          <w:szCs w:val="13"/>
          <w:b w:val="1"/>
          <w:bCs w:val="1"/>
          <w:color w:val="auto"/>
        </w:rPr>
        <w:t>TO.</w:t>
      </w:r>
    </w:p>
    <w:p>
      <w:pPr>
        <w:spacing w:after="0" w:line="104" w:lineRule="exact"/>
        <w:rPr>
          <w:sz w:val="24"/>
          <w:szCs w:val="24"/>
          <w:color w:val="auto"/>
        </w:rPr>
      </w:pPr>
    </w:p>
    <w:tbl>
      <w:tblPr>
        <w:tblLayout w:type="fixed"/>
        <w:tblInd w:w="2140" w:type="dxa"/>
        <w:tblCellMar>
          <w:top w:w="0" w:type="dxa"/>
          <w:left w:w="0" w:type="dxa"/>
          <w:bottom w:w="0" w:type="dxa"/>
          <w:right w:w="0" w:type="dxa"/>
        </w:tblCellMar>
      </w:tblPr>
      <w:tr>
        <w:trPr>
          <w:trHeight w:val="159"/>
        </w:trPr>
        <w:tc>
          <w:tcPr>
            <w:tcW w:w="5440" w:type="dxa"/>
            <w:vAlign w:val="bottom"/>
          </w:tcPr>
          <w:p>
            <w:pPr>
              <w:jc w:val="center"/>
              <w:ind w:left="1517"/>
              <w:spacing w:after="0"/>
              <w:rPr>
                <w:sz w:val="20"/>
                <w:szCs w:val="20"/>
                <w:color w:val="auto"/>
              </w:rPr>
            </w:pPr>
            <w:r>
              <w:rPr>
                <w:rFonts w:ascii="Arial" w:cs="Arial" w:eastAsia="Arial" w:hAnsi="Arial"/>
                <w:sz w:val="13"/>
                <w:szCs w:val="13"/>
                <w:b w:val="1"/>
                <w:bCs w:val="1"/>
                <w:color w:val="auto"/>
                <w:w w:val="97"/>
              </w:rPr>
              <w:t>Commission File Number: 001-38672</w:t>
            </w:r>
          </w:p>
        </w:tc>
        <w:tc>
          <w:tcPr>
            <w:tcW w:w="1060" w:type="dxa"/>
            <w:vAlign w:val="bottom"/>
          </w:tcPr>
          <w:p>
            <w:pPr>
              <w:spacing w:after="0"/>
              <w:rPr>
                <w:sz w:val="13"/>
                <w:szCs w:val="13"/>
                <w:color w:val="auto"/>
              </w:rPr>
            </w:pPr>
          </w:p>
        </w:tc>
      </w:tr>
      <w:tr>
        <w:trPr>
          <w:trHeight w:val="173"/>
        </w:trPr>
        <w:tc>
          <w:tcPr>
            <w:tcW w:w="5440" w:type="dxa"/>
            <w:vAlign w:val="bottom"/>
          </w:tcPr>
          <w:p>
            <w:pPr>
              <w:jc w:val="center"/>
              <w:ind w:left="1497"/>
              <w:spacing w:after="0"/>
              <w:rPr>
                <w:sz w:val="20"/>
                <w:szCs w:val="20"/>
                <w:color w:val="auto"/>
              </w:rPr>
            </w:pPr>
            <w:r>
              <w:rPr>
                <w:rFonts w:ascii="Arial" w:cs="Arial" w:eastAsia="Arial" w:hAnsi="Arial"/>
                <w:sz w:val="13"/>
                <w:szCs w:val="13"/>
                <w:b w:val="1"/>
                <w:bCs w:val="1"/>
                <w:color w:val="auto"/>
                <w:w w:val="97"/>
              </w:rPr>
              <w:t>________________________________________________</w:t>
            </w:r>
          </w:p>
        </w:tc>
        <w:tc>
          <w:tcPr>
            <w:tcW w:w="1060" w:type="dxa"/>
            <w:vAlign w:val="bottom"/>
          </w:tcPr>
          <w:p>
            <w:pPr>
              <w:spacing w:after="0"/>
              <w:rPr>
                <w:sz w:val="15"/>
                <w:szCs w:val="15"/>
                <w:color w:val="auto"/>
              </w:rPr>
            </w:pPr>
          </w:p>
        </w:tc>
      </w:tr>
      <w:tr>
        <w:trPr>
          <w:trHeight w:val="283"/>
        </w:trPr>
        <w:tc>
          <w:tcPr>
            <w:tcW w:w="5440" w:type="dxa"/>
            <w:vAlign w:val="bottom"/>
          </w:tcPr>
          <w:p>
            <w:pPr>
              <w:jc w:val="center"/>
              <w:ind w:left="1497"/>
              <w:spacing w:after="0"/>
              <w:rPr>
                <w:sz w:val="20"/>
                <w:szCs w:val="20"/>
                <w:color w:val="auto"/>
              </w:rPr>
            </w:pPr>
            <w:r>
              <w:rPr>
                <w:rFonts w:ascii="Arial" w:cs="Arial" w:eastAsia="Arial" w:hAnsi="Arial"/>
                <w:sz w:val="20"/>
                <w:szCs w:val="20"/>
                <w:b w:val="1"/>
                <w:bCs w:val="1"/>
                <w:color w:val="auto"/>
                <w:w w:val="99"/>
              </w:rPr>
              <w:t>ARVINAS, INC.</w:t>
            </w:r>
          </w:p>
        </w:tc>
        <w:tc>
          <w:tcPr>
            <w:tcW w:w="1060" w:type="dxa"/>
            <w:vAlign w:val="bottom"/>
          </w:tcPr>
          <w:p>
            <w:pPr>
              <w:spacing w:after="0"/>
              <w:rPr>
                <w:sz w:val="24"/>
                <w:szCs w:val="24"/>
                <w:color w:val="auto"/>
              </w:rPr>
            </w:pPr>
          </w:p>
        </w:tc>
      </w:tr>
      <w:tr>
        <w:trPr>
          <w:trHeight w:val="160"/>
        </w:trPr>
        <w:tc>
          <w:tcPr>
            <w:tcW w:w="5440" w:type="dxa"/>
            <w:vAlign w:val="bottom"/>
          </w:tcPr>
          <w:p>
            <w:pPr>
              <w:jc w:val="center"/>
              <w:ind w:left="1497"/>
              <w:spacing w:after="0"/>
              <w:rPr>
                <w:sz w:val="20"/>
                <w:szCs w:val="20"/>
                <w:color w:val="auto"/>
              </w:rPr>
            </w:pPr>
            <w:r>
              <w:rPr>
                <w:rFonts w:ascii="Arial" w:cs="Arial" w:eastAsia="Arial" w:hAnsi="Arial"/>
                <w:sz w:val="13"/>
                <w:szCs w:val="13"/>
                <w:b w:val="1"/>
                <w:bCs w:val="1"/>
                <w:color w:val="auto"/>
                <w:w w:val="98"/>
              </w:rPr>
              <w:t>(Exact name of registrant as specified in its Charter)</w:t>
            </w:r>
          </w:p>
        </w:tc>
        <w:tc>
          <w:tcPr>
            <w:tcW w:w="1060" w:type="dxa"/>
            <w:vAlign w:val="bottom"/>
          </w:tcPr>
          <w:p>
            <w:pPr>
              <w:spacing w:after="0"/>
              <w:rPr>
                <w:sz w:val="13"/>
                <w:szCs w:val="13"/>
                <w:color w:val="auto"/>
              </w:rPr>
            </w:pPr>
          </w:p>
        </w:tc>
      </w:tr>
      <w:tr>
        <w:trPr>
          <w:trHeight w:val="173"/>
        </w:trPr>
        <w:tc>
          <w:tcPr>
            <w:tcW w:w="5440" w:type="dxa"/>
            <w:vAlign w:val="bottom"/>
          </w:tcPr>
          <w:p>
            <w:pPr>
              <w:jc w:val="center"/>
              <w:ind w:left="1497"/>
              <w:spacing w:after="0"/>
              <w:rPr>
                <w:sz w:val="20"/>
                <w:szCs w:val="20"/>
                <w:color w:val="auto"/>
              </w:rPr>
            </w:pPr>
            <w:r>
              <w:rPr>
                <w:rFonts w:ascii="Arial" w:cs="Arial" w:eastAsia="Arial" w:hAnsi="Arial"/>
                <w:sz w:val="13"/>
                <w:szCs w:val="13"/>
                <w:b w:val="1"/>
                <w:bCs w:val="1"/>
                <w:color w:val="auto"/>
                <w:w w:val="97"/>
              </w:rPr>
              <w:t>________________________________________________</w:t>
            </w:r>
          </w:p>
        </w:tc>
        <w:tc>
          <w:tcPr>
            <w:tcW w:w="1060" w:type="dxa"/>
            <w:vAlign w:val="bottom"/>
          </w:tcPr>
          <w:p>
            <w:pPr>
              <w:spacing w:after="0"/>
              <w:rPr>
                <w:sz w:val="15"/>
                <w:szCs w:val="15"/>
                <w:color w:val="auto"/>
              </w:rPr>
            </w:pPr>
          </w:p>
        </w:tc>
      </w:tr>
      <w:tr>
        <w:trPr>
          <w:trHeight w:val="212"/>
        </w:trPr>
        <w:tc>
          <w:tcPr>
            <w:tcW w:w="5440" w:type="dxa"/>
            <w:vAlign w:val="bottom"/>
          </w:tcPr>
          <w:p>
            <w:pPr>
              <w:jc w:val="center"/>
              <w:ind w:right="3537"/>
              <w:spacing w:after="0"/>
              <w:rPr>
                <w:sz w:val="20"/>
                <w:szCs w:val="20"/>
                <w:color w:val="auto"/>
              </w:rPr>
            </w:pPr>
            <w:r>
              <w:rPr>
                <w:rFonts w:ascii="Arial" w:cs="Arial" w:eastAsia="Arial" w:hAnsi="Arial"/>
                <w:sz w:val="13"/>
                <w:szCs w:val="13"/>
                <w:b w:val="1"/>
                <w:bCs w:val="1"/>
                <w:color w:val="auto"/>
                <w:w w:val="98"/>
              </w:rPr>
              <w:t>Delaware</w:t>
            </w:r>
          </w:p>
        </w:tc>
        <w:tc>
          <w:tcPr>
            <w:tcW w:w="1060" w:type="dxa"/>
            <w:vAlign w:val="bottom"/>
          </w:tcPr>
          <w:p>
            <w:pPr>
              <w:jc w:val="right"/>
              <w:ind w:right="25"/>
              <w:spacing w:after="0"/>
              <w:rPr>
                <w:sz w:val="20"/>
                <w:szCs w:val="20"/>
                <w:color w:val="auto"/>
              </w:rPr>
            </w:pPr>
            <w:r>
              <w:rPr>
                <w:rFonts w:ascii="Arial" w:cs="Arial" w:eastAsia="Arial" w:hAnsi="Arial"/>
                <w:sz w:val="13"/>
                <w:szCs w:val="13"/>
                <w:b w:val="1"/>
                <w:bCs w:val="1"/>
                <w:color w:val="auto"/>
              </w:rPr>
              <w:t>47-2566120</w:t>
            </w:r>
          </w:p>
        </w:tc>
      </w:tr>
      <w:tr>
        <w:trPr>
          <w:trHeight w:val="130"/>
        </w:trPr>
        <w:tc>
          <w:tcPr>
            <w:tcW w:w="5440" w:type="dxa"/>
            <w:vAlign w:val="bottom"/>
          </w:tcPr>
          <w:p>
            <w:pPr>
              <w:jc w:val="center"/>
              <w:ind w:right="3537"/>
              <w:spacing w:after="0"/>
              <w:rPr>
                <w:sz w:val="20"/>
                <w:szCs w:val="20"/>
                <w:color w:val="auto"/>
              </w:rPr>
            </w:pPr>
            <w:r>
              <w:rPr>
                <w:rFonts w:ascii="Arial" w:cs="Arial" w:eastAsia="Arial" w:hAnsi="Arial"/>
                <w:sz w:val="10"/>
                <w:szCs w:val="10"/>
                <w:b w:val="1"/>
                <w:bCs w:val="1"/>
                <w:color w:val="auto"/>
                <w:w w:val="99"/>
              </w:rPr>
              <w:t>(State or other jurisdiction of</w:t>
            </w:r>
          </w:p>
        </w:tc>
        <w:tc>
          <w:tcPr>
            <w:tcW w:w="1060" w:type="dxa"/>
            <w:vAlign w:val="bottom"/>
          </w:tcPr>
          <w:p>
            <w:pPr>
              <w:jc w:val="center"/>
              <w:ind w:left="165"/>
              <w:spacing w:after="0"/>
              <w:rPr>
                <w:sz w:val="20"/>
                <w:szCs w:val="20"/>
                <w:color w:val="auto"/>
              </w:rPr>
            </w:pPr>
            <w:r>
              <w:rPr>
                <w:rFonts w:ascii="Arial" w:cs="Arial" w:eastAsia="Arial" w:hAnsi="Arial"/>
                <w:sz w:val="10"/>
                <w:szCs w:val="10"/>
                <w:b w:val="1"/>
                <w:bCs w:val="1"/>
                <w:color w:val="auto"/>
                <w:w w:val="99"/>
              </w:rPr>
              <w:t>(I.R.S. Employer</w:t>
            </w:r>
          </w:p>
        </w:tc>
      </w:tr>
      <w:tr>
        <w:trPr>
          <w:trHeight w:val="136"/>
        </w:trPr>
        <w:tc>
          <w:tcPr>
            <w:tcW w:w="5440" w:type="dxa"/>
            <w:vAlign w:val="bottom"/>
          </w:tcPr>
          <w:p>
            <w:pPr>
              <w:jc w:val="center"/>
              <w:ind w:right="3537"/>
              <w:spacing w:after="0"/>
              <w:rPr>
                <w:sz w:val="20"/>
                <w:szCs w:val="20"/>
                <w:color w:val="auto"/>
              </w:rPr>
            </w:pPr>
            <w:r>
              <w:rPr>
                <w:rFonts w:ascii="Arial" w:cs="Arial" w:eastAsia="Arial" w:hAnsi="Arial"/>
                <w:sz w:val="10"/>
                <w:szCs w:val="10"/>
                <w:b w:val="1"/>
                <w:bCs w:val="1"/>
                <w:color w:val="auto"/>
                <w:w w:val="98"/>
              </w:rPr>
              <w:t>incorporation or organization)</w:t>
            </w:r>
          </w:p>
        </w:tc>
        <w:tc>
          <w:tcPr>
            <w:tcW w:w="1060" w:type="dxa"/>
            <w:vAlign w:val="bottom"/>
          </w:tcPr>
          <w:p>
            <w:pPr>
              <w:jc w:val="center"/>
              <w:ind w:left="165"/>
              <w:spacing w:after="0"/>
              <w:rPr>
                <w:sz w:val="20"/>
                <w:szCs w:val="20"/>
                <w:color w:val="auto"/>
              </w:rPr>
            </w:pPr>
            <w:r>
              <w:rPr>
                <w:rFonts w:ascii="Arial" w:cs="Arial" w:eastAsia="Arial" w:hAnsi="Arial"/>
                <w:sz w:val="10"/>
                <w:szCs w:val="10"/>
                <w:b w:val="1"/>
                <w:bCs w:val="1"/>
                <w:color w:val="auto"/>
                <w:w w:val="99"/>
              </w:rPr>
              <w:t>Identification No.)</w:t>
            </w:r>
          </w:p>
        </w:tc>
      </w:tr>
      <w:tr>
        <w:trPr>
          <w:trHeight w:val="187"/>
        </w:trPr>
        <w:tc>
          <w:tcPr>
            <w:tcW w:w="5440" w:type="dxa"/>
            <w:vAlign w:val="bottom"/>
          </w:tcPr>
          <w:p>
            <w:pPr>
              <w:jc w:val="center"/>
              <w:ind w:right="3517"/>
              <w:spacing w:after="0"/>
              <w:rPr>
                <w:sz w:val="20"/>
                <w:szCs w:val="20"/>
                <w:color w:val="auto"/>
              </w:rPr>
            </w:pPr>
            <w:r>
              <w:rPr>
                <w:rFonts w:ascii="Arial" w:cs="Arial" w:eastAsia="Arial" w:hAnsi="Arial"/>
                <w:sz w:val="13"/>
                <w:szCs w:val="13"/>
                <w:b w:val="1"/>
                <w:bCs w:val="1"/>
                <w:color w:val="auto"/>
                <w:w w:val="98"/>
              </w:rPr>
              <w:t>5 Science Park</w:t>
            </w:r>
          </w:p>
        </w:tc>
        <w:tc>
          <w:tcPr>
            <w:tcW w:w="1060" w:type="dxa"/>
            <w:vAlign w:val="bottom"/>
          </w:tcPr>
          <w:p>
            <w:pPr>
              <w:spacing w:after="0"/>
              <w:rPr>
                <w:sz w:val="16"/>
                <w:szCs w:val="16"/>
                <w:color w:val="auto"/>
              </w:rPr>
            </w:pPr>
          </w:p>
        </w:tc>
      </w:tr>
      <w:tr>
        <w:trPr>
          <w:trHeight w:val="149"/>
        </w:trPr>
        <w:tc>
          <w:tcPr>
            <w:tcW w:w="5440" w:type="dxa"/>
            <w:vAlign w:val="bottom"/>
          </w:tcPr>
          <w:p>
            <w:pPr>
              <w:jc w:val="center"/>
              <w:ind w:right="3537"/>
              <w:spacing w:after="0"/>
              <w:rPr>
                <w:sz w:val="20"/>
                <w:szCs w:val="20"/>
                <w:color w:val="auto"/>
              </w:rPr>
            </w:pPr>
            <w:r>
              <w:rPr>
                <w:rFonts w:ascii="Arial" w:cs="Arial" w:eastAsia="Arial" w:hAnsi="Arial"/>
                <w:sz w:val="13"/>
                <w:szCs w:val="13"/>
                <w:b w:val="1"/>
                <w:bCs w:val="1"/>
                <w:color w:val="auto"/>
                <w:w w:val="98"/>
              </w:rPr>
              <w:t>395 Winchester Ave.</w:t>
            </w:r>
          </w:p>
        </w:tc>
        <w:tc>
          <w:tcPr>
            <w:tcW w:w="1060" w:type="dxa"/>
            <w:vAlign w:val="bottom"/>
          </w:tcPr>
          <w:p>
            <w:pPr>
              <w:spacing w:after="0"/>
              <w:rPr>
                <w:sz w:val="12"/>
                <w:szCs w:val="12"/>
                <w:color w:val="auto"/>
              </w:rPr>
            </w:pPr>
          </w:p>
        </w:tc>
      </w:tr>
      <w:tr>
        <w:trPr>
          <w:trHeight w:val="173"/>
        </w:trPr>
        <w:tc>
          <w:tcPr>
            <w:tcW w:w="5440" w:type="dxa"/>
            <w:vAlign w:val="bottom"/>
          </w:tcPr>
          <w:p>
            <w:pPr>
              <w:jc w:val="center"/>
              <w:ind w:right="3537"/>
              <w:spacing w:after="0"/>
              <w:rPr>
                <w:sz w:val="20"/>
                <w:szCs w:val="20"/>
                <w:color w:val="auto"/>
              </w:rPr>
            </w:pPr>
            <w:r>
              <w:rPr>
                <w:rFonts w:ascii="Arial" w:cs="Arial" w:eastAsia="Arial" w:hAnsi="Arial"/>
                <w:sz w:val="13"/>
                <w:szCs w:val="13"/>
                <w:b w:val="1"/>
                <w:bCs w:val="1"/>
                <w:color w:val="auto"/>
                <w:w w:val="97"/>
              </w:rPr>
              <w:t>New Haven, Connecticut</w:t>
            </w:r>
          </w:p>
        </w:tc>
        <w:tc>
          <w:tcPr>
            <w:tcW w:w="1060" w:type="dxa"/>
            <w:vAlign w:val="bottom"/>
          </w:tcPr>
          <w:p>
            <w:pPr>
              <w:jc w:val="right"/>
              <w:ind w:right="185"/>
              <w:spacing w:after="0"/>
              <w:rPr>
                <w:sz w:val="20"/>
                <w:szCs w:val="20"/>
                <w:color w:val="auto"/>
              </w:rPr>
            </w:pPr>
            <w:r>
              <w:rPr>
                <w:rFonts w:ascii="Arial" w:cs="Arial" w:eastAsia="Arial" w:hAnsi="Arial"/>
                <w:sz w:val="13"/>
                <w:szCs w:val="13"/>
                <w:b w:val="1"/>
                <w:bCs w:val="1"/>
                <w:color w:val="auto"/>
              </w:rPr>
              <w:t>06511</w:t>
            </w:r>
          </w:p>
        </w:tc>
      </w:tr>
      <w:tr>
        <w:trPr>
          <w:trHeight w:val="160"/>
        </w:trPr>
        <w:tc>
          <w:tcPr>
            <w:tcW w:w="5440" w:type="dxa"/>
            <w:vAlign w:val="bottom"/>
          </w:tcPr>
          <w:p>
            <w:pPr>
              <w:jc w:val="center"/>
              <w:ind w:right="3537"/>
              <w:spacing w:after="0"/>
              <w:rPr>
                <w:sz w:val="20"/>
                <w:szCs w:val="20"/>
                <w:color w:val="auto"/>
              </w:rPr>
            </w:pPr>
            <w:r>
              <w:rPr>
                <w:rFonts w:ascii="Arial" w:cs="Arial" w:eastAsia="Arial" w:hAnsi="Arial"/>
                <w:sz w:val="10"/>
                <w:szCs w:val="10"/>
                <w:b w:val="1"/>
                <w:bCs w:val="1"/>
                <w:color w:val="auto"/>
                <w:w w:val="98"/>
              </w:rPr>
              <w:t>(Address of principal executive offices)</w:t>
            </w:r>
          </w:p>
        </w:tc>
        <w:tc>
          <w:tcPr>
            <w:tcW w:w="1060" w:type="dxa"/>
            <w:vAlign w:val="bottom"/>
          </w:tcPr>
          <w:p>
            <w:pPr>
              <w:jc w:val="center"/>
              <w:ind w:left="185"/>
              <w:spacing w:after="0"/>
              <w:rPr>
                <w:sz w:val="20"/>
                <w:szCs w:val="20"/>
                <w:color w:val="auto"/>
              </w:rPr>
            </w:pPr>
            <w:r>
              <w:rPr>
                <w:rFonts w:ascii="Arial" w:cs="Arial" w:eastAsia="Arial" w:hAnsi="Arial"/>
                <w:sz w:val="10"/>
                <w:szCs w:val="10"/>
                <w:b w:val="1"/>
                <w:bCs w:val="1"/>
                <w:color w:val="auto"/>
              </w:rPr>
              <w:t>(Zip Code)</w:t>
            </w:r>
          </w:p>
        </w:tc>
      </w:tr>
    </w:tbl>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 (203) 535-1456</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3"/>
          <w:szCs w:val="13"/>
          <w:b w:val="1"/>
          <w:bCs w:val="1"/>
          <w:color w:val="auto"/>
        </w:rPr>
        <w:t>________________________________________________</w:t>
      </w: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3" w:lineRule="exact"/>
        <w:rPr>
          <w:sz w:val="24"/>
          <w:szCs w:val="24"/>
          <w:color w:val="auto"/>
        </w:rPr>
      </w:pPr>
    </w:p>
    <w:tbl>
      <w:tblPr>
        <w:tblLayout w:type="fixed"/>
        <w:tblInd w:w="860" w:type="dxa"/>
        <w:tblCellMar>
          <w:top w:w="0" w:type="dxa"/>
          <w:left w:w="0" w:type="dxa"/>
          <w:bottom w:w="0" w:type="dxa"/>
          <w:right w:w="0" w:type="dxa"/>
        </w:tblCellMar>
      </w:tblPr>
      <w:tr>
        <w:trPr>
          <w:trHeight w:val="126"/>
        </w:trPr>
        <w:tc>
          <w:tcPr>
            <w:tcW w:w="3240" w:type="dxa"/>
            <w:vAlign w:val="bottom"/>
            <w:vMerge w:val="restart"/>
          </w:tcPr>
          <w:p>
            <w:pPr>
              <w:jc w:val="center"/>
              <w:ind w:right="760"/>
              <w:spacing w:after="0"/>
              <w:rPr>
                <w:sz w:val="20"/>
                <w:szCs w:val="20"/>
                <w:color w:val="auto"/>
              </w:rPr>
            </w:pPr>
            <w:r>
              <w:rPr>
                <w:rFonts w:ascii="Arial" w:cs="Arial" w:eastAsia="Arial" w:hAnsi="Arial"/>
                <w:sz w:val="11"/>
                <w:szCs w:val="11"/>
                <w:b w:val="1"/>
                <w:bCs w:val="1"/>
                <w:color w:val="auto"/>
              </w:rPr>
              <w:t>Title of each class</w:t>
            </w:r>
          </w:p>
        </w:tc>
        <w:tc>
          <w:tcPr>
            <w:tcW w:w="218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3200" w:type="dxa"/>
            <w:vAlign w:val="bottom"/>
            <w:vMerge w:val="restart"/>
          </w:tcPr>
          <w:p>
            <w:pPr>
              <w:jc w:val="center"/>
              <w:ind w:left="740"/>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4"/>
        </w:trPr>
        <w:tc>
          <w:tcPr>
            <w:tcW w:w="3240" w:type="dxa"/>
            <w:vAlign w:val="bottom"/>
            <w:vMerge w:val="continue"/>
          </w:tcPr>
          <w:p>
            <w:pPr>
              <w:spacing w:after="0"/>
              <w:rPr>
                <w:sz w:val="12"/>
                <w:szCs w:val="12"/>
                <w:color w:val="auto"/>
              </w:rPr>
            </w:pPr>
          </w:p>
        </w:tc>
        <w:tc>
          <w:tcPr>
            <w:tcW w:w="2180" w:type="dxa"/>
            <w:vAlign w:val="bottom"/>
          </w:tcPr>
          <w:p>
            <w:pPr>
              <w:jc w:val="center"/>
              <w:spacing w:after="0"/>
              <w:rPr>
                <w:sz w:val="20"/>
                <w:szCs w:val="20"/>
                <w:color w:val="auto"/>
              </w:rPr>
            </w:pPr>
            <w:r>
              <w:rPr>
                <w:rFonts w:ascii="Arial" w:cs="Arial" w:eastAsia="Arial" w:hAnsi="Arial"/>
                <w:sz w:val="11"/>
                <w:szCs w:val="11"/>
                <w:b w:val="1"/>
                <w:bCs w:val="1"/>
                <w:color w:val="auto"/>
              </w:rPr>
              <w:t>Symbol(s)</w:t>
            </w:r>
          </w:p>
        </w:tc>
        <w:tc>
          <w:tcPr>
            <w:tcW w:w="3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40" w:type="dxa"/>
            <w:vAlign w:val="bottom"/>
          </w:tcPr>
          <w:p>
            <w:pPr>
              <w:jc w:val="center"/>
              <w:ind w:right="740"/>
              <w:spacing w:after="0"/>
              <w:rPr>
                <w:sz w:val="20"/>
                <w:szCs w:val="20"/>
                <w:color w:val="auto"/>
              </w:rPr>
            </w:pPr>
            <w:r>
              <w:rPr>
                <w:rFonts w:ascii="Arial" w:cs="Arial" w:eastAsia="Arial" w:hAnsi="Arial"/>
                <w:sz w:val="13"/>
                <w:szCs w:val="13"/>
                <w:color w:val="auto"/>
                <w:w w:val="97"/>
              </w:rPr>
              <w:t>Common stock, par value $0.001 per share</w:t>
            </w:r>
          </w:p>
        </w:tc>
        <w:tc>
          <w:tcPr>
            <w:tcW w:w="2180" w:type="dxa"/>
            <w:vAlign w:val="bottom"/>
          </w:tcPr>
          <w:p>
            <w:pPr>
              <w:jc w:val="center"/>
              <w:spacing w:after="0"/>
              <w:rPr>
                <w:sz w:val="20"/>
                <w:szCs w:val="20"/>
                <w:color w:val="auto"/>
              </w:rPr>
            </w:pPr>
            <w:r>
              <w:rPr>
                <w:rFonts w:ascii="Arial" w:cs="Arial" w:eastAsia="Arial" w:hAnsi="Arial"/>
                <w:sz w:val="13"/>
                <w:szCs w:val="13"/>
                <w:color w:val="auto"/>
                <w:w w:val="99"/>
              </w:rPr>
              <w:t>ARVN</w:t>
            </w:r>
          </w:p>
        </w:tc>
        <w:tc>
          <w:tcPr>
            <w:tcW w:w="3200" w:type="dxa"/>
            <w:vAlign w:val="bottom"/>
          </w:tcPr>
          <w:p>
            <w:pPr>
              <w:jc w:val="center"/>
              <w:ind w:left="740"/>
              <w:spacing w:after="0"/>
              <w:rPr>
                <w:sz w:val="20"/>
                <w:szCs w:val="20"/>
                <w:color w:val="auto"/>
              </w:rPr>
            </w:pPr>
            <w:r>
              <w:rPr>
                <w:rFonts w:ascii="Arial" w:cs="Arial" w:eastAsia="Arial" w:hAnsi="Arial"/>
                <w:sz w:val="13"/>
                <w:szCs w:val="13"/>
                <w:color w:val="auto"/>
                <w:w w:val="98"/>
              </w:rPr>
              <w:t>The Nasdaq Global Select Market</w:t>
            </w:r>
          </w:p>
        </w:tc>
        <w:tc>
          <w:tcPr>
            <w:tcW w:w="0" w:type="dxa"/>
            <w:vAlign w:val="bottom"/>
          </w:tcPr>
          <w:p>
            <w:pPr>
              <w:spacing w:after="0"/>
              <w:rPr>
                <w:sz w:val="1"/>
                <w:szCs w:val="1"/>
                <w:color w:val="auto"/>
              </w:rPr>
            </w:pPr>
          </w:p>
        </w:tc>
      </w:tr>
    </w:tbl>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(Title of class)</w:t>
      </w:r>
    </w:p>
    <w:p>
      <w:pPr>
        <w:spacing w:after="0" w:line="10" w:lineRule="exact"/>
        <w:rPr>
          <w:sz w:val="24"/>
          <w:szCs w:val="24"/>
          <w:color w:val="auto"/>
        </w:rPr>
      </w:pPr>
    </w:p>
    <w:p>
      <w:pPr>
        <w:ind w:right="4760"/>
        <w:spacing w:after="0" w:line="312" w:lineRule="auto"/>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w:t>
      </w:r>
      <w:r>
        <w:rPr>
          <w:rFonts w:ascii="Times New Roman" w:cs="Times New Roman" w:eastAsia="Times New Roman" w:hAnsi="Times New Roman"/>
          <w:sz w:val="11"/>
          <w:szCs w:val="11"/>
          <w:color w:val="auto"/>
        </w:rPr>
        <w:t>No</w:t>
      </w:r>
      <w:r>
        <w:rPr>
          <w:rFonts w:ascii="Arial" w:cs="Arial" w:eastAsia="Arial" w:hAnsi="Arial"/>
          <w:sz w:val="11"/>
          <w:szCs w:val="11"/>
          <w:color w:val="auto"/>
        </w:rPr>
        <w:t xml:space="preserve"> </w:t>
      </w:r>
      <w:r>
        <w:rPr>
          <w:rFonts w:ascii="Wingdings" w:cs="Wingdings" w:eastAsia="Wingdings" w:hAnsi="Wingdings"/>
          <w:sz w:val="11"/>
          <w:szCs w:val="11"/>
          <w:b w:val="1"/>
          <w:bCs w:val="1"/>
          <w:color w:val="auto"/>
        </w:rPr>
        <w:t>x</w:t>
      </w:r>
    </w:p>
    <w:p>
      <w:pPr>
        <w:ind w:right="360"/>
        <w:spacing w:after="0" w:line="281" w:lineRule="auto"/>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40"/>
        <w:spacing w:after="0" w:line="291" w:lineRule="auto"/>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500" w:type="dxa"/>
        <w:tblCellMar>
          <w:top w:w="0" w:type="dxa"/>
          <w:left w:w="0" w:type="dxa"/>
          <w:bottom w:w="0" w:type="dxa"/>
          <w:right w:w="0" w:type="dxa"/>
        </w:tblCellMar>
      </w:tblPr>
      <w:tr>
        <w:trPr>
          <w:trHeight w:val="148"/>
        </w:trPr>
        <w:tc>
          <w:tcPr>
            <w:tcW w:w="17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160" w:type="dxa"/>
            <w:vAlign w:val="bottom"/>
          </w:tcPr>
          <w:p>
            <w:pPr>
              <w:ind w:left="540"/>
              <w:spacing w:after="0"/>
              <w:rPr>
                <w:sz w:val="20"/>
                <w:szCs w:val="20"/>
                <w:color w:val="auto"/>
              </w:rPr>
            </w:pPr>
            <w:r>
              <w:rPr>
                <w:rFonts w:ascii="Wingdings" w:cs="Wingdings" w:eastAsia="Wingdings" w:hAnsi="Wingdings"/>
                <w:sz w:val="11"/>
                <w:szCs w:val="11"/>
                <w:b w:val="1"/>
                <w:bCs w:val="1"/>
                <w:color w:val="auto"/>
              </w:rPr>
              <w:t>o</w:t>
            </w:r>
          </w:p>
        </w:tc>
        <w:tc>
          <w:tcPr>
            <w:tcW w:w="4600" w:type="dxa"/>
            <w:vAlign w:val="bottom"/>
          </w:tcPr>
          <w:p>
            <w:pPr>
              <w:ind w:left="2520"/>
              <w:spacing w:after="0"/>
              <w:rPr>
                <w:sz w:val="20"/>
                <w:szCs w:val="20"/>
                <w:color w:val="auto"/>
              </w:rPr>
            </w:pPr>
            <w:r>
              <w:rPr>
                <w:rFonts w:ascii="Arial" w:cs="Arial" w:eastAsia="Arial" w:hAnsi="Arial"/>
                <w:sz w:val="11"/>
                <w:szCs w:val="11"/>
                <w:color w:val="auto"/>
              </w:rPr>
              <w:t>Accelerated filer</w:t>
            </w:r>
          </w:p>
        </w:tc>
        <w:tc>
          <w:tcPr>
            <w:tcW w:w="840" w:type="dxa"/>
            <w:vAlign w:val="bottom"/>
          </w:tcPr>
          <w:p>
            <w:pPr>
              <w:jc w:val="right"/>
              <w:spacing w:after="0"/>
              <w:rPr>
                <w:sz w:val="20"/>
                <w:szCs w:val="20"/>
                <w:color w:val="auto"/>
              </w:rPr>
            </w:pPr>
            <w:r>
              <w:rPr>
                <w:rFonts w:ascii="Wingdings" w:cs="Wingdings" w:eastAsia="Wingdings" w:hAnsi="Wingdings"/>
                <w:sz w:val="11"/>
                <w:szCs w:val="11"/>
                <w:b w:val="1"/>
                <w:bCs w:val="1"/>
                <w:color w:val="auto"/>
              </w:rPr>
              <w:t>x</w:t>
            </w:r>
          </w:p>
        </w:tc>
      </w:tr>
      <w:tr>
        <w:trPr>
          <w:trHeight w:val="170"/>
        </w:trPr>
        <w:tc>
          <w:tcPr>
            <w:tcW w:w="1700" w:type="dxa"/>
            <w:vAlign w:val="bottom"/>
          </w:tcPr>
          <w:p>
            <w:pPr>
              <w:spacing w:after="0"/>
              <w:rPr>
                <w:sz w:val="20"/>
                <w:szCs w:val="20"/>
                <w:color w:val="auto"/>
              </w:rPr>
            </w:pPr>
            <w:r>
              <w:rPr>
                <w:rFonts w:ascii="Arial" w:cs="Arial" w:eastAsia="Arial" w:hAnsi="Arial"/>
                <w:sz w:val="11"/>
                <w:szCs w:val="11"/>
                <w:color w:val="auto"/>
              </w:rPr>
              <w:t>Non-accelerated filer</w:t>
            </w:r>
          </w:p>
        </w:tc>
        <w:tc>
          <w:tcPr>
            <w:tcW w:w="3160" w:type="dxa"/>
            <w:vAlign w:val="bottom"/>
          </w:tcPr>
          <w:p>
            <w:pPr>
              <w:ind w:left="540"/>
              <w:spacing w:after="0"/>
              <w:rPr>
                <w:sz w:val="20"/>
                <w:szCs w:val="20"/>
                <w:color w:val="auto"/>
              </w:rPr>
            </w:pPr>
            <w:r>
              <w:rPr>
                <w:rFonts w:ascii="Wingdings" w:cs="Wingdings" w:eastAsia="Wingdings" w:hAnsi="Wingdings"/>
                <w:sz w:val="11"/>
                <w:szCs w:val="11"/>
                <w:b w:val="1"/>
                <w:bCs w:val="1"/>
                <w:color w:val="auto"/>
              </w:rPr>
              <w:t>o</w:t>
            </w:r>
          </w:p>
        </w:tc>
        <w:tc>
          <w:tcPr>
            <w:tcW w:w="4600" w:type="dxa"/>
            <w:vAlign w:val="bottom"/>
          </w:tcPr>
          <w:p>
            <w:pPr>
              <w:ind w:left="2520"/>
              <w:spacing w:after="0"/>
              <w:rPr>
                <w:sz w:val="20"/>
                <w:szCs w:val="20"/>
                <w:color w:val="auto"/>
              </w:rPr>
            </w:pPr>
            <w:r>
              <w:rPr>
                <w:rFonts w:ascii="Arial" w:cs="Arial" w:eastAsia="Arial" w:hAnsi="Arial"/>
                <w:sz w:val="11"/>
                <w:szCs w:val="11"/>
                <w:color w:val="auto"/>
              </w:rPr>
              <w:t>Smaller reporting company</w:t>
            </w:r>
          </w:p>
        </w:tc>
        <w:tc>
          <w:tcPr>
            <w:tcW w:w="840" w:type="dxa"/>
            <w:vAlign w:val="bottom"/>
          </w:tcPr>
          <w:p>
            <w:pPr>
              <w:jc w:val="right"/>
              <w:spacing w:after="0"/>
              <w:rPr>
                <w:sz w:val="20"/>
                <w:szCs w:val="20"/>
                <w:color w:val="auto"/>
              </w:rPr>
            </w:pPr>
            <w:r>
              <w:rPr>
                <w:rFonts w:ascii="Wingdings" w:cs="Wingdings" w:eastAsia="Wingdings" w:hAnsi="Wingdings"/>
                <w:sz w:val="11"/>
                <w:szCs w:val="11"/>
                <w:b w:val="1"/>
                <w:bCs w:val="1"/>
                <w:color w:val="auto"/>
              </w:rPr>
              <w:t>o</w:t>
            </w:r>
          </w:p>
        </w:tc>
      </w:tr>
      <w:tr>
        <w:trPr>
          <w:trHeight w:val="170"/>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0" w:type="dxa"/>
            <w:vAlign w:val="bottom"/>
          </w:tcPr>
          <w:p>
            <w:pPr>
              <w:ind w:left="2520"/>
              <w:spacing w:after="0"/>
              <w:rPr>
                <w:sz w:val="20"/>
                <w:szCs w:val="20"/>
                <w:color w:val="auto"/>
              </w:rPr>
            </w:pPr>
            <w:r>
              <w:rPr>
                <w:rFonts w:ascii="Arial" w:cs="Arial" w:eastAsia="Arial" w:hAnsi="Arial"/>
                <w:sz w:val="11"/>
                <w:szCs w:val="11"/>
                <w:color w:val="auto"/>
              </w:rPr>
              <w:t>Emerging growth company</w:t>
            </w:r>
          </w:p>
        </w:tc>
        <w:tc>
          <w:tcPr>
            <w:tcW w:w="840" w:type="dxa"/>
            <w:vAlign w:val="bottom"/>
          </w:tcPr>
          <w:p>
            <w:pPr>
              <w:jc w:val="right"/>
              <w:spacing w:after="0"/>
              <w:rPr>
                <w:sz w:val="20"/>
                <w:szCs w:val="20"/>
                <w:color w:val="auto"/>
              </w:rPr>
            </w:pPr>
            <w:r>
              <w:rPr>
                <w:rFonts w:ascii="Wingdings" w:cs="Wingdings" w:eastAsia="Wingdings" w:hAnsi="Wingdings"/>
                <w:sz w:val="11"/>
                <w:szCs w:val="11"/>
                <w:b w:val="1"/>
                <w:bCs w:val="1"/>
                <w:color w:val="auto"/>
              </w:rPr>
              <w:t>o</w:t>
            </w:r>
          </w:p>
        </w:tc>
      </w:tr>
    </w:tbl>
    <w:p>
      <w:pPr>
        <w:spacing w:after="0" w:line="96" w:lineRule="exact"/>
        <w:rPr>
          <w:sz w:val="24"/>
          <w:szCs w:val="24"/>
          <w:color w:val="auto"/>
        </w:rPr>
      </w:pPr>
    </w:p>
    <w:p>
      <w:pPr>
        <w:ind w:right="100"/>
        <w:spacing w:after="0" w:line="291"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40"/>
        <w:spacing w:after="0" w:line="138" w:lineRule="exact"/>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1"/>
          <w:szCs w:val="11"/>
          <w:color w:val="auto"/>
        </w:rPr>
        <w:t>☒</w:t>
      </w:r>
    </w:p>
    <w:p>
      <w:pPr>
        <w:ind w:right="380"/>
        <w:spacing w:after="0" w:line="261" w:lineRule="auto"/>
        <w:rPr>
          <w:sz w:val="20"/>
          <w:szCs w:val="20"/>
          <w:color w:val="auto"/>
        </w:rPr>
      </w:pPr>
      <w:r>
        <w:rPr>
          <w:rFonts w:ascii="Arial" w:cs="Arial" w:eastAsia="Arial" w:hAnsi="Arial"/>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1" w:lineRule="exact"/>
        <w:rPr>
          <w:sz w:val="24"/>
          <w:szCs w:val="24"/>
          <w:color w:val="auto"/>
        </w:rPr>
      </w:pPr>
    </w:p>
    <w:p>
      <w:pPr>
        <w:ind w:right="360"/>
        <w:spacing w:after="0" w:line="262"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49" w:lineRule="exact"/>
        <w:rPr>
          <w:sz w:val="24"/>
          <w:szCs w:val="24"/>
          <w:color w:val="auto"/>
        </w:rPr>
      </w:pPr>
    </w:p>
    <w:p>
      <w:pPr>
        <w:ind w:right="520"/>
        <w:spacing w:after="0" w:line="277" w:lineRule="auto"/>
        <w:rPr>
          <w:sz w:val="20"/>
          <w:szCs w:val="20"/>
          <w:color w:val="auto"/>
        </w:rPr>
      </w:pPr>
      <w:r>
        <w:rPr>
          <w:rFonts w:ascii="Arial" w:cs="Arial" w:eastAsia="Arial" w:hAnsi="Arial"/>
          <w:sz w:val="11"/>
          <w:szCs w:val="11"/>
          <w:color w:val="auto"/>
        </w:rPr>
        <w:t>As of June 30, 2025, the last business day of the registrant’s most recently completed second fiscal quarter, the aggregate market value of the Common Stock held by non-affiliates of the registrant was approximately $469.0 million, based on the closing price of the registrant’s Common Stock on such date. The number of shares of registrant’s Common Stock, $0.001 par value per share, outstanding as of February 20, 2026 was 63,960,997.</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DOCUMENTS INCORPORATED BY REFERENCE</w:t>
      </w:r>
    </w:p>
    <w:p>
      <w:pPr>
        <w:spacing w:after="0" w:line="43" w:lineRule="exact"/>
        <w:rPr>
          <w:sz w:val="24"/>
          <w:szCs w:val="24"/>
          <w:color w:val="auto"/>
        </w:rPr>
      </w:pPr>
    </w:p>
    <w:p>
      <w:pPr>
        <w:ind w:right="140"/>
        <w:spacing w:after="0" w:line="283" w:lineRule="auto"/>
        <w:rPr>
          <w:sz w:val="20"/>
          <w:szCs w:val="20"/>
          <w:color w:val="auto"/>
        </w:rPr>
      </w:pPr>
      <w:r>
        <w:rPr>
          <w:rFonts w:ascii="Arial" w:cs="Arial" w:eastAsia="Arial" w:hAnsi="Arial"/>
          <w:sz w:val="11"/>
          <w:szCs w:val="11"/>
          <w:color w:val="auto"/>
        </w:rPr>
        <w:t>Part III of this Annual Report incorporates by reference information from the definitive Proxy Statement for the registrant’s 2026 Annual Meeting of Stockholders, which is expected to be filed with the Securities and Exchange Commission not later than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wp:posOffset>
            </wp:positionV>
            <wp:extent cx="65620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209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wp:posOffset>
            </wp:positionV>
            <wp:extent cx="65620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ectPr>
          <w:pgSz w:w="11900" w:h="16838" w:orient="portrait"/>
          <w:cols w:equalWidth="0" w:num="1">
            <w:col w:w="11280"/>
          </w:cols>
          <w:pgMar w:left="300" w:top="59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60" w:type="dxa"/>
            <w:vAlign w:val="bottom"/>
            <w:gridSpan w:val="8"/>
          </w:tcPr>
          <w:p>
            <w:pPr>
              <w:ind w:left="140"/>
              <w:spacing w:after="0"/>
              <w:rPr>
                <w:sz w:val="20"/>
                <w:szCs w:val="20"/>
                <w:color w:val="auto"/>
              </w:rPr>
            </w:pPr>
            <w:r>
              <w:rPr>
                <w:rFonts w:ascii="Arial" w:cs="Arial" w:eastAsia="Arial" w:hAnsi="Arial"/>
                <w:sz w:val="14"/>
                <w:szCs w:val="14"/>
                <w:b w:val="1"/>
                <w:bCs w:val="1"/>
                <w:color w:val="auto"/>
              </w:rPr>
              <w:t>Table of Contents</w:t>
            </w:r>
          </w:p>
        </w:tc>
        <w:tc>
          <w:tcPr>
            <w:tcW w:w="900" w:type="dxa"/>
            <w:vAlign w:val="bottom"/>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Page</w:t>
            </w:r>
          </w:p>
        </w:tc>
      </w:tr>
      <w:tr>
        <w:trPr>
          <w:trHeight w:val="140"/>
        </w:trPr>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0" w:lineRule="exact"/>
              <w:rPr>
                <w:sz w:val="20"/>
                <w:szCs w:val="20"/>
                <w:color w:val="auto"/>
              </w:rPr>
            </w:pPr>
            <w:r>
              <w:rPr>
                <w:rFonts w:ascii="Arial" w:cs="Arial" w:eastAsia="Arial" w:hAnsi="Arial"/>
                <w:sz w:val="14"/>
                <w:szCs w:val="14"/>
                <w:b w:val="1"/>
                <w:bCs w:val="1"/>
                <w:color w:val="0000FF"/>
                <w:w w:val="95"/>
              </w:rPr>
              <w:t>PART I</w:t>
            </w:r>
          </w:p>
        </w:tc>
        <w:tc>
          <w:tcPr>
            <w:tcW w:w="90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w:t>
            </w:r>
          </w:p>
        </w:tc>
        <w:tc>
          <w:tcPr>
            <w:tcW w:w="9000" w:type="dxa"/>
            <w:vAlign w:val="bottom"/>
            <w:gridSpan w:val="23"/>
          </w:tcPr>
          <w:p>
            <w:pPr>
              <w:spacing w:after="0"/>
              <w:rPr>
                <w:sz w:val="20"/>
                <w:szCs w:val="20"/>
                <w:color w:val="auto"/>
              </w:rPr>
            </w:pPr>
            <w:r>
              <w:rPr>
                <w:rFonts w:ascii="Arial" w:cs="Arial" w:eastAsia="Arial" w:hAnsi="Arial"/>
                <w:sz w:val="14"/>
                <w:szCs w:val="14"/>
                <w:color w:val="0000FF"/>
              </w:rPr>
              <w:t>Business</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20"/>
        </w:trPr>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1A.</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Risk Factors</w:t>
            </w:r>
          </w:p>
        </w:tc>
        <w:tc>
          <w:tcPr>
            <w:tcW w:w="8200" w:type="dxa"/>
            <w:vAlign w:val="bottom"/>
            <w:gridSpan w:val="19"/>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65</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1B.</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Unresolved Staff Comments</w:t>
            </w:r>
          </w:p>
        </w:tc>
        <w:tc>
          <w:tcPr>
            <w:tcW w:w="7220" w:type="dxa"/>
            <w:vAlign w:val="bottom"/>
            <w:gridSpan w:val="12"/>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117</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1C</w:t>
            </w:r>
          </w:p>
        </w:tc>
        <w:tc>
          <w:tcPr>
            <w:tcW w:w="8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Cybersecurity</w:t>
            </w:r>
          </w:p>
        </w:tc>
        <w:tc>
          <w:tcPr>
            <w:tcW w:w="8120" w:type="dxa"/>
            <w:vAlign w:val="bottom"/>
            <w:gridSpan w:val="18"/>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118</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2.</w:t>
            </w: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Properties</w:t>
            </w:r>
          </w:p>
        </w:tc>
        <w:tc>
          <w:tcPr>
            <w:tcW w:w="8340" w:type="dxa"/>
            <w:vAlign w:val="bottom"/>
            <w:gridSpan w:val="21"/>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119</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3.</w:t>
            </w: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Legal Proceedings</w:t>
            </w:r>
          </w:p>
        </w:tc>
        <w:tc>
          <w:tcPr>
            <w:tcW w:w="7820" w:type="dxa"/>
            <w:vAlign w:val="bottom"/>
            <w:gridSpan w:val="16"/>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119</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4.</w:t>
            </w:r>
          </w:p>
        </w:tc>
        <w:tc>
          <w:tcPr>
            <w:tcW w:w="9000" w:type="dxa"/>
            <w:vAlign w:val="bottom"/>
            <w:gridSpan w:val="23"/>
          </w:tcPr>
          <w:p>
            <w:pPr>
              <w:spacing w:after="0"/>
              <w:rPr>
                <w:sz w:val="20"/>
                <w:szCs w:val="20"/>
                <w:color w:val="auto"/>
              </w:rPr>
            </w:pPr>
            <w:r>
              <w:rPr>
                <w:rFonts w:ascii="Arial" w:cs="Arial" w:eastAsia="Arial" w:hAnsi="Arial"/>
                <w:sz w:val="14"/>
                <w:szCs w:val="14"/>
                <w:color w:val="0000FF"/>
              </w:rPr>
              <w:t>Mine Safety Disclosures</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119</w:t>
            </w:r>
          </w:p>
        </w:tc>
      </w:tr>
      <w:tr>
        <w:trPr>
          <w:trHeight w:val="394"/>
        </w:trPr>
        <w:tc>
          <w:tcPr>
            <w:tcW w:w="2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b w:val="1"/>
                <w:bCs w:val="1"/>
                <w:color w:val="0000FF"/>
                <w:w w:val="96"/>
              </w:rPr>
              <w:t>PART II</w:t>
            </w:r>
          </w:p>
        </w:tc>
        <w:tc>
          <w:tcPr>
            <w:tcW w:w="860" w:type="dxa"/>
            <w:vAlign w:val="bottom"/>
            <w:gridSpan w:val="2"/>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5.</w:t>
            </w:r>
          </w:p>
        </w:tc>
        <w:tc>
          <w:tcPr>
            <w:tcW w:w="9000" w:type="dxa"/>
            <w:vAlign w:val="bottom"/>
            <w:gridSpan w:val="23"/>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Arial" w:cs="Arial" w:eastAsia="Arial" w:hAnsi="Arial"/>
                <w:sz w:val="14"/>
                <w:szCs w:val="14"/>
                <w:color w:val="auto"/>
              </w:rPr>
              <w:t>120</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6.</w:t>
            </w:r>
          </w:p>
        </w:tc>
        <w:tc>
          <w:tcPr>
            <w:tcW w:w="7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rPr>
              <w:t>[Reserved]</w:t>
            </w:r>
          </w:p>
        </w:tc>
        <w:tc>
          <w:tcPr>
            <w:tcW w:w="6280" w:type="dxa"/>
            <w:vAlign w:val="bottom"/>
            <w:tcBorders>
              <w:top w:val="single" w:sz="8" w:color="0000FF"/>
            </w:tcBorders>
            <w:gridSpan w:val="19"/>
          </w:tcPr>
          <w:p>
            <w:pPr>
              <w:spacing w:after="0"/>
              <w:rPr>
                <w:sz w:val="15"/>
                <w:szCs w:val="15"/>
                <w:color w:val="auto"/>
              </w:rPr>
            </w:pPr>
          </w:p>
        </w:tc>
        <w:tc>
          <w:tcPr>
            <w:tcW w:w="20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122</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7.</w:t>
            </w:r>
          </w:p>
        </w:tc>
        <w:tc>
          <w:tcPr>
            <w:tcW w:w="55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420" w:type="dxa"/>
            <w:vAlign w:val="bottom"/>
            <w:gridSpan w:val="4"/>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122</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7A.</w:t>
            </w:r>
          </w:p>
        </w:tc>
        <w:tc>
          <w:tcPr>
            <w:tcW w:w="9000" w:type="dxa"/>
            <w:vAlign w:val="bottom"/>
            <w:gridSpan w:val="23"/>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4"/>
                <w:szCs w:val="14"/>
                <w:color w:val="auto"/>
              </w:rPr>
              <w:t>143</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8.</w:t>
            </w:r>
          </w:p>
        </w:tc>
        <w:tc>
          <w:tcPr>
            <w:tcW w:w="29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4"/>
                <w:szCs w:val="14"/>
                <w:color w:val="0000FF"/>
              </w:rPr>
              <w:t>Financial Statements and Supplementary Data</w:t>
            </w:r>
          </w:p>
        </w:tc>
        <w:tc>
          <w:tcPr>
            <w:tcW w:w="760" w:type="dxa"/>
            <w:vAlign w:val="bottom"/>
            <w:tcBorders>
              <w:top w:val="single" w:sz="8" w:color="0000FF"/>
            </w:tcBorders>
            <w:gridSpan w:val="2"/>
          </w:tcPr>
          <w:p>
            <w:pPr>
              <w:spacing w:after="0"/>
              <w:rPr>
                <w:sz w:val="15"/>
                <w:szCs w:val="15"/>
                <w:color w:val="auto"/>
              </w:rPr>
            </w:pPr>
          </w:p>
        </w:tc>
        <w:tc>
          <w:tcPr>
            <w:tcW w:w="5300" w:type="dxa"/>
            <w:vAlign w:val="bottom"/>
            <w:gridSpan w:val="7"/>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143</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9.</w:t>
            </w:r>
          </w:p>
        </w:tc>
        <w:tc>
          <w:tcPr>
            <w:tcW w:w="9000" w:type="dxa"/>
            <w:vAlign w:val="bottom"/>
            <w:gridSpan w:val="23"/>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900" w:type="dxa"/>
            <w:vAlign w:val="bottom"/>
          </w:tcPr>
          <w:p>
            <w:pPr>
              <w:jc w:val="center"/>
              <w:spacing w:after="0"/>
              <w:rPr>
                <w:sz w:val="20"/>
                <w:szCs w:val="20"/>
                <w:color w:val="auto"/>
              </w:rPr>
            </w:pPr>
            <w:r>
              <w:rPr>
                <w:rFonts w:ascii="Arial" w:cs="Arial" w:eastAsia="Arial" w:hAnsi="Arial"/>
                <w:sz w:val="14"/>
                <w:szCs w:val="14"/>
                <w:color w:val="auto"/>
              </w:rPr>
              <w:t>143</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9A.</w:t>
            </w:r>
          </w:p>
        </w:tc>
        <w:tc>
          <w:tcPr>
            <w:tcW w:w="1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rPr>
              <w:t>Controls and Procedures</w:t>
            </w:r>
          </w:p>
        </w:tc>
        <w:tc>
          <w:tcPr>
            <w:tcW w:w="4060" w:type="dxa"/>
            <w:vAlign w:val="bottom"/>
            <w:tcBorders>
              <w:top w:val="single" w:sz="8" w:color="0000FF"/>
            </w:tcBorders>
            <w:gridSpan w:val="10"/>
          </w:tcPr>
          <w:p>
            <w:pPr>
              <w:spacing w:after="0"/>
              <w:rPr>
                <w:sz w:val="15"/>
                <w:szCs w:val="15"/>
                <w:color w:val="auto"/>
              </w:rPr>
            </w:pPr>
          </w:p>
        </w:tc>
        <w:tc>
          <w:tcPr>
            <w:tcW w:w="3360" w:type="dxa"/>
            <w:vAlign w:val="bottom"/>
            <w:gridSpan w:val="3"/>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143</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9B.</w:t>
            </w:r>
          </w:p>
        </w:tc>
        <w:tc>
          <w:tcPr>
            <w:tcW w:w="9000" w:type="dxa"/>
            <w:vAlign w:val="bottom"/>
            <w:gridSpan w:val="23"/>
          </w:tcPr>
          <w:p>
            <w:pPr>
              <w:spacing w:after="0"/>
              <w:rPr>
                <w:sz w:val="20"/>
                <w:szCs w:val="20"/>
                <w:color w:val="auto"/>
              </w:rPr>
            </w:pPr>
            <w:r>
              <w:rPr>
                <w:rFonts w:ascii="Arial" w:cs="Arial" w:eastAsia="Arial" w:hAnsi="Arial"/>
                <w:sz w:val="14"/>
                <w:szCs w:val="14"/>
                <w:color w:val="0000FF"/>
              </w:rPr>
              <w:t>Other Information</w:t>
            </w:r>
          </w:p>
        </w:tc>
        <w:tc>
          <w:tcPr>
            <w:tcW w:w="900" w:type="dxa"/>
            <w:vAlign w:val="bottom"/>
          </w:tcPr>
          <w:p>
            <w:pPr>
              <w:jc w:val="center"/>
              <w:spacing w:after="0"/>
              <w:rPr>
                <w:sz w:val="20"/>
                <w:szCs w:val="20"/>
                <w:color w:val="auto"/>
              </w:rPr>
            </w:pPr>
            <w:r>
              <w:rPr>
                <w:rFonts w:ascii="Arial" w:cs="Arial" w:eastAsia="Arial" w:hAnsi="Arial"/>
                <w:sz w:val="14"/>
                <w:szCs w:val="14"/>
                <w:color w:val="auto"/>
              </w:rPr>
              <w:t>146</w:t>
            </w:r>
          </w:p>
        </w:tc>
      </w:tr>
      <w:tr>
        <w:trPr>
          <w:trHeight w:val="20"/>
        </w:trPr>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9C.</w:t>
            </w:r>
          </w:p>
        </w:tc>
        <w:tc>
          <w:tcPr>
            <w:tcW w:w="9000" w:type="dxa"/>
            <w:vAlign w:val="bottom"/>
            <w:gridSpan w:val="23"/>
          </w:tcPr>
          <w:p>
            <w:pPr>
              <w:spacing w:after="0"/>
              <w:rPr>
                <w:sz w:val="20"/>
                <w:szCs w:val="20"/>
                <w:color w:val="auto"/>
              </w:rPr>
            </w:pPr>
            <w:r>
              <w:rPr>
                <w:rFonts w:ascii="Arial" w:cs="Arial" w:eastAsia="Arial" w:hAnsi="Arial"/>
                <w:sz w:val="14"/>
                <w:szCs w:val="14"/>
                <w:color w:val="0000FF"/>
              </w:rPr>
              <w:t>Disclosure Regarding Foreign Jurisdictions That Prevent Inspection</w:t>
            </w:r>
          </w:p>
        </w:tc>
        <w:tc>
          <w:tcPr>
            <w:tcW w:w="900" w:type="dxa"/>
            <w:vAlign w:val="bottom"/>
          </w:tcPr>
          <w:p>
            <w:pPr>
              <w:jc w:val="center"/>
              <w:spacing w:after="0"/>
              <w:rPr>
                <w:sz w:val="20"/>
                <w:szCs w:val="20"/>
                <w:color w:val="auto"/>
              </w:rPr>
            </w:pPr>
            <w:r>
              <w:rPr>
                <w:rFonts w:ascii="Arial" w:cs="Arial" w:eastAsia="Arial" w:hAnsi="Arial"/>
                <w:sz w:val="14"/>
                <w:szCs w:val="14"/>
                <w:color w:val="auto"/>
              </w:rPr>
              <w:t>146</w:t>
            </w:r>
          </w:p>
        </w:tc>
      </w:tr>
      <w:tr>
        <w:trPr>
          <w:trHeight w:val="394"/>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b w:val="1"/>
                <w:bCs w:val="1"/>
                <w:color w:val="0000FF"/>
                <w:w w:val="96"/>
              </w:rPr>
              <w:t>PART III</w:t>
            </w:r>
          </w:p>
        </w:tc>
        <w:tc>
          <w:tcPr>
            <w:tcW w:w="8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10.</w:t>
            </w:r>
          </w:p>
        </w:tc>
        <w:tc>
          <w:tcPr>
            <w:tcW w:w="9000" w:type="dxa"/>
            <w:vAlign w:val="bottom"/>
            <w:gridSpan w:val="23"/>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11.</w:t>
            </w:r>
          </w:p>
        </w:tc>
        <w:tc>
          <w:tcPr>
            <w:tcW w:w="1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rPr>
              <w:t>Executive Compensation</w:t>
            </w:r>
          </w:p>
        </w:tc>
        <w:tc>
          <w:tcPr>
            <w:tcW w:w="1960" w:type="dxa"/>
            <w:vAlign w:val="bottom"/>
            <w:tcBorders>
              <w:top w:val="single" w:sz="8" w:color="0000FF"/>
            </w:tcBorders>
            <w:gridSpan w:val="5"/>
          </w:tcPr>
          <w:p>
            <w:pPr>
              <w:spacing w:after="0"/>
              <w:rPr>
                <w:sz w:val="15"/>
                <w:szCs w:val="15"/>
                <w:color w:val="auto"/>
              </w:rPr>
            </w:pPr>
          </w:p>
        </w:tc>
        <w:tc>
          <w:tcPr>
            <w:tcW w:w="5460" w:type="dxa"/>
            <w:vAlign w:val="bottom"/>
            <w:gridSpan w:val="8"/>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12.</w:t>
            </w:r>
          </w:p>
        </w:tc>
        <w:tc>
          <w:tcPr>
            <w:tcW w:w="9000" w:type="dxa"/>
            <w:vAlign w:val="bottom"/>
            <w:gridSpan w:val="23"/>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13.</w:t>
            </w:r>
          </w:p>
        </w:tc>
        <w:tc>
          <w:tcPr>
            <w:tcW w:w="6300" w:type="dxa"/>
            <w:vAlign w:val="bottom"/>
            <w:tcBorders>
              <w:top w:val="single" w:sz="8" w:color="0000FF"/>
            </w:tcBorders>
            <w:gridSpan w:val="21"/>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2700" w:type="dxa"/>
            <w:vAlign w:val="bottom"/>
            <w:gridSpan w:val="2"/>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14.</w:t>
            </w:r>
          </w:p>
        </w:tc>
        <w:tc>
          <w:tcPr>
            <w:tcW w:w="478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Principal Accountant Fees and Services</w:t>
            </w:r>
          </w:p>
        </w:tc>
        <w:tc>
          <w:tcPr>
            <w:tcW w:w="4220" w:type="dxa"/>
            <w:vAlign w:val="bottom"/>
            <w:gridSpan w:val="5"/>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r>
      <w:tr>
        <w:trPr>
          <w:trHeight w:val="394"/>
        </w:trPr>
        <w:tc>
          <w:tcPr>
            <w:tcW w:w="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0000FF"/>
              </w:rPr>
              <w:t>PART IV</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15.</w:t>
            </w:r>
          </w:p>
        </w:tc>
        <w:tc>
          <w:tcPr>
            <w:tcW w:w="254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Exhibits, Financial Statement Schedules</w:t>
            </w:r>
          </w:p>
        </w:tc>
        <w:tc>
          <w:tcPr>
            <w:tcW w:w="6460" w:type="dxa"/>
            <w:vAlign w:val="bottom"/>
            <w:gridSpan w:val="10"/>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148</w:t>
            </w:r>
          </w:p>
        </w:tc>
      </w:tr>
      <w:tr>
        <w:trPr>
          <w:trHeight w:val="182"/>
        </w:trPr>
        <w:tc>
          <w:tcPr>
            <w:tcW w:w="20" w:type="dxa"/>
            <w:vAlign w:val="bottom"/>
          </w:tcPr>
          <w:p>
            <w:pPr>
              <w:spacing w:after="0"/>
              <w:rPr>
                <w:sz w:val="15"/>
                <w:szCs w:val="15"/>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color w:val="auto"/>
              </w:rPr>
              <w:t>Item 16.</w:t>
            </w:r>
          </w:p>
        </w:tc>
        <w:tc>
          <w:tcPr>
            <w:tcW w:w="132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Form 10-K Summary</w:t>
            </w:r>
          </w:p>
        </w:tc>
        <w:tc>
          <w:tcPr>
            <w:tcW w:w="7680" w:type="dxa"/>
            <w:vAlign w:val="bottom"/>
            <w:gridSpan w:val="15"/>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152</w:t>
            </w:r>
          </w:p>
        </w:tc>
      </w:tr>
      <w:tr>
        <w:trPr>
          <w:trHeight w:val="73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gridSpan w:val="18"/>
          </w:tcPr>
          <w:p>
            <w:pPr>
              <w:ind w:left="4220"/>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CAUTIONARY NOTE REGARDING FORWARD-LOOKING STATEMENTS AND RISK FACTOR SUMMARY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9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“would,” “could,” “should,” “continue” and similar expressions are intended to identify forward-looking statements, although not all forward-looking statements contain these identifying words.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forward-looking statements in this Annual Report on Form 10-K include, among other things, statements about:</w:t>
      </w:r>
    </w:p>
    <w:p>
      <w:pPr>
        <w:spacing w:after="0" w:line="94" w:lineRule="exact"/>
        <w:rPr>
          <w:sz w:val="20"/>
          <w:szCs w:val="20"/>
          <w:color w:val="auto"/>
        </w:rPr>
      </w:pPr>
    </w:p>
    <w:p>
      <w:pPr>
        <w:ind w:left="760" w:right="20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initiation, timing, progress and results of our current and/or future clinical trials of ARV-102, ARV-806, ARV-393 and ARV-027, including statements regarding the period during which the results of the clinical trials will become available or the forum in which we will present such results;</w:t>
      </w:r>
    </w:p>
    <w:p>
      <w:pPr>
        <w:spacing w:after="0" w:line="35" w:lineRule="exact"/>
        <w:rPr>
          <w:rFonts w:ascii="Arial" w:cs="Arial" w:eastAsia="Arial" w:hAnsi="Arial"/>
          <w:sz w:val="14"/>
          <w:szCs w:val="14"/>
          <w:color w:val="auto"/>
        </w:rPr>
      </w:pPr>
    </w:p>
    <w:p>
      <w:pPr>
        <w:ind w:left="760" w:right="20" w:hanging="246"/>
        <w:spacing w:after="0" w:line="27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initiation, timing, progress and results of our current preclinical studies and any future preclinical studies or clinical trials of our other programs, including ARV-6723 and our pan-KRAS degrader, including statements regarding the period during which the results of preclinical studies or clinical trials will become available or the forum in which we will present such results;</w:t>
      </w:r>
    </w:p>
    <w:p>
      <w:pPr>
        <w:spacing w:after="0" w:line="48" w:lineRule="exact"/>
        <w:rPr>
          <w:rFonts w:ascii="Arial" w:cs="Arial" w:eastAsia="Arial" w:hAnsi="Arial"/>
          <w:sz w:val="14"/>
          <w:szCs w:val="14"/>
          <w:color w:val="auto"/>
        </w:rPr>
      </w:pPr>
    </w:p>
    <w:p>
      <w:pPr>
        <w:ind w:left="760" w:right="18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 based on data from our preclinical studies and clinical trials, that PROTAC protein degraders may have distinct advantages over traditional small molecule inhibitors, antibodies and gene-based medicines;</w:t>
      </w:r>
    </w:p>
    <w:p>
      <w:pPr>
        <w:spacing w:after="0" w:line="35" w:lineRule="exact"/>
        <w:rPr>
          <w:rFonts w:ascii="Arial" w:cs="Arial" w:eastAsia="Arial" w:hAnsi="Arial"/>
          <w:sz w:val="14"/>
          <w:szCs w:val="14"/>
          <w:color w:val="auto"/>
        </w:rPr>
      </w:pPr>
    </w:p>
    <w:p>
      <w:pPr>
        <w:ind w:left="760" w:right="76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 that PROTAC degraders offer distinct advantages that enable perturbation of protein targets traditionally considered undruggable by conventional therapeutics;</w:t>
      </w:r>
    </w:p>
    <w:p>
      <w:pPr>
        <w:spacing w:after="0" w:line="35" w:lineRule="exact"/>
        <w:rPr>
          <w:rFonts w:ascii="Arial" w:cs="Arial" w:eastAsia="Arial" w:hAnsi="Arial"/>
          <w:sz w:val="14"/>
          <w:szCs w:val="14"/>
          <w:color w:val="auto"/>
        </w:rPr>
      </w:pPr>
    </w:p>
    <w:p>
      <w:pPr>
        <w:ind w:left="760" w:right="52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plans with respect to market preparations for vepdegestrant and our plans, together with Pfizer Inc., jointly select a third party for the commercialization and potential further development of vepdegestrant;</w:t>
      </w:r>
    </w:p>
    <w:p>
      <w:pPr>
        <w:spacing w:after="0" w:line="35" w:lineRule="exact"/>
        <w:rPr>
          <w:rFonts w:ascii="Arial" w:cs="Arial" w:eastAsia="Arial" w:hAnsi="Arial"/>
          <w:sz w:val="14"/>
          <w:szCs w:val="14"/>
          <w:color w:val="auto"/>
        </w:rPr>
      </w:pPr>
    </w:p>
    <w:p>
      <w:pPr>
        <w:ind w:left="760" w:right="44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of, and our ability to obtain, marketing approval of our product candidates, including vepdegestrant, and the ability of our product candidates, including vepdegestrant, to meet existing or future regulatory standards;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plans to pursue research and development of other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advantages of our platform technology and potential advantages and therapeutic benefits of our product candidates;</w:t>
      </w:r>
    </w:p>
    <w:p>
      <w:pPr>
        <w:spacing w:after="0" w:line="93"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 that and the extent to which our targeted protein degradation approach may provide distinct advantages over existing therapies and address a broad range of targets, including historically undruggable proteins, in areas of significant unmet need;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achievement of milestones and receipt of payments under our collaborations, including our collaboration with Pfizer Inc. entered into in July 2021;</w:t>
      </w:r>
    </w:p>
    <w:p>
      <w:pPr>
        <w:spacing w:after="0" w:line="93"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receipt of payments based on the achievement of milestones related to luxdegalutamide (ARV-766) and future royalties under our license agreement with Novartis Pharma AG;</w:t>
      </w:r>
    </w:p>
    <w:p>
      <w:pPr>
        <w:spacing w:after="0" w:line="35"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favorable clinical trial results in our ongoing oncology and neurology programs providing further validation of our platform as a new therapeutic modality for the potential treatment of diseases caused by dysregulated intracellular proteins;</w:t>
      </w:r>
    </w:p>
    <w:p>
      <w:pPr>
        <w:spacing w:after="0" w:line="35" w:lineRule="exact"/>
        <w:rPr>
          <w:rFonts w:ascii="Arial" w:cs="Arial" w:eastAsia="Arial" w:hAnsi="Arial"/>
          <w:sz w:val="14"/>
          <w:szCs w:val="14"/>
          <w:color w:val="auto"/>
        </w:rPr>
      </w:pPr>
    </w:p>
    <w:p>
      <w:pPr>
        <w:ind w:left="760" w:right="280" w:hanging="246"/>
        <w:spacing w:after="0" w:line="290"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 that our leucine-rich repeat kinase 2 ("LRRK2") degraders are particularly well positioned to be evaluated in neurodegenerative diseases where there are currently no disease modifying therapies available, including Parkinson's disease ("PD") and progressive supranuclear palsy ("PSP");</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6" w:right="379" w:bottom="1440" w:gutter="0" w:footer="0" w:header="0"/>
        </w:sectPr>
      </w:pPr>
    </w:p>
    <w:bookmarkStart w:id="3" w:name="page4"/>
    <w:bookmarkEnd w:id="3"/>
    <w:p>
      <w:pPr>
        <w:ind w:left="760" w:right="24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the data from our preclinical studies of ARV-102 further support the potential of PROTAC-induced LRRK2 degradation as a treatment for patients with neurodegenerative disease;</w:t>
      </w:r>
    </w:p>
    <w:p>
      <w:pPr>
        <w:spacing w:after="0" w:line="35" w:lineRule="exact"/>
        <w:rPr>
          <w:rFonts w:ascii="Arial" w:cs="Arial" w:eastAsia="Arial" w:hAnsi="Arial"/>
          <w:sz w:val="14"/>
          <w:szCs w:val="14"/>
          <w:color w:val="auto"/>
        </w:rPr>
      </w:pPr>
    </w:p>
    <w:p>
      <w:pPr>
        <w:ind w:left="760" w:right="26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ARV-806 has the potential to address high unmet need in solid tumors, such as pancreatic, colorectal and non-small cell lung cancer ("NSCLC"), with KRAS G12D mutation;</w:t>
      </w:r>
    </w:p>
    <w:p>
      <w:pPr>
        <w:spacing w:after="0" w:line="35" w:lineRule="exact"/>
        <w:rPr>
          <w:rFonts w:ascii="Arial" w:cs="Arial" w:eastAsia="Arial" w:hAnsi="Arial"/>
          <w:sz w:val="14"/>
          <w:szCs w:val="14"/>
          <w:color w:val="auto"/>
        </w:rPr>
      </w:pPr>
    </w:p>
    <w:p>
      <w:pPr>
        <w:ind w:left="760" w:right="50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ARV-806 has the potential to be developed as a monotherapy and in combination with chemotherapy in pancreatic ductal adenocarcinoma and in combination with standard of care ("SOC") treatments in colorectal and non-small cell lung cancer;</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preclinical data for ARV-806 supports intermittent clinical dosing;</w:t>
      </w:r>
    </w:p>
    <w:p>
      <w:pPr>
        <w:spacing w:after="0" w:line="93" w:lineRule="exact"/>
        <w:rPr>
          <w:rFonts w:ascii="Arial" w:cs="Arial" w:eastAsia="Arial" w:hAnsi="Arial"/>
          <w:sz w:val="14"/>
          <w:szCs w:val="14"/>
          <w:color w:val="auto"/>
        </w:rPr>
      </w:pPr>
    </w:p>
    <w:p>
      <w:pPr>
        <w:ind w:left="760" w:right="4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PROTAC-mediated degradation has the potential to address the historically undruggable nature of the B-cell lymphoma 6 protein ("BCL6") and that ARV-393 PROTAC-mediated degradation of BCL6 may provide an important novel therapeutic option for patients with non-Hodgkin lymphoma;</w:t>
      </w:r>
    </w:p>
    <w:p>
      <w:pPr>
        <w:spacing w:after="0" w:line="35"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ARV-393 can be an attractive combination partner for development of novel therapies for lymphoma, including chemo-free combination regimens and/or “all oral” treatment options;</w:t>
      </w:r>
    </w:p>
    <w:p>
      <w:pPr>
        <w:spacing w:after="0" w:line="35" w:lineRule="exact"/>
        <w:rPr>
          <w:rFonts w:ascii="Arial" w:cs="Arial" w:eastAsia="Arial" w:hAnsi="Arial"/>
          <w:sz w:val="14"/>
          <w:szCs w:val="14"/>
          <w:color w:val="auto"/>
        </w:rPr>
      </w:pPr>
    </w:p>
    <w:p>
      <w:pPr>
        <w:ind w:left="760" w:right="56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the totality of our preclinical data for ARV-393 provides a compelling rationale to evaluate ARV-393 in combination with bi-specifics, oral pathway inhibitors, and potentially other standards of care, in the larger diffuse large B-cell lymphoma indication;</w:t>
      </w:r>
    </w:p>
    <w:p>
      <w:pPr>
        <w:spacing w:after="0" w:line="35"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vepdegestrant has the potential to be a best-in-class monotherapy treatment for advanced/metastatic breast cancer patients in the second-line estrogen receptor 1 mutant setting;</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potential receipt of revenue from future sales of our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estimates regarding the potential market opportunity for our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manage the transition of a new chief executive officer;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commercialization plans, and sales, marketing and distribution capabilities and strategy;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establish and maintain arrangements for manufacture and testing of our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enter into additional collaborations with third parties;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intellectual property position;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plans with respect to our strategy;</w:t>
      </w:r>
    </w:p>
    <w:p>
      <w:pPr>
        <w:spacing w:after="0" w:line="93"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estimates regarding expenses, future revenues, capital requirements and needs for additional financing, and statements regarding our cash, cash equivalents and marketable securities, including their sufficiency to fund planned operating expenses and capital expenditure requirements into the second half of 2028;</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the One Big Beautiful Bill Act,is not expected to have a material impact on our business or financial condition;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there are not currently any risks from known cybersecurity threats that have materially affected or are reasonably likely to materially affect us;</w:t>
      </w:r>
    </w:p>
    <w:p>
      <w:pPr>
        <w:spacing w:after="0" w:line="93" w:lineRule="exact"/>
        <w:rPr>
          <w:rFonts w:ascii="Arial" w:cs="Arial" w:eastAsia="Arial" w:hAnsi="Arial"/>
          <w:sz w:val="14"/>
          <w:szCs w:val="14"/>
          <w:color w:val="auto"/>
        </w:rPr>
      </w:pPr>
    </w:p>
    <w:p>
      <w:pPr>
        <w:ind w:left="760" w:right="76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our facilities are sufficient to meet our current needs and that suitable additional or alternative space will be available as and when needed on commercially reasonable terms for any future growth;</w:t>
      </w:r>
    </w:p>
    <w:p>
      <w:pPr>
        <w:spacing w:after="0" w:line="35"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belief that non-GAAP financial information, when taken collectively, may be helpful to investors because it provides consistency and comparability with past financial performance;</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government laws and regulations;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200" w:lineRule="exact"/>
        <w:rPr>
          <w:sz w:val="20"/>
          <w:szCs w:val="20"/>
          <w:color w:val="auto"/>
        </w:rPr>
      </w:pPr>
    </w:p>
    <w:p>
      <w:pPr>
        <w:ind w:right="740" w:firstLine="509"/>
        <w:spacing w:after="0" w:line="274" w:lineRule="auto"/>
        <w:rPr>
          <w:sz w:val="20"/>
          <w:szCs w:val="20"/>
          <w:color w:val="auto"/>
        </w:rPr>
      </w:pPr>
      <w:r>
        <w:rPr>
          <w:rFonts w:ascii="Arial" w:cs="Arial" w:eastAsia="Arial" w:hAnsi="Arial"/>
          <w:sz w:val="14"/>
          <w:szCs w:val="14"/>
          <w:color w:val="auto"/>
        </w:rPr>
        <w:t>You should read this Annual Report on Form 10-K and the documents that we have filed as exhibits to this Annual Report on Form 10-K completely and with the understanding that we may not actually achieve the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4" w:name="page5"/>
    <w:bookmarkEnd w:id="4"/>
    <w:p>
      <w:pPr>
        <w:ind w:right="140"/>
        <w:spacing w:after="0" w:line="250" w:lineRule="auto"/>
        <w:rPr>
          <w:sz w:val="20"/>
          <w:szCs w:val="20"/>
          <w:color w:val="auto"/>
        </w:rPr>
      </w:pPr>
      <w:r>
        <w:rPr>
          <w:rFonts w:ascii="Arial" w:cs="Arial" w:eastAsia="Arial" w:hAnsi="Arial"/>
          <w:sz w:val="14"/>
          <w:szCs w:val="14"/>
          <w:color w:val="auto"/>
        </w:rPr>
        <w:t>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do not assume any obligation to update any forward-looking statements except as required by applicable law.</w:t>
      </w:r>
    </w:p>
    <w:p>
      <w:pPr>
        <w:spacing w:after="0" w:line="179"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This Annual Report on Form 10-K also contains estimates and other statistical data made by independent parties and by us relating to market size and other data about our industry. This data involves a number of assumptions and limitations, and you are cautioned not to give undue weight to such data and estimates. In addition, projections, assumptions and estimates of our future performance and the future performance of the markets in which we operate are necessarily subject to a high degree of uncertainty and risk. Cross-trial comparisons are not based on head-to-head studies and no direct comparisons can be made.</w:t>
      </w:r>
    </w:p>
    <w:p>
      <w:pPr>
        <w:spacing w:after="0" w:line="138"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Throughout this Annual Report on Form 10-K, the “Company,” “Arvinas,” “we,” “us,” and “our,” except where the context requires otherwise, refer to Arvinas, Inc. and its consolidated subsidiaries, or any one or more of them as the context may require, and “our board of directors” refers to the board of directors of Arvinas, Inc.</w:t>
      </w:r>
    </w:p>
    <w:p>
      <w:pPr>
        <w:spacing w:after="0" w:line="12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Arvinas name and logo are our trademarks.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 Summary</w:t>
      </w:r>
    </w:p>
    <w:p>
      <w:pPr>
        <w:spacing w:after="0" w:line="94" w:lineRule="exact"/>
        <w:rPr>
          <w:sz w:val="20"/>
          <w:szCs w:val="20"/>
          <w:color w:val="auto"/>
        </w:rPr>
      </w:pPr>
    </w:p>
    <w:p>
      <w:pPr>
        <w:ind w:right="540" w:firstLine="509"/>
        <w:spacing w:after="0" w:line="290" w:lineRule="auto"/>
        <w:rPr>
          <w:sz w:val="20"/>
          <w:szCs w:val="20"/>
          <w:color w:val="auto"/>
        </w:rPr>
      </w:pPr>
      <w:r>
        <w:rPr>
          <w:rFonts w:ascii="Arial" w:cs="Arial" w:eastAsia="Arial" w:hAnsi="Arial"/>
          <w:sz w:val="14"/>
          <w:szCs w:val="14"/>
          <w:color w:val="auto"/>
        </w:rPr>
        <w:t>Our business is subject to a number of risks that if realized could materially affect our business, prospects, operating results and financial condition. These risks are discussed more fully in the “Risk Factors” section of this Annual Report on Form 10-K. These risks include the following:</w:t>
      </w:r>
    </w:p>
    <w:p>
      <w:pPr>
        <w:spacing w:after="0" w:line="35" w:lineRule="exact"/>
        <w:rPr>
          <w:sz w:val="20"/>
          <w:szCs w:val="20"/>
          <w:color w:val="auto"/>
        </w:rPr>
      </w:pPr>
    </w:p>
    <w:p>
      <w:pPr>
        <w:ind w:left="760" w:right="100" w:hanging="246"/>
        <w:spacing w:after="0" w:line="290"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incurred significant losses since our inception. We expect to incur expenses and operating losses over at least the next several years and may never achieve or maintain profitability. Our net losses totaled $80.8 million, $198.9 million and $367.3 million for the years ended December 31, 2025, 2024, and 2023, respectively.</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never generated revenue from product sales and may never be profitable.</w:t>
      </w:r>
    </w:p>
    <w:p>
      <w:pPr>
        <w:spacing w:after="0" w:line="93" w:lineRule="exact"/>
        <w:rPr>
          <w:rFonts w:ascii="Arial" w:cs="Arial" w:eastAsia="Arial" w:hAnsi="Arial"/>
          <w:sz w:val="14"/>
          <w:szCs w:val="14"/>
          <w:color w:val="auto"/>
        </w:rPr>
      </w:pPr>
    </w:p>
    <w:p>
      <w:pPr>
        <w:ind w:left="760" w:right="380" w:hanging="246"/>
        <w:spacing w:after="0" w:line="290"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need substantial additional funding to continue our operations. If we are unable to raise capital when needed, we may be required to delay, limit, reduce or terminate our research, product development programs or future commercialization efforts.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Raising additional capital may cause dilution to our stockholders, restrict our operations or require us to relinquish rights to our technologies or product candidates.</w:t>
      </w:r>
    </w:p>
    <w:p>
      <w:pPr>
        <w:spacing w:after="0" w:line="93" w:lineRule="exact"/>
        <w:rPr>
          <w:rFonts w:ascii="Arial" w:cs="Arial" w:eastAsia="Arial" w:hAnsi="Arial"/>
          <w:sz w:val="14"/>
          <w:szCs w:val="14"/>
          <w:color w:val="auto"/>
        </w:rPr>
      </w:pPr>
    </w:p>
    <w:p>
      <w:pPr>
        <w:ind w:left="760" w:right="220" w:hanging="246"/>
        <w:spacing w:after="0" w:line="290"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35" w:lineRule="exact"/>
        <w:rPr>
          <w:rFonts w:ascii="Arial" w:cs="Arial" w:eastAsia="Arial" w:hAnsi="Arial"/>
          <w:sz w:val="14"/>
          <w:szCs w:val="14"/>
          <w:color w:val="auto"/>
        </w:rPr>
      </w:pPr>
    </w:p>
    <w:p>
      <w:pPr>
        <w:ind w:left="760" w:right="460" w:hanging="246"/>
        <w:spacing w:after="0" w:line="290"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do not have any product candidates that have been approved for commercialization. If we are unable to commercialize our product candidates or experience significant delays in doing so, our business will be materially harmed.</w:t>
      </w:r>
    </w:p>
    <w:p>
      <w:pPr>
        <w:spacing w:after="0" w:line="35" w:lineRule="exact"/>
        <w:rPr>
          <w:rFonts w:ascii="Arial" w:cs="Arial" w:eastAsia="Arial" w:hAnsi="Arial"/>
          <w:sz w:val="14"/>
          <w:szCs w:val="14"/>
          <w:color w:val="auto"/>
        </w:rPr>
      </w:pPr>
    </w:p>
    <w:p>
      <w:pPr>
        <w:ind w:left="760" w:right="460" w:hanging="246"/>
        <w:spacing w:after="0" w:line="290"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Drug development involves a lengthy and expensive process, with an uncertain outcome. We may incur unexpected costs or experience delays in completing, or ultimately be unable to complete, the development and commercialization of our product candidates.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5" w:name="page6"/>
    <w:bookmarkEnd w:id="5"/>
    <w:p>
      <w:pPr>
        <w:ind w:left="246" w:right="20"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48" w:lineRule="exact"/>
        <w:rPr>
          <w:rFonts w:ascii="Arial" w:cs="Arial" w:eastAsia="Arial" w:hAnsi="Arial"/>
          <w:sz w:val="14"/>
          <w:szCs w:val="14"/>
          <w:color w:val="auto"/>
        </w:rPr>
      </w:pPr>
    </w:p>
    <w:p>
      <w:pPr>
        <w:ind w:left="246" w:right="40" w:hanging="246"/>
        <w:spacing w:after="0" w:line="290"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5" w:lineRule="exact"/>
        <w:rPr>
          <w:rFonts w:ascii="Arial" w:cs="Arial" w:eastAsia="Arial" w:hAnsi="Arial"/>
          <w:sz w:val="14"/>
          <w:szCs w:val="14"/>
          <w:color w:val="auto"/>
        </w:rPr>
      </w:pPr>
    </w:p>
    <w:p>
      <w:pPr>
        <w:jc w:val="both"/>
        <w:ind w:left="246" w:right="240"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developing and plan to continue to develop our product candidates in combination with other drugs. If the FDA or similar regulatory authorities outside of the United States do not approve these other drugs, or revoke their approval of such drugs, or if safety, efficacy, manufacturing or supply issues arise with the drugs we choose to evaluate in combination with our product candidates, we may be unable to obtain approval of or market our products.</w:t>
      </w:r>
    </w:p>
    <w:p>
      <w:pPr>
        <w:spacing w:after="0" w:line="48" w:lineRule="exact"/>
        <w:rPr>
          <w:rFonts w:ascii="Arial" w:cs="Arial" w:eastAsia="Arial" w:hAnsi="Arial"/>
          <w:sz w:val="14"/>
          <w:szCs w:val="14"/>
          <w:color w:val="auto"/>
        </w:rPr>
      </w:pPr>
    </w:p>
    <w:p>
      <w:pPr>
        <w:ind w:left="246" w:hanging="246"/>
        <w:spacing w:after="0"/>
        <w:tabs>
          <w:tab w:leader="none" w:pos="24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face substantial competition, which may result in others discovering, developing or commercializing products before or more successfully than we do.</w:t>
      </w:r>
    </w:p>
    <w:p>
      <w:pPr>
        <w:spacing w:after="0" w:line="93" w:lineRule="exact"/>
        <w:rPr>
          <w:rFonts w:ascii="Arial" w:cs="Arial" w:eastAsia="Arial" w:hAnsi="Arial"/>
          <w:sz w:val="14"/>
          <w:szCs w:val="14"/>
          <w:color w:val="auto"/>
        </w:rPr>
      </w:pPr>
    </w:p>
    <w:p>
      <w:pPr>
        <w:ind w:left="246"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an ongoing collaboration with Pfizer related to vepdegestrant, but have announced that we and Pfizer have agreed to jointly select a third party for the commercialization and potential future development of vepdegestrant. If our collaboration with Pfizer or another party is not successful, we may not be able to capitalize on the market potential of vepdegestrant.</w:t>
      </w:r>
    </w:p>
    <w:p>
      <w:pPr>
        <w:spacing w:after="0" w:line="48" w:lineRule="exact"/>
        <w:rPr>
          <w:rFonts w:ascii="Arial" w:cs="Arial" w:eastAsia="Arial" w:hAnsi="Arial"/>
          <w:sz w:val="14"/>
          <w:szCs w:val="14"/>
          <w:color w:val="auto"/>
        </w:rPr>
      </w:pPr>
    </w:p>
    <w:p>
      <w:pPr>
        <w:ind w:left="246"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currently depend, and expect to continue to depend, on collaborations, license arrangements, and other strategic alliances with third parties for the research, development, and the potential future commercialization of certain of the product candidates we may develop. If any such collaborations are not successful, we may not be able to capitalize on the market potential of those product candidates.</w:t>
      </w:r>
    </w:p>
    <w:p>
      <w:pPr>
        <w:spacing w:after="0" w:line="48" w:lineRule="exact"/>
        <w:rPr>
          <w:rFonts w:ascii="Arial" w:cs="Arial" w:eastAsia="Arial" w:hAnsi="Arial"/>
          <w:sz w:val="14"/>
          <w:szCs w:val="14"/>
          <w:color w:val="auto"/>
        </w:rPr>
      </w:pPr>
    </w:p>
    <w:p>
      <w:pPr>
        <w:ind w:left="246" w:right="480" w:hanging="246"/>
        <w:spacing w:after="0" w:line="290"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and expect to continue to rely on third parties to conduct our clinical trials, and those third parties may not perform satisfactorily, including failing to meet deadlines for the completion of such trials.</w:t>
      </w:r>
    </w:p>
    <w:p>
      <w:pPr>
        <w:spacing w:after="0" w:line="35" w:lineRule="exact"/>
        <w:rPr>
          <w:rFonts w:ascii="Arial" w:cs="Arial" w:eastAsia="Arial" w:hAnsi="Arial"/>
          <w:sz w:val="14"/>
          <w:szCs w:val="14"/>
          <w:color w:val="auto"/>
        </w:rPr>
      </w:pPr>
    </w:p>
    <w:p>
      <w:pPr>
        <w:ind w:left="246" w:right="320" w:hanging="246"/>
        <w:spacing w:after="0" w:line="265"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on third-party CMOs or CDMOs for the manufacture and testing of both drug substance and finished drug product for our product candidates for preclinical testing and clinical trials and expect to continue to do so for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52" w:lineRule="exact"/>
        <w:rPr>
          <w:rFonts w:ascii="Arial" w:cs="Arial" w:eastAsia="Arial" w:hAnsi="Arial"/>
          <w:sz w:val="14"/>
          <w:szCs w:val="14"/>
          <w:color w:val="auto"/>
        </w:rPr>
      </w:pPr>
    </w:p>
    <w:p>
      <w:pPr>
        <w:ind w:left="246" w:hanging="246"/>
        <w:spacing w:after="0"/>
        <w:tabs>
          <w:tab w:leader="none" w:pos="246"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U.S. and international trade policies, particularly with respect to China, may adversely impact our business and operating results.</w:t>
      </w:r>
    </w:p>
    <w:p>
      <w:pPr>
        <w:spacing w:after="0" w:line="93" w:lineRule="exact"/>
        <w:rPr>
          <w:rFonts w:ascii="Arial" w:cs="Arial" w:eastAsia="Arial" w:hAnsi="Arial"/>
          <w:sz w:val="14"/>
          <w:szCs w:val="14"/>
          <w:color w:val="auto"/>
        </w:rPr>
      </w:pPr>
    </w:p>
    <w:p>
      <w:pPr>
        <w:ind w:left="246" w:right="220" w:hanging="246"/>
        <w:spacing w:after="0" w:line="290"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rFonts w:ascii="Arial" w:cs="Arial" w:eastAsia="Arial" w:hAnsi="Arial"/>
          <w:sz w:val="14"/>
          <w:szCs w:val="14"/>
          <w:color w:val="auto"/>
        </w:rPr>
      </w:pPr>
    </w:p>
    <w:p>
      <w:pPr>
        <w:ind w:left="246" w:right="60" w:hanging="246"/>
        <w:spacing w:after="0" w:line="290"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35" w:lineRule="exact"/>
        <w:rPr>
          <w:rFonts w:ascii="Arial" w:cs="Arial" w:eastAsia="Arial" w:hAnsi="Arial"/>
          <w:sz w:val="14"/>
          <w:szCs w:val="14"/>
          <w:color w:val="auto"/>
        </w:rPr>
      </w:pPr>
    </w:p>
    <w:p>
      <w:pPr>
        <w:ind w:left="246" w:right="160"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 and we may not be able to compete effectively in our market.</w:t>
      </w:r>
    </w:p>
    <w:p>
      <w:pPr>
        <w:spacing w:after="0" w:line="48" w:lineRule="exact"/>
        <w:rPr>
          <w:rFonts w:ascii="Arial" w:cs="Arial" w:eastAsia="Arial" w:hAnsi="Arial"/>
          <w:sz w:val="14"/>
          <w:szCs w:val="14"/>
          <w:color w:val="auto"/>
        </w:rPr>
      </w:pPr>
    </w:p>
    <w:p>
      <w:pPr>
        <w:ind w:left="246" w:right="120" w:hanging="246"/>
        <w:spacing w:after="0" w:line="271" w:lineRule="auto"/>
        <w:tabs>
          <w:tab w:leader="none" w:pos="242" w:val="left"/>
        </w:tabs>
        <w:numPr>
          <w:ilvl w:val="0"/>
          <w:numId w:val="6"/>
        </w:numPr>
        <w:rPr>
          <w:rFonts w:ascii="Arial" w:cs="Arial" w:eastAsia="Arial" w:hAnsi="Arial"/>
          <w:sz w:val="14"/>
          <w:szCs w:val="14"/>
          <w:color w:val="auto"/>
        </w:rPr>
      </w:pPr>
      <w:r>
        <w:rPr>
          <w:rFonts w:ascii="Arial" w:cs="Arial" w:eastAsia="Arial" w:hAnsi="Arial"/>
          <w:sz w:val="14"/>
          <w:szCs w:val="14"/>
          <w:color w:val="auto"/>
        </w:rPr>
        <w:t>Even if we complete the necessary preclinical studies and clinical trials, the marketing approval process is expensive, time-consuming and uncertain and may prevent us from obtaining approvals for the commercialization of any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200" w:lineRule="exact"/>
        <w:rPr>
          <w:sz w:val="20"/>
          <w:szCs w:val="20"/>
          <w:color w:val="auto"/>
        </w:rPr>
      </w:pPr>
    </w:p>
    <w:p>
      <w:pPr>
        <w:spacing w:after="0" w:line="231" w:lineRule="exact"/>
        <w:rPr>
          <w:sz w:val="20"/>
          <w:szCs w:val="20"/>
          <w:color w:val="auto"/>
        </w:rPr>
      </w:pPr>
    </w:p>
    <w:p>
      <w:pPr>
        <w:jc w:val="center"/>
        <w:ind w:right="45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6"/>
          </w:cols>
          <w:pgMar w:left="814" w:top="846" w:right="359" w:bottom="1440" w:gutter="0" w:footer="0" w:header="0"/>
        </w:sectPr>
      </w:pPr>
    </w:p>
    <w:bookmarkStart w:id="6" w:name="page7"/>
    <w:bookmarkEnd w:id="6"/>
    <w:p>
      <w:pPr>
        <w:ind w:left="246" w:right="440" w:hanging="246"/>
        <w:spacing w:after="0" w:line="271" w:lineRule="auto"/>
        <w:tabs>
          <w:tab w:leader="none" w:pos="24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Compliance with global privacy and data security requirements could result in additional costs and liabilities to us or inhibit our ability to collect and process data globally, and our failure or the failure of our collaborators,CROs, CDMOs, contractors, consultants and other third parties to comply with such requirements could subject us to significant fines and penalties, which may have a material adverse effect on our business, financial condition or results of operations.</w:t>
      </w:r>
    </w:p>
    <w:p>
      <w:pPr>
        <w:spacing w:after="0" w:line="48" w:lineRule="exact"/>
        <w:rPr>
          <w:rFonts w:ascii="Arial" w:cs="Arial" w:eastAsia="Arial" w:hAnsi="Arial"/>
          <w:sz w:val="14"/>
          <w:szCs w:val="14"/>
          <w:color w:val="auto"/>
        </w:rPr>
      </w:pPr>
    </w:p>
    <w:p>
      <w:pPr>
        <w:ind w:left="246" w:hanging="246"/>
        <w:spacing w:after="0"/>
        <w:tabs>
          <w:tab w:leader="none" w:pos="24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future success depends on our ability to retain key employees, consultants and advisors and to attract, train, retain and motivate qualified personnel.</w:t>
      </w:r>
    </w:p>
    <w:p>
      <w:pPr>
        <w:spacing w:after="0" w:line="93" w:lineRule="exact"/>
        <w:rPr>
          <w:rFonts w:ascii="Arial" w:cs="Arial" w:eastAsia="Arial" w:hAnsi="Arial"/>
          <w:sz w:val="14"/>
          <w:szCs w:val="14"/>
          <w:color w:val="auto"/>
        </w:rPr>
      </w:pPr>
    </w:p>
    <w:p>
      <w:pPr>
        <w:ind w:left="246" w:hanging="246"/>
        <w:spacing w:after="0" w:line="265" w:lineRule="auto"/>
        <w:tabs>
          <w:tab w:leader="none" w:pos="242"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internal computer systems and those of our collaborators, CROs, CDMOs, contractors, consultants and other third parties are vulnerable to cyber attacks, cyber intrusions and security breaches, which could not only materially disrupt our business operations and result in the loss of confidential information, but also damage the integrity of our clinical trials, impact our regulatory filings, compromise our ability to protect our intellectual property, and subject us to regulatory actions that could result in significant fines or other penalties.</w:t>
      </w:r>
    </w:p>
    <w:p>
      <w:pPr>
        <w:spacing w:after="0" w:line="52" w:lineRule="exact"/>
        <w:rPr>
          <w:rFonts w:ascii="Arial" w:cs="Arial" w:eastAsia="Arial" w:hAnsi="Arial"/>
          <w:sz w:val="14"/>
          <w:szCs w:val="14"/>
          <w:color w:val="auto"/>
        </w:rPr>
      </w:pPr>
    </w:p>
    <w:p>
      <w:pPr>
        <w:ind w:left="246" w:hanging="246"/>
        <w:spacing w:after="0"/>
        <w:tabs>
          <w:tab w:leader="none" w:pos="24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price of our common stock is volatile and may fluctuate substantially, which could result in the loss of all or part of our stockholders’ investment.</w:t>
      </w:r>
    </w:p>
    <w:p>
      <w:pPr>
        <w:spacing w:after="0" w:line="200" w:lineRule="exact"/>
        <w:rPr>
          <w:sz w:val="20"/>
          <w:szCs w:val="20"/>
          <w:color w:val="auto"/>
        </w:rPr>
      </w:pPr>
    </w:p>
    <w:p>
      <w:pPr>
        <w:spacing w:after="0" w:line="276" w:lineRule="exact"/>
        <w:rPr>
          <w:sz w:val="20"/>
          <w:szCs w:val="20"/>
          <w:color w:val="auto"/>
        </w:rPr>
      </w:pPr>
    </w:p>
    <w:p>
      <w:pPr>
        <w:jc w:val="center"/>
        <w:ind w:right="454"/>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6"/>
          </w:cols>
          <w:pgMar w:left="814" w:top="846"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Overview</w:t>
      </w:r>
    </w:p>
    <w:p>
      <w:pPr>
        <w:spacing w:after="0" w:line="9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We are a clinical-stage biotechnology company dedicated to improving the lives of patients suffering from debilitating and life-threatening diseases. Through our PROteolysis TArgeting Chimera, or PROTAC, protein degradation platform, we are pioneering the development of a new class of therapeutics designed to harness the body’s own natural protein disposal system to selectively and efficiently degrade and remove disease-causing proteins. We have designed and optimized our proprietary PROTAC Discovery Engine for the discovery of PROTAC therapeutics to address diseases caused by abnormal proteins or aberrant protein expression. We believe that our targeted protein degradation approach is a novel therapeutic modality that may provide distinct advantages over existing therapies and address a broad range of targets, including historically undruggable proteins, in areas of significant unmet need.</w:t>
      </w:r>
    </w:p>
    <w:p>
      <w:pPr>
        <w:spacing w:after="0" w:line="15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4"/>
          <w:szCs w:val="14"/>
          <w:color w:val="auto"/>
        </w:rPr>
        <w:t>In the past five years, seven of the programs developed using our PROTAC protein degradation platform have progressed to clinical trials in oncology and neurology indications after demonstrating potent and selective protein degradation in our preclinical studies. The U.S. Food and Drug Administration, or FDA, has accepted our New Drug Application, or NDA, for vepdegestrant, our most advanced product candidate from the platform, for the treatment of patients with estrogen receptor-positive (ER+)/human epidermal growth factor receptor 2-negative (HER2-), or ER+/HER2-, estrogen receptor 1, or ESR1,-mutated advanced or metastatic breast cancer who have previously received endocrine-based therapy, and has assigned a Prescription Drug User Fee Act, or PDUFA, action date of June 5, 2026. We believe favorable clinical trial results in our ongoing oncology and neurology programs would further validate our platform as a new therapeutic modality for the potential treatment of diseases caused by dysregulated intracellular proteins.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currently progressing the following product candidates through clinical development programs:</w:t>
      </w:r>
    </w:p>
    <w:p>
      <w:pPr>
        <w:spacing w:after="0" w:line="94" w:lineRule="exact"/>
        <w:rPr>
          <w:sz w:val="20"/>
          <w:szCs w:val="20"/>
          <w:color w:val="auto"/>
        </w:rPr>
      </w:pPr>
    </w:p>
    <w:p>
      <w:pPr>
        <w:ind w:left="760" w:right="360" w:hanging="246"/>
        <w:spacing w:after="0" w:line="290"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ARV-102, targeting the leucine-rich repeat kinase 2, or LRRK2, protein for the treatment of neurodegenerative diseases, including Parkinson's disease, or PD, and progressive supranuclear palsy, or PSP;</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ARV-806, targeting Kirsten rat sarcoma, or KRAS, -G12D protein for cancers with the G12D mutation, including pancreatic, colorectal and non-small cell lung cancer;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ARV-393, targeting the B-cell lymphoma 6, or BCL6, protein for the treatment of relapsed/refractory non-Hodgkin lymphoma, or NHL;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ARV-027, targeting the polyglutamine-expanded androgen receptor, or polyQ-AR, in skeletal muscle;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vepdegestrant, targeting the estrogen receptor, or ER, for the treatment of locally advanced or metastatic ER+/HER2- breast cancer.</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We are also advancing several preclinical candidates through early stage development, in a broad range of intracellular disease targets, including proteins that currently cannot be addressed by existing small molecule therapies, commonly referred to as “undruggable” or under-drugged targets. These preclinical candidates include ARV-6723 targeting hematopoietic progenitor kinase 1, or HPK1, and a pan-KRAS degrader targeting multiple variants of KRAS while sparing other RAS isoforms.</w:t>
      </w:r>
    </w:p>
    <w:p>
      <w:pPr>
        <w:spacing w:after="0" w:line="134" w:lineRule="exact"/>
        <w:rPr>
          <w:sz w:val="20"/>
          <w:szCs w:val="20"/>
          <w:color w:val="auto"/>
        </w:rPr>
      </w:pPr>
    </w:p>
    <w:p>
      <w:pPr>
        <w:ind w:firstLine="509"/>
        <w:spacing w:after="0" w:line="308" w:lineRule="auto"/>
        <w:rPr>
          <w:sz w:val="20"/>
          <w:szCs w:val="20"/>
          <w:color w:val="auto"/>
        </w:rPr>
      </w:pPr>
      <w:r>
        <w:rPr>
          <w:rFonts w:ascii="Arial" w:cs="Arial" w:eastAsia="Arial" w:hAnsi="Arial"/>
          <w:sz w:val="14"/>
          <w:szCs w:val="14"/>
          <w:color w:val="auto"/>
        </w:rPr>
        <w:t>In addition to the programs above and our early-stage collaborations, including with Pfizer, Inc., or Pfizer, and Genentech, Inc. and F. Hoffman-La Roche Ltd., or Genentech, we are conducting exploratory research and development work on multiple other undisclosed targets</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Strategy</w:t>
      </w:r>
    </w:p>
    <w:p>
      <w:pPr>
        <w:spacing w:after="0" w:line="9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Our mission is to improve the lives of patients suffering from debilitating and life-threatening diseases through the discovery, development, and commercialization of novel protein degraders.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8" w:name="page9"/>
    <w:bookmarkEnd w:id="8"/>
    <w:p>
      <w:pPr>
        <w:ind w:right="20" w:firstLine="157"/>
        <w:spacing w:after="0" w:line="274" w:lineRule="auto"/>
        <w:rPr>
          <w:sz w:val="20"/>
          <w:szCs w:val="20"/>
          <w:color w:val="auto"/>
        </w:rPr>
      </w:pPr>
      <w:r>
        <w:rPr>
          <w:rFonts w:ascii="Arial" w:cs="Arial" w:eastAsia="Arial" w:hAnsi="Arial"/>
          <w:sz w:val="14"/>
          <w:szCs w:val="14"/>
          <w:color w:val="auto"/>
        </w:rPr>
        <w:t>We are currently developing PROTAC degraders to address targets within oncology and neurology, and we believe there is the potential for applicability in other therapeutic areas as well. The key elements of our strategy are to:</w:t>
      </w:r>
    </w:p>
    <w:p>
      <w:pPr>
        <w:spacing w:after="0" w:line="237" w:lineRule="exact"/>
        <w:rPr>
          <w:sz w:val="20"/>
          <w:szCs w:val="20"/>
          <w:color w:val="auto"/>
        </w:rPr>
      </w:pPr>
    </w:p>
    <w:p>
      <w:pPr>
        <w:ind w:left="760" w:right="440" w:hanging="246"/>
        <w:spacing w:after="0" w:line="271"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Advance our current oncology and neurology pipeline through anticipated data milestones to evaluate safety, efficacy, and biological activity, with the objective of demonstrating therapeutic differentiation to existing therapies. </w:t>
      </w:r>
      <w:r>
        <w:rPr>
          <w:rFonts w:ascii="Arial" w:cs="Arial" w:eastAsia="Arial" w:hAnsi="Arial"/>
          <w:sz w:val="14"/>
          <w:szCs w:val="14"/>
          <w:color w:val="auto"/>
        </w:rPr>
        <w:t>These clinical data will inform development priorities, resource allocation,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subsequent clinical and regulatory strategies.</w:t>
      </w:r>
    </w:p>
    <w:p>
      <w:pPr>
        <w:spacing w:after="0" w:line="48" w:lineRule="exact"/>
        <w:rPr>
          <w:rFonts w:ascii="Arial" w:cs="Arial" w:eastAsia="Arial" w:hAnsi="Arial"/>
          <w:sz w:val="14"/>
          <w:szCs w:val="14"/>
          <w:color w:val="auto"/>
        </w:rPr>
      </w:pPr>
    </w:p>
    <w:p>
      <w:pPr>
        <w:ind w:left="760" w:right="20" w:hanging="246"/>
        <w:spacing w:after="0" w:line="290"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Create medicines using new therapeutic modalities that have potential benefits over current modalities. </w:t>
      </w:r>
      <w:r>
        <w:rPr>
          <w:rFonts w:ascii="Arial" w:cs="Arial" w:eastAsia="Arial" w:hAnsi="Arial"/>
          <w:sz w:val="14"/>
          <w:szCs w:val="14"/>
          <w:color w:val="auto"/>
        </w:rPr>
        <w:t>We aim to develop therapies with the potential to deliver</w:t>
      </w:r>
      <w:r>
        <w:rPr>
          <w:rFonts w:ascii="Arial" w:cs="Arial" w:eastAsia="Arial" w:hAnsi="Arial"/>
          <w:sz w:val="14"/>
          <w:szCs w:val="14"/>
          <w:b w:val="1"/>
          <w:bCs w:val="1"/>
          <w:color w:val="auto"/>
        </w:rPr>
        <w:t xml:space="preserve"> </w:t>
      </w:r>
      <w:r>
        <w:rPr>
          <w:rFonts w:ascii="Arial" w:cs="Arial" w:eastAsia="Arial" w:hAnsi="Arial"/>
          <w:sz w:val="14"/>
          <w:szCs w:val="14"/>
          <w:color w:val="auto"/>
        </w:rPr>
        <w:t>meaningful benefits relative to traditional small molecule inhibitors, or SMIs, antibodies, and gene-based medicines.</w:t>
      </w:r>
    </w:p>
    <w:p>
      <w:pPr>
        <w:spacing w:after="0" w:line="35" w:lineRule="exact"/>
        <w:rPr>
          <w:rFonts w:ascii="Arial" w:cs="Arial" w:eastAsia="Arial" w:hAnsi="Arial"/>
          <w:sz w:val="14"/>
          <w:szCs w:val="14"/>
          <w:color w:val="auto"/>
        </w:rPr>
      </w:pPr>
    </w:p>
    <w:p>
      <w:pPr>
        <w:ind w:left="760" w:right="60" w:hanging="246"/>
        <w:spacing w:after="0" w:line="290" w:lineRule="auto"/>
        <w:tabs>
          <w:tab w:leader="none" w:pos="756"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Utilize our PROTAC Discovery Engine to expand our pipeline with a focus on historically undruggable and difficult-to-drug targets. </w:t>
      </w:r>
      <w:r>
        <w:rPr>
          <w:rFonts w:ascii="Arial" w:cs="Arial" w:eastAsia="Arial" w:hAnsi="Arial"/>
          <w:sz w:val="14"/>
          <w:szCs w:val="14"/>
          <w:color w:val="auto"/>
        </w:rPr>
        <w:t>This approach is designed</w:t>
      </w:r>
      <w:r>
        <w:rPr>
          <w:rFonts w:ascii="Arial" w:cs="Arial" w:eastAsia="Arial" w:hAnsi="Arial"/>
          <w:sz w:val="14"/>
          <w:szCs w:val="14"/>
          <w:b w:val="1"/>
          <w:bCs w:val="1"/>
          <w:color w:val="auto"/>
        </w:rPr>
        <w:t xml:space="preserve"> </w:t>
      </w:r>
      <w:r>
        <w:rPr>
          <w:rFonts w:ascii="Arial" w:cs="Arial" w:eastAsia="Arial" w:hAnsi="Arial"/>
          <w:sz w:val="14"/>
          <w:szCs w:val="14"/>
          <w:color w:val="auto"/>
        </w:rPr>
        <w:t>to leverage targeted protein degraders to address disease biology that may not be amenable to traditional small-molecule or biologic approaches.</w:t>
      </w:r>
    </w:p>
    <w:p>
      <w:pPr>
        <w:spacing w:after="0" w:line="35" w:lineRule="exact"/>
        <w:rPr>
          <w:rFonts w:ascii="Arial" w:cs="Arial" w:eastAsia="Arial" w:hAnsi="Arial"/>
          <w:sz w:val="14"/>
          <w:szCs w:val="14"/>
          <w:b w:val="1"/>
          <w:bCs w:val="1"/>
          <w:color w:val="auto"/>
        </w:rPr>
      </w:pPr>
    </w:p>
    <w:p>
      <w:pPr>
        <w:ind w:left="760" w:right="100" w:hanging="246"/>
        <w:spacing w:after="0" w:line="271"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Selectively collaborate to realize the full value of our pipeline and platform. </w:t>
      </w:r>
      <w:r>
        <w:rPr>
          <w:rFonts w:ascii="Arial" w:cs="Arial" w:eastAsia="Arial" w:hAnsi="Arial"/>
          <w:sz w:val="14"/>
          <w:szCs w:val="14"/>
          <w:color w:val="auto"/>
        </w:rPr>
        <w:t>As our preclinical and clinical programs advance, we continue to assess opportunities</w:t>
      </w:r>
      <w:r>
        <w:rPr>
          <w:rFonts w:ascii="Arial" w:cs="Arial" w:eastAsia="Arial" w:hAnsi="Arial"/>
          <w:sz w:val="14"/>
          <w:szCs w:val="14"/>
          <w:b w:val="1"/>
          <w:bCs w:val="1"/>
          <w:color w:val="auto"/>
        </w:rPr>
        <w:t xml:space="preserve"> </w:t>
      </w:r>
      <w:r>
        <w:rPr>
          <w:rFonts w:ascii="Arial" w:cs="Arial" w:eastAsia="Arial" w:hAnsi="Arial"/>
          <w:sz w:val="14"/>
          <w:szCs w:val="14"/>
          <w:color w:val="auto"/>
        </w:rPr>
        <w:t>where a partner may be able to accelerate any such program's development, enhance such program's probability of success, or expand such program's commercial potential.</w:t>
      </w:r>
    </w:p>
    <w:p>
      <w:pPr>
        <w:spacing w:after="0" w:line="48" w:lineRule="exact"/>
        <w:rPr>
          <w:rFonts w:ascii="Arial" w:cs="Arial" w:eastAsia="Arial" w:hAnsi="Arial"/>
          <w:sz w:val="14"/>
          <w:szCs w:val="14"/>
          <w:color w:val="auto"/>
        </w:rPr>
      </w:pPr>
    </w:p>
    <w:p>
      <w:pPr>
        <w:jc w:val="both"/>
        <w:ind w:left="760" w:right="80" w:hanging="246"/>
        <w:spacing w:after="0" w:line="271"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Expand the capabilities of our PROTAC Discovery Engine and the breadth of our intellectual property portfolio to support the discovery and optimization of next-generation targeted protein degraders. </w:t>
      </w:r>
      <w:r>
        <w:rPr>
          <w:rFonts w:ascii="Arial" w:cs="Arial" w:eastAsia="Arial" w:hAnsi="Arial"/>
          <w:sz w:val="14"/>
          <w:szCs w:val="14"/>
          <w:color w:val="auto"/>
        </w:rPr>
        <w:t>We seek to broaden and strengthen our intellectual property portfolio to protect platform innovations, novel targets, and</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supporting long-term value creation.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Focus - PROTAC Degradation and its Potential Benefits</w:t>
      </w:r>
    </w:p>
    <w:p>
      <w:pPr>
        <w:spacing w:after="0" w:line="26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Our disciplined target selection and proprietary discovery platform aim to enable the rational design of innovative degrader medicines across major protein classes. We focus on potential first- and best-in-class target opportunities in areas of high unmet need, particularly where we believe targeted protein degradation, or TPD, may offer the most effective or only path to potentially meaningful clinical outcomes. This includes addressing genetically defined targets or those under-drugged targets that are key regulatory points within pathways that are clinically validated targets, such as transcription factors and scaffolding proteins. With our integrated capabilities we aim to accelerate discovery of TPD therapeutics, translating biological insight into efficient drug design.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Areas of Unmet Need and PROTAC Capabilities</w:t>
      </w:r>
    </w:p>
    <w:p>
      <w:pPr>
        <w:spacing w:after="0" w:line="200" w:lineRule="exact"/>
        <w:rPr>
          <w:sz w:val="20"/>
          <w:szCs w:val="20"/>
          <w:color w:val="auto"/>
        </w:rPr>
      </w:pPr>
    </w:p>
    <w:p>
      <w:pPr>
        <w:ind w:right="140" w:firstLine="509"/>
        <w:spacing w:after="0" w:line="274" w:lineRule="auto"/>
        <w:rPr>
          <w:sz w:val="20"/>
          <w:szCs w:val="20"/>
          <w:color w:val="auto"/>
        </w:rPr>
      </w:pPr>
      <w:r>
        <w:rPr>
          <w:rFonts w:ascii="Arial" w:cs="Arial" w:eastAsia="Arial" w:hAnsi="Arial"/>
          <w:sz w:val="14"/>
          <w:szCs w:val="14"/>
          <w:color w:val="auto"/>
        </w:rPr>
        <w:t>We are seeking to address areas of significant unmet need for patients, including neurology and oncology, with PROTAC targeted protein degrader therapeutics as further described in "Our Clinical Programs" section.</w:t>
      </w:r>
    </w:p>
    <w:p>
      <w:pPr>
        <w:spacing w:after="0" w:line="142" w:lineRule="exact"/>
        <w:rPr>
          <w:sz w:val="20"/>
          <w:szCs w:val="20"/>
          <w:color w:val="auto"/>
        </w:rPr>
      </w:pPr>
    </w:p>
    <w:p>
      <w:pPr>
        <w:ind w:firstLine="509"/>
        <w:spacing w:after="0" w:line="263" w:lineRule="auto"/>
        <w:rPr>
          <w:sz w:val="20"/>
          <w:szCs w:val="20"/>
          <w:color w:val="auto"/>
        </w:rPr>
      </w:pPr>
      <w:r>
        <w:rPr>
          <w:rFonts w:ascii="Arial" w:cs="Arial" w:eastAsia="Arial" w:hAnsi="Arial"/>
          <w:sz w:val="14"/>
          <w:szCs w:val="14"/>
          <w:color w:val="auto"/>
        </w:rPr>
        <w:t>PROTAC protein degraders are small molecule therapeutic agents consisting of two ligands joined by a chemical linker. One ligand binds to an E3 ligase and the other ligand binds to a disease-causing protein of interest. PROTAC protein degraders facilitate formation of a ternary complex, leading to transfer of ubiquitin to the protein of interest and subsequent degradation by the proteasome, as shown in Figure 1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493395</wp:posOffset>
            </wp:positionV>
            <wp:extent cx="3725545" cy="1812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725545" cy="181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760"/>
        <w:spacing w:after="0"/>
        <w:rPr>
          <w:sz w:val="20"/>
          <w:szCs w:val="20"/>
          <w:color w:val="auto"/>
        </w:rPr>
      </w:pPr>
      <w:r>
        <w:rPr>
          <w:rFonts w:ascii="Arial" w:cs="Arial" w:eastAsia="Arial" w:hAnsi="Arial"/>
          <w:sz w:val="14"/>
          <w:szCs w:val="14"/>
          <w:i w:val="1"/>
          <w:iCs w:val="1"/>
          <w:color w:val="auto"/>
        </w:rPr>
        <w:t>Figure 1</w:t>
      </w:r>
    </w:p>
    <w:p>
      <w:pPr>
        <w:spacing w:after="0" w:line="177" w:lineRule="exact"/>
        <w:rPr>
          <w:sz w:val="20"/>
          <w:szCs w:val="20"/>
          <w:color w:val="auto"/>
        </w:rPr>
      </w:pPr>
    </w:p>
    <w:p>
      <w:pPr>
        <w:jc w:val="both"/>
        <w:ind w:right="100" w:firstLine="509"/>
        <w:spacing w:after="0" w:line="249" w:lineRule="auto"/>
        <w:rPr>
          <w:sz w:val="20"/>
          <w:szCs w:val="20"/>
          <w:color w:val="auto"/>
        </w:rPr>
      </w:pPr>
      <w:r>
        <w:rPr>
          <w:rFonts w:ascii="Arial" w:cs="Arial" w:eastAsia="Arial" w:hAnsi="Arial"/>
          <w:sz w:val="14"/>
          <w:szCs w:val="14"/>
          <w:color w:val="auto"/>
        </w:rPr>
        <w:t>PROTACs have the potential to bring together certain useful features of SMIs, antibodies and gene-based medicines, while also having an iterative mechanism of action, which is referred to as “event-based pharmacology,” allowing one PROTAC to potentially lead to the degradation of many molecules of the protein of interest. Based on data from our preclinical studies and clinical trials, we believe that PROTAC protein degraders may have distinct advantages over traditional SMIs, antibodies and gene-based medicines,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4204335" cy="2418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4335"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We believe PROTAC degraders offer distinct advantages that enable perturbation of protein targets traditionally considered undruggable by conventional therapeutics. Unlike inhibitors, degraders can eliminate proteins such as scaffolding proteins, transcription factors, oncoproteins, and oligomer-forming proteins using PROTACs with the potential for oral dosing and systemic distribution, in contrast to genomic and antibody modalities that only work extracellularly. Because degradation is a catalytic and durable process, PROTACs have the potential to achieve therapeutic effect with lower drug exposure and less frequent dosing than traditional approaches. PROTAC molecules are also compatible with established small-molecule manufacturing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10" w:name="page11"/>
    <w:bookmarkEnd w:id="10"/>
    <w:p>
      <w:pPr>
        <w:ind w:right="260"/>
        <w:spacing w:after="0" w:line="265" w:lineRule="auto"/>
        <w:rPr>
          <w:sz w:val="20"/>
          <w:szCs w:val="20"/>
          <w:color w:val="auto"/>
        </w:rPr>
      </w:pPr>
      <w:r>
        <w:rPr>
          <w:rFonts w:ascii="Arial" w:cs="Arial" w:eastAsia="Arial" w:hAnsi="Arial"/>
          <w:sz w:val="14"/>
          <w:szCs w:val="14"/>
          <w:color w:val="auto"/>
        </w:rPr>
        <w:t>processes, offering potential advantages in scalability and cost. Importantly, PROTACs can be chemically engineered to selectively degrade disease-relevant proteins, including mutant or pathogenic isoforms, while sparing wild-type or healthy proteins, and can overcome challenges posed by protein amplification or overexpression. We believe these capabilities support therapeutic strategies aimed at oncoprotein removal and immune reactivation within the tumor microenvironment in oncology, as well as the removal of key amplified scaffolding and pathologic proteins in the brain and muscle in neurodegenerative and neuromuscular diseases.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Discovery Platform — PROTAC Discovery Engine</w:t>
      </w:r>
    </w:p>
    <w:p>
      <w:pPr>
        <w:spacing w:after="0" w:line="189" w:lineRule="exact"/>
        <w:rPr>
          <w:sz w:val="20"/>
          <w:szCs w:val="20"/>
          <w:color w:val="auto"/>
        </w:rPr>
      </w:pPr>
    </w:p>
    <w:p>
      <w:pPr>
        <w:ind w:right="80" w:firstLine="509"/>
        <w:spacing w:after="0" w:line="274" w:lineRule="auto"/>
        <w:rPr>
          <w:sz w:val="20"/>
          <w:szCs w:val="20"/>
          <w:color w:val="auto"/>
        </w:rPr>
      </w:pPr>
      <w:r>
        <w:rPr>
          <w:rFonts w:ascii="Arial" w:cs="Arial" w:eastAsia="Arial" w:hAnsi="Arial"/>
          <w:sz w:val="14"/>
          <w:szCs w:val="14"/>
          <w:color w:val="auto"/>
        </w:rPr>
        <w:t>Our PROTAC Discovery Engine is an interlocking suite of tools and expertise that assists with our goal of creating and advancing clinical-stage programs with the potential to help patients,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46270" cy="2169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4627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509"/>
        <w:spacing w:after="0" w:line="272" w:lineRule="auto"/>
        <w:rPr>
          <w:sz w:val="20"/>
          <w:szCs w:val="20"/>
          <w:color w:val="auto"/>
        </w:rPr>
      </w:pPr>
      <w:r>
        <w:rPr>
          <w:rFonts w:ascii="Arial" w:cs="Arial" w:eastAsia="Arial" w:hAnsi="Arial"/>
          <w:sz w:val="11"/>
          <w:szCs w:val="11"/>
          <w:color w:val="auto"/>
        </w:rPr>
        <w:t>Defined terms used in the figure above include: PROTAC, proteolysis targeting chimera; ANGLE, Arvinas Next Generation Linker Enablement; LEAP (Library-Enabled ANGLE PROTACs; EM, electron microscopy; AI/ML, artificial intelligence/machine learning; HTS, high throughput screening; DEL, DNA-encoded libraries; CADD, computer-aided/assisted drug design; PK/PD, pharmacokinetics/pharmacodynamics; and cryoEM, cryogenic electron microscopy.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details regarding certain tools we use in our PROTAC Discovery Engine are included below.</w:t>
      </w:r>
    </w:p>
    <w:p>
      <w:pPr>
        <w:spacing w:after="0" w:line="200" w:lineRule="exact"/>
        <w:rPr>
          <w:sz w:val="20"/>
          <w:szCs w:val="20"/>
          <w:color w:val="auto"/>
        </w:rPr>
      </w:pPr>
    </w:p>
    <w:p>
      <w:pPr>
        <w:ind w:left="520" w:right="100" w:hanging="6"/>
        <w:spacing w:after="0" w:line="262" w:lineRule="auto"/>
        <w:tabs>
          <w:tab w:leader="none" w:pos="771"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Target Selection</w:t>
      </w:r>
      <w:r>
        <w:rPr>
          <w:rFonts w:ascii="Arial" w:cs="Arial" w:eastAsia="Arial" w:hAnsi="Arial"/>
          <w:sz w:val="14"/>
          <w:szCs w:val="14"/>
          <w:color w:val="auto"/>
        </w:rPr>
        <w:t>: We focus on targets that we believe are poised to make a PROTAC protein degrader that has the potential to provide benefits over SMIs, antibodies and gene-based medicines, and address unmet need for patients with cancer and neurodegenerative diseases. These targets are selected because they are genetically defined targets or are under-drugged targets that are key regulatory points within pathways that are clinically validated. We focus on differential target biology that drives disease via scaffolding functions, gene amplification and protein overexpression, isoform expression or mis-localization, protein oligomers, resistance mutation, and where targets have been underdrugged due to incomplete target coverage, inadequate biodistribution, or lack catalytic binding pockets.</w:t>
      </w:r>
    </w:p>
    <w:p>
      <w:pPr>
        <w:spacing w:after="0" w:line="161" w:lineRule="exact"/>
        <w:rPr>
          <w:rFonts w:ascii="Arial" w:cs="Arial" w:eastAsia="Arial" w:hAnsi="Arial"/>
          <w:sz w:val="14"/>
          <w:szCs w:val="14"/>
          <w:color w:val="auto"/>
        </w:rPr>
      </w:pPr>
    </w:p>
    <w:p>
      <w:pPr>
        <w:ind w:left="520" w:right="80" w:hanging="6"/>
        <w:spacing w:after="0" w:line="262" w:lineRule="auto"/>
        <w:tabs>
          <w:tab w:leader="none" w:pos="771"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E3 KnowledgeBase</w:t>
      </w:r>
      <w:r>
        <w:rPr>
          <w:rFonts w:ascii="Arial" w:cs="Arial" w:eastAsia="Arial" w:hAnsi="Arial"/>
          <w:sz w:val="14"/>
          <w:szCs w:val="14"/>
          <w:color w:val="auto"/>
        </w:rPr>
        <w:t>: We have deep and long-standing experience in understanding and exploiting E3 ligase mechanisms in order to match the right E3 ligase to the right target. The human body has more than 600 E3 ligases, and we select ligands for E3 ligases from our growing proprietary ligand library, E3KnowledgeBase, for incorporation into our PROTAC targeted protein degraders. We are expanding our capabilities to include the development of novel PROTACs that recruit E3 ligases with targeted expression patterns, such as tumor or central nervous system, or CNS, localized E3 ligases, that may be beneficial for the development of targeted oncologic and neurologic therapies.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11" w:name="page12"/>
    <w:bookmarkEnd w:id="11"/>
    <w:p>
      <w:pPr>
        <w:ind w:left="6" w:right="60" w:hanging="6"/>
        <w:spacing w:after="0" w:line="271"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Advanced Screening Capabilities</w:t>
      </w:r>
      <w:r>
        <w:rPr>
          <w:rFonts w:ascii="Arial" w:cs="Arial" w:eastAsia="Arial" w:hAnsi="Arial"/>
          <w:sz w:val="14"/>
          <w:szCs w:val="14"/>
          <w:color w:val="auto"/>
        </w:rPr>
        <w:t>: We have high-throughput and DNA-encoded library, or DEL, screening abilities, that power our ability to identify new domains, which are the building blocks of proteins, including domains for the “undruggable” targets, and new binders for E3 ligases. Unlike traditional libraries, our DEL is designed specifically to facilitate incorporation into PROTACs and optimize their drug-like properties.</w:t>
      </w:r>
    </w:p>
    <w:p>
      <w:pPr>
        <w:spacing w:after="0" w:line="154" w:lineRule="exact"/>
        <w:rPr>
          <w:rFonts w:ascii="Arial" w:cs="Arial" w:eastAsia="Arial" w:hAnsi="Arial"/>
          <w:sz w:val="14"/>
          <w:szCs w:val="14"/>
          <w:color w:val="auto"/>
        </w:rPr>
      </w:pPr>
    </w:p>
    <w:p>
      <w:pPr>
        <w:ind w:left="6" w:right="20" w:hanging="6"/>
        <w:spacing w:after="0" w:line="290"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ANGLE: Arvinas Next Generation Linker Evolution</w:t>
      </w:r>
      <w:r>
        <w:rPr>
          <w:rFonts w:ascii="Arial" w:cs="Arial" w:eastAsia="Arial" w:hAnsi="Arial"/>
          <w:sz w:val="14"/>
          <w:szCs w:val="14"/>
          <w:color w:val="auto"/>
        </w:rPr>
        <w:t>: Our chemical linkers incorporate learnings from our long history of designing PROTACs, allowing increased potency and selectivity, as well as desirable pharmacokinetic properties to drive oral absorption and blood-brain barrier penetration, right from the start.</w:t>
      </w:r>
    </w:p>
    <w:p>
      <w:pPr>
        <w:spacing w:after="0" w:line="141" w:lineRule="exact"/>
        <w:rPr>
          <w:rFonts w:ascii="Arial" w:cs="Arial" w:eastAsia="Arial" w:hAnsi="Arial"/>
          <w:sz w:val="14"/>
          <w:szCs w:val="14"/>
          <w:color w:val="auto"/>
        </w:rPr>
      </w:pPr>
    </w:p>
    <w:p>
      <w:pPr>
        <w:ind w:left="6" w:right="40" w:hanging="6"/>
        <w:spacing w:after="0" w:line="290"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LEAP: Library-Enabled ANGLE PROTACs</w:t>
      </w:r>
      <w:r>
        <w:rPr>
          <w:rFonts w:ascii="Arial" w:cs="Arial" w:eastAsia="Arial" w:hAnsi="Arial"/>
          <w:sz w:val="14"/>
          <w:szCs w:val="14"/>
          <w:color w:val="auto"/>
        </w:rPr>
        <w:t>: We have enhanced our ability to deploy ANGLE on our projects by evolving it into a library format, where we can now make hundreds of PROTACs at one time and screen them all in a direct-to-biology format. We have also created a proprietary software tool to accelerate LEAP library design.</w:t>
      </w:r>
    </w:p>
    <w:p>
      <w:pPr>
        <w:spacing w:after="0" w:line="141" w:lineRule="exact"/>
        <w:rPr>
          <w:rFonts w:ascii="Arial" w:cs="Arial" w:eastAsia="Arial" w:hAnsi="Arial"/>
          <w:sz w:val="14"/>
          <w:szCs w:val="14"/>
          <w:color w:val="auto"/>
        </w:rPr>
      </w:pPr>
    </w:p>
    <w:p>
      <w:pPr>
        <w:ind w:left="6" w:right="100" w:hanging="6"/>
        <w:spacing w:after="0" w:line="271"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PROTACify</w:t>
      </w:r>
      <w:r>
        <w:rPr>
          <w:rFonts w:ascii="Arial" w:cs="Arial" w:eastAsia="Arial" w:hAnsi="Arial"/>
          <w:sz w:val="14"/>
          <w:szCs w:val="14"/>
          <w:color w:val="auto"/>
        </w:rPr>
        <w:t>: We have built PROTACify, a proprietary computational, machine-learning, or ML, solution for modeling PROTAC ternary complexes to enable selection of the best PROTAC designs for synthesis. With our deep experience in trimer structure-based computational modeling and design algorithms, we frequently create potent degraders in the first chemical series.</w:t>
      </w:r>
    </w:p>
    <w:p>
      <w:pPr>
        <w:spacing w:after="0" w:line="154" w:lineRule="exact"/>
        <w:rPr>
          <w:rFonts w:ascii="Arial" w:cs="Arial" w:eastAsia="Arial" w:hAnsi="Arial"/>
          <w:sz w:val="14"/>
          <w:szCs w:val="14"/>
          <w:color w:val="auto"/>
        </w:rPr>
      </w:pPr>
    </w:p>
    <w:p>
      <w:pPr>
        <w:ind w:left="6" w:right="220" w:hanging="6"/>
        <w:spacing w:after="0" w:line="290"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Proteomics Capabilities</w:t>
      </w:r>
      <w:r>
        <w:rPr>
          <w:rFonts w:ascii="Arial" w:cs="Arial" w:eastAsia="Arial" w:hAnsi="Arial"/>
          <w:sz w:val="14"/>
          <w:szCs w:val="14"/>
          <w:color w:val="auto"/>
        </w:rPr>
        <w:t>: PROTACs are often far more selective than the protein-binding domain within the targeted protein. Our proteomics capabilities enable us to understand that specificity in precise detail and iterate quickly to optimize the selectivity of our degraders for the drug target.</w:t>
      </w:r>
    </w:p>
    <w:p>
      <w:pPr>
        <w:spacing w:after="0" w:line="130" w:lineRule="exact"/>
        <w:rPr>
          <w:rFonts w:ascii="Arial" w:cs="Arial" w:eastAsia="Arial" w:hAnsi="Arial"/>
          <w:sz w:val="14"/>
          <w:szCs w:val="14"/>
          <w:color w:val="auto"/>
        </w:rPr>
      </w:pPr>
    </w:p>
    <w:p>
      <w:pPr>
        <w:ind w:left="6" w:hanging="6"/>
        <w:spacing w:after="0" w:line="249"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Arvinas Rules</w:t>
      </w:r>
      <w:r>
        <w:rPr>
          <w:rFonts w:ascii="Arial" w:cs="Arial" w:eastAsia="Arial" w:hAnsi="Arial"/>
          <w:sz w:val="14"/>
          <w:szCs w:val="14"/>
          <w:color w:val="auto"/>
        </w:rPr>
        <w:t>: PROTACs are not intrinsically "drug-like" and frequently do not following classical guidance for probable oral absorption, such as the "Rule of 5". We have established and refined our own "beyond the Rule of 5" Arvinas Rules to discover PROTACs that have the potential for oral bioavailability and crossing the blood-brain barrier. We have consolidated our large, proprietary preclinical pharmacokinetic, or PK, data set into ML models in order to enhance our potential for success in finding PROTACs with the desired pharmacokinetic properties from the outset of the process.</w:t>
      </w:r>
    </w:p>
    <w:p>
      <w:pPr>
        <w:spacing w:after="0" w:line="170" w:lineRule="exact"/>
        <w:rPr>
          <w:rFonts w:ascii="Arial" w:cs="Arial" w:eastAsia="Arial" w:hAnsi="Arial"/>
          <w:sz w:val="14"/>
          <w:szCs w:val="14"/>
          <w:color w:val="auto"/>
        </w:rPr>
      </w:pPr>
    </w:p>
    <w:p>
      <w:pPr>
        <w:ind w:left="6" w:right="260" w:hanging="6"/>
        <w:spacing w:after="0" w:line="265"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PIVOT (PROTAC In Vivo Optimization Tool)</w:t>
      </w:r>
      <w:r>
        <w:rPr>
          <w:rFonts w:ascii="Arial" w:cs="Arial" w:eastAsia="Arial" w:hAnsi="Arial"/>
          <w:sz w:val="14"/>
          <w:szCs w:val="14"/>
          <w:color w:val="auto"/>
        </w:rPr>
        <w:t>: In contrast to traditional small molecule agents, which follow an occupancy-driven mechanism of action, PROTACs are event-driven, and as such can display profound nonlinear PK, pharmacodynamic responses. We have developed PIVOT as a desktop tool to enable our scientists to develop a deep, intuitive understanding of relationships among PK, pharmacodynamic and efficacy. We believe our understanding of molecular features that impact PROTAC biodistribution and target degradation kinetics in the body enables us to create PROTACs with drug-like properties and activities.</w:t>
      </w:r>
    </w:p>
    <w:p>
      <w:pPr>
        <w:spacing w:after="0" w:line="200" w:lineRule="exact"/>
        <w:rPr>
          <w:sz w:val="20"/>
          <w:szCs w:val="20"/>
          <w:color w:val="auto"/>
        </w:rPr>
      </w:pPr>
    </w:p>
    <w:p>
      <w:pPr>
        <w:spacing w:after="0" w:line="235" w:lineRule="exact"/>
        <w:rPr>
          <w:sz w:val="20"/>
          <w:szCs w:val="20"/>
          <w:color w:val="auto"/>
        </w:rPr>
      </w:pPr>
    </w:p>
    <w:p>
      <w:pPr>
        <w:jc w:val="center"/>
        <w:ind w:right="45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6"/>
          </w:cols>
          <w:pgMar w:left="814" w:top="761"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auto"/>
        </w:rPr>
        <w:t>Our Pipeline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pipeline, which includes an overview of our most advanced clinical and preclinical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68580</wp:posOffset>
            </wp:positionV>
            <wp:extent cx="4716145" cy="2014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614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251"/>
        <w:spacing w:after="0"/>
        <w:tabs>
          <w:tab w:leader="none" w:pos="10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agents included in the graphic above are currently under investigation; their safety and effectiveness for these investigational uses have not been established.</w:t>
      </w:r>
    </w:p>
    <w:p>
      <w:pPr>
        <w:spacing w:after="0" w:line="85" w:lineRule="exact"/>
        <w:rPr>
          <w:rFonts w:ascii="Arial" w:cs="Arial" w:eastAsia="Arial" w:hAnsi="Arial"/>
          <w:sz w:val="11"/>
          <w:szCs w:val="11"/>
          <w:color w:val="auto"/>
        </w:rPr>
      </w:pPr>
    </w:p>
    <w:p>
      <w:pPr>
        <w:jc w:val="both"/>
        <w:ind w:left="1020" w:hanging="251"/>
        <w:spacing w:after="0" w:line="252" w:lineRule="auto"/>
        <w:tabs>
          <w:tab w:leader="none" w:pos="1017" w:val="left"/>
        </w:tabs>
        <w:numPr>
          <w:ilvl w:val="0"/>
          <w:numId w:val="12"/>
        </w:numPr>
        <w:rPr>
          <w:rFonts w:ascii="Arial" w:cs="Arial" w:eastAsia="Arial" w:hAnsi="Arial"/>
          <w:sz w:val="11"/>
          <w:szCs w:val="11"/>
          <w:color w:val="auto"/>
        </w:rPr>
      </w:pPr>
      <w:r>
        <w:rPr>
          <w:rFonts w:ascii="Arial" w:cs="Arial" w:eastAsia="Arial" w:hAnsi="Arial"/>
          <w:sz w:val="11"/>
          <w:szCs w:val="11"/>
          <w:color w:val="auto"/>
        </w:rPr>
        <w:t>Defined terms included in the graphic above: AR, androgen receptor; BCL6, B-cell lymphoma 6; ER, estrogen receptor; HPK1, Hematopoietic Progenitor Kinase 1; I-O, immuno-oncology; KRAS, Kirsten rat sarcoma viral oncogene homolog; LRRK2, leucine-rich repeat kinase 2; mCRPC, metastatic castration resistant prostate cancer; mHSPC, metastatic hormone sensitive prostate cancer; NSCLC, non small cell lung cancer; NDA, new drug application; NHL, non-Hodgkin lymphoma; polyQ, expanded polyglutamine; PSP, progressive supranuclear palsy; SBMA, spinal bulbar muscular atrophy.</w:t>
      </w:r>
    </w:p>
    <w:p>
      <w:pPr>
        <w:spacing w:after="0" w:line="57" w:lineRule="exact"/>
        <w:rPr>
          <w:rFonts w:ascii="Arial" w:cs="Arial" w:eastAsia="Arial" w:hAnsi="Arial"/>
          <w:sz w:val="11"/>
          <w:szCs w:val="11"/>
          <w:color w:val="auto"/>
        </w:rPr>
      </w:pPr>
    </w:p>
    <w:p>
      <w:pPr>
        <w:ind w:left="1020" w:hanging="251"/>
        <w:spacing w:after="0" w:line="283" w:lineRule="auto"/>
        <w:tabs>
          <w:tab w:leader="none" w:pos="1017" w:val="left"/>
        </w:tabs>
        <w:numPr>
          <w:ilvl w:val="0"/>
          <w:numId w:val="12"/>
        </w:numPr>
        <w:rPr>
          <w:rFonts w:ascii="Arial" w:cs="Arial" w:eastAsia="Arial" w:hAnsi="Arial"/>
          <w:sz w:val="11"/>
          <w:szCs w:val="11"/>
          <w:color w:val="auto"/>
        </w:rPr>
      </w:pPr>
      <w:r>
        <w:rPr>
          <w:rFonts w:ascii="Arial" w:cs="Arial" w:eastAsia="Arial" w:hAnsi="Arial"/>
          <w:sz w:val="11"/>
          <w:szCs w:val="11"/>
          <w:color w:val="auto"/>
        </w:rPr>
        <w:t>Footnotes included in the graphic above: (a) Includes relapsed/refractory angioimmunoblastic T-cell lymphoma, or AITL, and relapsed/refractory mature B cell NHL; (b) PDUFA date of June 5, 2026; and (c) Phase 1/2 combination clinical trials with palbociclib, atirmociclib, abemaciclib, ribociclib, samuraciclib, everolimus.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Clinical Stage Programs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ARV-102: Oral PROTAC LRRK2 Degrader Program</w:t>
      </w:r>
    </w:p>
    <w:p>
      <w:pPr>
        <w:spacing w:after="0" w:line="94"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ARV-102 is an investigational, orally bioavailable PROTAC designed to cross the blood-brain barrier and specifically target and degrade LRRK2, which is a large, multi-domain scaffolding kinase with GTPase activity. ARV-102 is our first oral PROTAC protein degrader in clinical development to treat neurodegenerative diseases.</w:t>
      </w:r>
    </w:p>
    <w:p>
      <w:pPr>
        <w:spacing w:after="0" w:line="3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4"/>
          <w:szCs w:val="14"/>
          <w:color w:val="auto"/>
        </w:rPr>
        <w:t>Traditional SMIs only block LRRK2’s kinase activity, and thus only modify disease processes regulated by the LRRK2 kinase. By degrading the entire protein, LRRK2 degraders are designed to eliminate all of the ways LRRK2 interacts with disease pathology: the scaffolding function, GTPase activity, as well as kinase activity. We believe our LRRK2 degraders are particularly well positioned to be evaluated in neurodegenerative diseases where there are currently no disease modifying therapies available, including:</w:t>
      </w:r>
    </w:p>
    <w:p>
      <w:pPr>
        <w:spacing w:after="0" w:line="49" w:lineRule="exact"/>
        <w:rPr>
          <w:sz w:val="20"/>
          <w:szCs w:val="20"/>
          <w:color w:val="auto"/>
        </w:rPr>
      </w:pPr>
    </w:p>
    <w:p>
      <w:pPr>
        <w:ind w:left="760" w:hanging="246"/>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PD, where increased LRRK2 expression and activity contributes to neurodegeneration and pathogenesis of PD; and</w:t>
      </w:r>
    </w:p>
    <w:p>
      <w:pPr>
        <w:spacing w:after="0" w:line="93"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PSP, where genetic variations in LRRK2 are associated with PSP progression and accelerated time to death. PSP is a primary tau-driven disease, and tau uptake by human neurons requires LRRK2 activity. Additionally, we have published data associating the tau pathology of PSP with LRRK2-mediated endolysosomal dysfunction.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6"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4"/>
          <w:szCs w:val="14"/>
          <w:b w:val="1"/>
          <w:bCs w:val="1"/>
          <w:i w:val="1"/>
          <w:iCs w:val="1"/>
          <w:color w:val="auto"/>
        </w:rPr>
        <w:t>Patient Population and Market Opportunity</w:t>
      </w:r>
    </w:p>
    <w:p>
      <w:pPr>
        <w:spacing w:after="0" w:line="187" w:lineRule="exact"/>
        <w:rPr>
          <w:sz w:val="20"/>
          <w:szCs w:val="20"/>
          <w:color w:val="auto"/>
        </w:rPr>
      </w:pPr>
    </w:p>
    <w:p>
      <w:pPr>
        <w:ind w:firstLine="509"/>
        <w:spacing w:after="0" w:line="244" w:lineRule="auto"/>
        <w:rPr>
          <w:sz w:val="20"/>
          <w:szCs w:val="20"/>
          <w:color w:val="auto"/>
        </w:rPr>
      </w:pPr>
      <w:r>
        <w:rPr>
          <w:rFonts w:ascii="Arial" w:cs="Arial" w:eastAsia="Arial" w:hAnsi="Arial"/>
          <w:sz w:val="14"/>
          <w:szCs w:val="14"/>
          <w:color w:val="auto"/>
        </w:rPr>
        <w:t>PD is the second most common neurodegenerative disease after Alzheimer's disease. It is estimated that PD affects approximately 1.1 million people in the U.S. and more than 10 million people worldwide. Approximately 90,000 people in the U.S. are estimated to be diagnosed with PD each year. PD is a neurodegenerative disease characterized by a complex array of motor and non-motor symptoms. It is commonly thought of as a movement disorder because patients can experience tremors, slowness of movement, stiffness and difficulty with walking and balance. In addition, PD patients can have other non-motor type problems such as constipation, depression, sleep disorders and cognitive decline. PD is a progressive brain disorder that damages dopamine-producing neurons and is likely caused by a combination of genetic and environmental risk factors. Current management for PD is limited to symptomatic interventions and there is no approved disease modifying agents.</w:t>
      </w:r>
    </w:p>
    <w:p>
      <w:pPr>
        <w:spacing w:after="0" w:line="153"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Mutations in the LRRK2 gene are one of the most common genetic risk factors for PD. LRRK2 is a multidomain GTPase/kinase that acts, in part, as a scaffolding protein to interact with components of downstream signaling pathways regulating lysosomal function, mitochondrial processes, neuroinflammation and alpha-synuclein accumulation to negatively impact neuronal survival. Human genetics in the form of a protective PD variant (N551K/R1398H), produces approximately half the levels of LRRK2 in the CSF and reduces the risk of developing PD. Preclinical animal model data suggest that a reduction of 50% of LRRK2 protein, but not kinase inhibition, may impact pathology and dysfunction in PD. Therefore, reduction of LRRK2 in the brain may be beneficial for the treatment of PD.</w:t>
      </w:r>
    </w:p>
    <w:p>
      <w:pPr>
        <w:spacing w:after="0" w:line="140"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PSP is a rare, progressive neurodegenerative disease that affects brain cells that control balance and coordination, eye movement, speech, swallowing and thinking. Emerging research suggests that LRRK2 plays a role in PSP by contributing to disease mechanisms such as neuroinflammation and cellular dysfunction. LRRK2 is involved in immune system regulation and may influence tau protein accumulation, a hallmark of PSP. It also plays a role in autophagy and inflammation, which could contribute to neurodegeneration seen in PSP. Additionally, variants in the LRRK2 gene have been associated with PSP progression and survival. PSP has an estimated annual prevalence of approximately five to seven per 100,000 persons globally. It is estimated that approximately 20,000 to 25,000 people are in the U.S. living with PSP each year, based on data from 2023. There are currently no FDA-approved disease-modifying therapies that halt or delay PSP progression and which often leads to patients progressing with a time to death of five to seven years following diagnosis. Based on 2021 published data, genome wide association studies have identified LRRK2 variants that are significantly associated with reduced survival in PSP. Based on data from a third party study in 2025 comparing PSP and control participants, higher levels of baseline monocyte LRRK2 levels were associated with a greater one-year change in PSP rating scale scores. We believe these data support a role for LRRK2 variants that impact its expression levels in modulating survival in PSP.</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Preclinical and Clinical Development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Preclinical Development</w:t>
      </w:r>
    </w:p>
    <w:p>
      <w:pPr>
        <w:spacing w:after="0" w:line="92"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 xml:space="preserve">In preclinical studies, ARV-102 was shown to cross the blood-brain barrier and degrade LRRK2 in cerebrospinal fluid, or CSF, in non-human primates, or NHPs. Our preclinical studies also showed that ARV-102 and other similar LRRK2 PROTAC degrader molecules pharmacologically enhanced lysosomal degradative capacity and number, and reduced pathologic forms of tau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We believe the data from our preclinical studies of ARV-102 further support the potential of PROTAC-induced LRRK2 degradation as a treatment for patients with neurodegenerative diseases.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Clinical Development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been evaluating ARV-102 in Phase 1 clinical trials in healthy volunteers and patients with PD.</w:t>
      </w:r>
    </w:p>
    <w:p>
      <w:pPr>
        <w:spacing w:after="0" w:line="94" w:lineRule="exact"/>
        <w:rPr>
          <w:sz w:val="20"/>
          <w:szCs w:val="20"/>
          <w:color w:val="auto"/>
        </w:rPr>
      </w:pPr>
    </w:p>
    <w:p>
      <w:pPr>
        <w:ind w:left="760" w:right="120" w:hanging="246"/>
        <w:spacing w:after="0" w:line="290"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Healthy Volunteers</w:t>
      </w:r>
      <w:r>
        <w:rPr>
          <w:rFonts w:ascii="Arial" w:cs="Arial" w:eastAsia="Arial" w:hAnsi="Arial"/>
          <w:sz w:val="14"/>
          <w:szCs w:val="14"/>
          <w:color w:val="auto"/>
        </w:rPr>
        <w:t>: We initiated the first-in-human Phase 1 clinical trial for ARV-102 in the first quarter of 2024. We completed the single ascending dose, or SAD, and</w:t>
      </w:r>
      <w:r>
        <w:rPr>
          <w:rFonts w:ascii="Arial" w:cs="Arial" w:eastAsia="Arial" w:hAnsi="Arial"/>
          <w:sz w:val="14"/>
          <w:szCs w:val="14"/>
          <w:i w:val="1"/>
          <w:iCs w:val="1"/>
          <w:color w:val="auto"/>
        </w:rPr>
        <w:t xml:space="preserve"> </w:t>
      </w:r>
      <w:r>
        <w:rPr>
          <w:rFonts w:ascii="Arial" w:cs="Arial" w:eastAsia="Arial" w:hAnsi="Arial"/>
          <w:sz w:val="14"/>
          <w:szCs w:val="14"/>
          <w:color w:val="auto"/>
        </w:rPr>
        <w:t>multiple ascending dose, or MAD, cohorts of the ARV-102 Phase 1 clinical trial in healthy volunteers.</w:t>
      </w:r>
    </w:p>
    <w:p>
      <w:pPr>
        <w:spacing w:after="0" w:line="35" w:lineRule="exact"/>
        <w:rPr>
          <w:rFonts w:ascii="Arial" w:cs="Arial" w:eastAsia="Arial" w:hAnsi="Arial"/>
          <w:sz w:val="14"/>
          <w:szCs w:val="14"/>
          <w:color w:val="auto"/>
        </w:rPr>
      </w:pPr>
    </w:p>
    <w:p>
      <w:pPr>
        <w:ind w:left="760" w:right="420" w:hanging="246"/>
        <w:spacing w:after="0" w:line="290"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Patients with PD</w:t>
      </w:r>
      <w:r>
        <w:rPr>
          <w:rFonts w:ascii="Arial" w:cs="Arial" w:eastAsia="Arial" w:hAnsi="Arial"/>
          <w:sz w:val="14"/>
          <w:szCs w:val="14"/>
          <w:color w:val="auto"/>
        </w:rPr>
        <w:t>: We completed enrollment in the SAD cohort of the ARV-102 Phase 1 clinical trial in patients with PD in the second quarter of 2025. We received</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Trial Application approval in the Netherlands to initiate a multiple dose cohort of the Phase 1 clinical trial in patients with PD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4" w:name="page15"/>
    <w:bookmarkEnd w:id="14"/>
    <w:p>
      <w:pPr>
        <w:ind w:left="760" w:right="80"/>
        <w:spacing w:after="0" w:line="290" w:lineRule="auto"/>
        <w:rPr>
          <w:sz w:val="20"/>
          <w:szCs w:val="20"/>
          <w:color w:val="auto"/>
        </w:rPr>
      </w:pPr>
      <w:r>
        <w:rPr>
          <w:rFonts w:ascii="Arial" w:cs="Arial" w:eastAsia="Arial" w:hAnsi="Arial"/>
          <w:sz w:val="14"/>
          <w:szCs w:val="14"/>
          <w:color w:val="auto"/>
        </w:rPr>
        <w:t>the second quarter of 2025, and we initiated this multiple dose cohort in the third quarter of 2025. In the fourth quarter of 2025, we completed enrollment in the multiple dose cohort.</w:t>
      </w:r>
    </w:p>
    <w:p>
      <w:pPr>
        <w:spacing w:after="0" w:line="12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the second quarter of 2025, we presented data from the first-in-human Phase 1 healthy volunteer clinical trial of ARV-102 at the 2025 International Conference on Alzheimer’s and Parkinson’s Diseases, or AD/PD, 2025, including results from the randomized, double-blind, placebo-controlled SAD cohort, and initial results from the MAD cohort. The ARV-102 Phase 1 clinical trial was designed to assess the safety, PK, and pharmacodynamics of orally administered ARV-102 in healthy male volunteers. This clinical trial was a single-center, randomized, double-blind, placebo-controlled trial evaluating outcomes in both SAD and MAD cohorts. In the SAD cohort, volunteers were randomized three to one, to either placebo or a single dose of ARV-102 (10 mg, 30 mg, 60 mg, 90 mg, 150 mg, or 200 mg) on day 1 with follow-up until day 10. In the MAD cohort, volunteers were randomized to either placebo or a once daily dose of ARV-102 (10 mg, 20 mg, 40 mg, or 80 mg) for 14 days with follow-up until day 28.</w:t>
      </w:r>
    </w:p>
    <w:p>
      <w:pPr>
        <w:spacing w:after="0" w:line="163" w:lineRule="exact"/>
        <w:rPr>
          <w:sz w:val="20"/>
          <w:szCs w:val="20"/>
          <w:color w:val="auto"/>
        </w:rPr>
      </w:pPr>
    </w:p>
    <w:p>
      <w:pPr>
        <w:ind w:right="60" w:firstLine="509"/>
        <w:spacing w:after="0" w:line="263" w:lineRule="auto"/>
        <w:rPr>
          <w:sz w:val="20"/>
          <w:szCs w:val="20"/>
          <w:color w:val="auto"/>
        </w:rPr>
      </w:pPr>
      <w:r>
        <w:rPr>
          <w:rFonts w:ascii="Arial" w:cs="Arial" w:eastAsia="Arial" w:hAnsi="Arial"/>
          <w:sz w:val="14"/>
          <w:szCs w:val="14"/>
          <w:color w:val="auto"/>
        </w:rPr>
        <w:t>The ARV-102 Phase 1 clinical data in healthy volunteers demonstrated substantial reduction of LRRK2 in CSF with a promising safety/tolerability profile and favorable pharmacodynamic outcomes. Key findings from the clinical trial indicated brain penetration, substantial central and peripheral LRRK2 protein degradation, and downstream LRRK2 pathway engagement. The specific data presented at AD/PD 2025 are outlined below.</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Safety Profile</w:t>
      </w:r>
    </w:p>
    <w:p>
      <w:pPr>
        <w:spacing w:after="0" w:line="92" w:lineRule="exact"/>
        <w:rPr>
          <w:sz w:val="20"/>
          <w:szCs w:val="20"/>
          <w:color w:val="auto"/>
        </w:rPr>
      </w:pPr>
    </w:p>
    <w:p>
      <w:pPr>
        <w:ind w:left="760" w:right="260" w:hanging="246"/>
        <w:spacing w:after="0" w:line="290"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the time of data cutoff (March 13, 2025), the SAD cohort of the Phase 1 clinical trial was completed and the MAD cohort was ongoing. Based on evaluation of the available data from single and multiple oral doses, ARV-102 was well tolerated in healthy volunteers.</w:t>
      </w:r>
    </w:p>
    <w:p>
      <w:pPr>
        <w:spacing w:after="0" w:line="35" w:lineRule="exact"/>
        <w:rPr>
          <w:rFonts w:ascii="Arial" w:cs="Arial" w:eastAsia="Arial" w:hAnsi="Arial"/>
          <w:sz w:val="14"/>
          <w:szCs w:val="14"/>
          <w:color w:val="auto"/>
        </w:rPr>
      </w:pPr>
    </w:p>
    <w:p>
      <w:pPr>
        <w:ind w:left="760" w:right="220" w:hanging="246"/>
        <w:spacing w:after="0" w:line="271"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the 47 volunteers across all SAD dose levels, the primary treatment related adverse events, or AEs, were headache and fatigue. Headaches occurred in 17.1% (6/35) of treated individuals compared to 0% (0/12) in placebo controls. Fatigue occurred in 8.6% (3/35) of the treated individuals compared to 25% (3/12) in placebo controls.</w:t>
      </w:r>
    </w:p>
    <w:p>
      <w:pPr>
        <w:spacing w:after="0" w:line="48" w:lineRule="exact"/>
        <w:rPr>
          <w:rFonts w:ascii="Arial" w:cs="Arial" w:eastAsia="Arial" w:hAnsi="Arial"/>
          <w:sz w:val="14"/>
          <w:szCs w:val="14"/>
          <w:color w:val="auto"/>
        </w:rPr>
      </w:pPr>
    </w:p>
    <w:p>
      <w:pPr>
        <w:ind w:left="760" w:right="480" w:hanging="246"/>
        <w:spacing w:after="0" w:line="290"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Procedural pain associated with the lumbar puncture occurred in 28.6% (10/35) of treated individuals compared to 41.7% (5/12) in placebo controls. Post lumbar puncture syndrome was only observed in the treated cohort, at a rate of 17.1% (6/35).</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serious adverse events, or SAEs, were reported in either the SAD or MAD cohorts.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ARV-102 Exposure in Plasma and CSF</w:t>
      </w:r>
    </w:p>
    <w:p>
      <w:pPr>
        <w:spacing w:after="0" w:line="92" w:lineRule="exact"/>
        <w:rPr>
          <w:sz w:val="20"/>
          <w:szCs w:val="20"/>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ARV-102 exhibited median maximum concentration six hours after oral administration.</w:t>
      </w:r>
    </w:p>
    <w:p>
      <w:pPr>
        <w:spacing w:after="0" w:line="93" w:lineRule="exact"/>
        <w:rPr>
          <w:rFonts w:ascii="Arial" w:cs="Arial" w:eastAsia="Arial" w:hAnsi="Arial"/>
          <w:sz w:val="14"/>
          <w:szCs w:val="14"/>
          <w:color w:val="auto"/>
        </w:rPr>
      </w:pPr>
    </w:p>
    <w:p>
      <w:pPr>
        <w:ind w:left="760" w:right="140" w:hanging="246"/>
        <w:spacing w:after="0" w:line="290"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area under the concentration-time curve in the first 24 hours post dosing and the maximum plasma concentration increased in a dose-dependent manner and the median terminal plasma half-life was 73 hours.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ARV-102 levels in CSF increased in a dose dependent manner in both the SAD and MAD cohorts.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Pharmacodynamic Evaluation</w:t>
      </w:r>
    </w:p>
    <w:p>
      <w:pPr>
        <w:spacing w:after="0" w:line="92" w:lineRule="exact"/>
        <w:rPr>
          <w:sz w:val="20"/>
          <w:szCs w:val="20"/>
          <w:color w:val="auto"/>
        </w:rPr>
      </w:pPr>
    </w:p>
    <w:p>
      <w:pPr>
        <w:ind w:left="760" w:right="400" w:hanging="246"/>
        <w:spacing w:after="0" w:line="290"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 single doses of greater than or equal to 60 mg and repeated doses of greater than or equal to 20 mg, LRRK2 reduction of greater than 90% in peripheral blood mononuclear cells was observed.</w:t>
      </w:r>
    </w:p>
    <w:p>
      <w:pPr>
        <w:spacing w:after="0" w:line="35" w:lineRule="exact"/>
        <w:rPr>
          <w:rFonts w:ascii="Arial" w:cs="Arial" w:eastAsia="Arial" w:hAnsi="Arial"/>
          <w:sz w:val="14"/>
          <w:szCs w:val="14"/>
          <w:color w:val="auto"/>
        </w:rPr>
      </w:pPr>
    </w:p>
    <w:p>
      <w:pPr>
        <w:ind w:left="760" w:right="180" w:hanging="246"/>
        <w:spacing w:after="0" w:line="290"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ARV-102 at single doses of greater than or equal to 30 mg induced greater than 50% decreases in peripheral phospho-Rab10T73, a LRRK2 substrate and biomarker for downstream LRRK2 activity; as of the date of presentation, data for this endpoint in the MAD cohort was pending.</w:t>
      </w:r>
    </w:p>
    <w:p>
      <w:pPr>
        <w:spacing w:after="0" w:line="35" w:lineRule="exact"/>
        <w:rPr>
          <w:rFonts w:ascii="Arial" w:cs="Arial" w:eastAsia="Arial" w:hAnsi="Arial"/>
          <w:sz w:val="14"/>
          <w:szCs w:val="14"/>
          <w:color w:val="auto"/>
        </w:rPr>
      </w:pPr>
    </w:p>
    <w:p>
      <w:pPr>
        <w:ind w:left="760" w:right="40" w:hanging="246"/>
        <w:spacing w:after="0" w:line="290"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ARV-102 at single doses of greater than or equal to 30 mg resulted in greater than 90% decrease of bis(monoacylglycerol)phosphate in urine, a biomarker of lysosomal function; data for this endpoint in the MAD cohort is pending.</w:t>
      </w:r>
    </w:p>
    <w:p>
      <w:pPr>
        <w:spacing w:after="0" w:line="35" w:lineRule="exact"/>
        <w:rPr>
          <w:rFonts w:ascii="Arial" w:cs="Arial" w:eastAsia="Arial" w:hAnsi="Arial"/>
          <w:sz w:val="14"/>
          <w:szCs w:val="14"/>
          <w:color w:val="auto"/>
        </w:rPr>
      </w:pPr>
    </w:p>
    <w:p>
      <w:pPr>
        <w:ind w:left="760" w:right="200" w:hanging="246"/>
        <w:spacing w:after="0" w:line="290"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CSF, ARV-102 induced dose-dependent LRRK2 reduction, with greater than 50% LRRK2 reduction at single doses of greater than or equal to 60 mg and repeated doses of greater than or equal to 20 mg.</w:t>
      </w:r>
    </w:p>
    <w:p>
      <w:pPr>
        <w:spacing w:after="0" w:line="141" w:lineRule="exact"/>
        <w:rPr>
          <w:sz w:val="20"/>
          <w:szCs w:val="20"/>
          <w:color w:val="auto"/>
        </w:rPr>
      </w:pPr>
    </w:p>
    <w:p>
      <w:pPr>
        <w:ind w:right="400" w:firstLine="509"/>
        <w:spacing w:after="0" w:line="274" w:lineRule="auto"/>
        <w:rPr>
          <w:sz w:val="20"/>
          <w:szCs w:val="20"/>
          <w:color w:val="auto"/>
        </w:rPr>
      </w:pPr>
      <w:r>
        <w:rPr>
          <w:rFonts w:ascii="Arial" w:cs="Arial" w:eastAsia="Arial" w:hAnsi="Arial"/>
          <w:sz w:val="14"/>
          <w:szCs w:val="14"/>
          <w:color w:val="auto"/>
        </w:rPr>
        <w:t>In the fourth quarter of 2025, we presented late breaking positive Phase 1 data from our clinical trial of ARV-102 in healthy volunteers, and from the SAD cohort of our Phase 1 clinical trial of ARV-102 in patients with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5" w:name="page16"/>
    <w:bookmarkEnd w:id="15"/>
    <w:p>
      <w:pPr>
        <w:ind w:right="420"/>
        <w:spacing w:after="0" w:line="274" w:lineRule="auto"/>
        <w:rPr>
          <w:sz w:val="20"/>
          <w:szCs w:val="20"/>
          <w:color w:val="auto"/>
        </w:rPr>
      </w:pPr>
      <w:r>
        <w:rPr>
          <w:rFonts w:ascii="Arial" w:cs="Arial" w:eastAsia="Arial" w:hAnsi="Arial"/>
          <w:sz w:val="14"/>
          <w:szCs w:val="14"/>
          <w:color w:val="auto"/>
        </w:rPr>
        <w:t>PD, as well as CSF Proteomic Data from the Phase 1 clinical trial of ARV-102 in healthy volunteers at the 2025 International Congress of Parkinson’s Disease and Movement Disorders, or MDS. Data presented at MDS included the following:</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Data from the Phase 1 SAD and MAD Clinical Trial in Healthy Volunteers</w:t>
      </w:r>
    </w:p>
    <w:p>
      <w:pPr>
        <w:spacing w:after="0" w:line="272" w:lineRule="exact"/>
        <w:rPr>
          <w:sz w:val="20"/>
          <w:szCs w:val="20"/>
          <w:color w:val="auto"/>
        </w:rPr>
      </w:pPr>
    </w:p>
    <w:p>
      <w:pPr>
        <w:ind w:left="760" w:hanging="246"/>
        <w:spacing w:after="0" w:line="290"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Safety: ARV-102 was generally well tolerated at single doses up to 200 mg and multiple daily doses up to 80 mg, with no discontinuations due to AEs or SAEs observed in the study population.</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Pharmacokinetics: ARV-102 exposure increased in a dose-dependent manner in plasma and CSF, the latter indicating brain penetration.</w:t>
      </w:r>
    </w:p>
    <w:p>
      <w:pPr>
        <w:spacing w:after="0" w:line="93" w:lineRule="exact"/>
        <w:rPr>
          <w:rFonts w:ascii="Arial" w:cs="Arial" w:eastAsia="Arial" w:hAnsi="Arial"/>
          <w:sz w:val="14"/>
          <w:szCs w:val="14"/>
          <w:color w:val="auto"/>
        </w:rPr>
      </w:pPr>
    </w:p>
    <w:p>
      <w:pPr>
        <w:ind w:left="760" w:right="20" w:hanging="246"/>
        <w:spacing w:after="0" w:line="290"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Pharmacodynamics: Repeated daily doses of greater than or equal to 20 mg resulted in greater than 90% reductions of LRRK2 protein in peripheral blood mononuclear cells, or PBMCs, and greater than 50% reductions in CSF.</w:t>
      </w:r>
    </w:p>
    <w:p>
      <w:pPr>
        <w:spacing w:after="0" w:line="35" w:lineRule="exact"/>
        <w:rPr>
          <w:rFonts w:ascii="Arial" w:cs="Arial" w:eastAsia="Arial" w:hAnsi="Arial"/>
          <w:sz w:val="14"/>
          <w:szCs w:val="14"/>
          <w:color w:val="auto"/>
        </w:rPr>
      </w:pPr>
    </w:p>
    <w:p>
      <w:pPr>
        <w:ind w:left="760" w:right="1120" w:hanging="246"/>
        <w:spacing w:after="0" w:line="290"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Pathway Biomarkers: Repeated daily doses of ARV-102 resulted in reduced plasma concentrations of phospho-Rab10T73 and urine concentrations of bis(monoacylglycerol)phosphate, a sensitive biomarker for modulation of the lysosomal pathway downstream of LRRK2.</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Interim SAD Data from the Phase 1 Clinical Trial in Patients with PD and CSF Proteomic Data from a Phase 1 Trial in Healthy Volunteers</w:t>
      </w:r>
    </w:p>
    <w:p>
      <w:pPr>
        <w:spacing w:after="0" w:line="272" w:lineRule="exact"/>
        <w:rPr>
          <w:sz w:val="20"/>
          <w:szCs w:val="20"/>
          <w:color w:val="auto"/>
        </w:rPr>
      </w:pPr>
    </w:p>
    <w:p>
      <w:pPr>
        <w:ind w:left="760" w:right="60" w:hanging="246"/>
        <w:spacing w:after="0" w:line="290"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Safety: The SAD cohort of the Phase 1 clinical trial in patients with PD included 15 patients treated with ARV-102 and 4 patients treated with placebo. In the trial, single doses of ARV-102 (50 mg or 200 mg) were well tolerated with only mild treatment-related AEs including headache, diarrhea, and nausea; no SAEs occurred.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Pharmacokinetics: In patients with PD, ARV-102 exposure increased in a dose-dependent manner in both plasma and CSF, the latter indicating brain penetration.</w:t>
      </w:r>
    </w:p>
    <w:p>
      <w:pPr>
        <w:spacing w:after="0" w:line="93" w:lineRule="exact"/>
        <w:rPr>
          <w:rFonts w:ascii="Arial" w:cs="Arial" w:eastAsia="Arial" w:hAnsi="Arial"/>
          <w:sz w:val="14"/>
          <w:szCs w:val="14"/>
          <w:color w:val="auto"/>
        </w:rPr>
      </w:pPr>
    </w:p>
    <w:p>
      <w:pPr>
        <w:ind w:left="760" w:right="220" w:hanging="246"/>
        <w:spacing w:after="0" w:line="290"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Pharmacodynamics: In patients with PD, treatment with ARV-102 resulted in median PBMC LRRK2 protein reductions of 86% with the 50 mg dose and 97% with the 200 mg dose.</w:t>
      </w:r>
    </w:p>
    <w:p>
      <w:pPr>
        <w:spacing w:after="0" w:line="35" w:lineRule="exact"/>
        <w:rPr>
          <w:rFonts w:ascii="Arial" w:cs="Arial" w:eastAsia="Arial" w:hAnsi="Arial"/>
          <w:sz w:val="14"/>
          <w:szCs w:val="14"/>
          <w:color w:val="auto"/>
        </w:rPr>
      </w:pPr>
    </w:p>
    <w:p>
      <w:pPr>
        <w:ind w:left="760" w:right="280" w:hanging="246"/>
        <w:spacing w:after="0" w:line="290"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CSF Proteomics: In healthy volunteers treated with ARV-102 at 80 mg once daily for 14 days, unbiased proteomic analyses of CSF showed significant decreases in lysosomal pathway markers and neuroinflammatory microglial markers previously shown to be elevated in patients with PD harboring LRRK2 variants.</w:t>
      </w:r>
    </w:p>
    <w:p>
      <w:pPr>
        <w:spacing w:after="0" w:line="141" w:lineRule="exact"/>
        <w:rPr>
          <w:sz w:val="20"/>
          <w:szCs w:val="20"/>
          <w:color w:val="auto"/>
        </w:rPr>
      </w:pPr>
    </w:p>
    <w:p>
      <w:pPr>
        <w:ind w:right="60" w:firstLine="509"/>
        <w:spacing w:after="0" w:line="263" w:lineRule="auto"/>
        <w:rPr>
          <w:sz w:val="20"/>
          <w:szCs w:val="20"/>
          <w:color w:val="auto"/>
        </w:rPr>
      </w:pPr>
      <w:r>
        <w:rPr>
          <w:rFonts w:ascii="Arial" w:cs="Arial" w:eastAsia="Arial" w:hAnsi="Arial"/>
          <w:sz w:val="14"/>
          <w:szCs w:val="14"/>
          <w:color w:val="auto"/>
        </w:rPr>
        <w:t>We believe these data presented at MDS highlight the potential of PROTAC-mediated LRRK2 degradation, which supports the development of ARV-102 in ongoing studies of patients with PD and we plan to present data from the multiple dose cohort of the Phase 1 clinical trial of ARV-102 in patients with PD in the first quarter of 2026 in an oral presentation at 2026 AD/PD.</w:t>
      </w:r>
    </w:p>
    <w:p>
      <w:pPr>
        <w:spacing w:after="0" w:line="150"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We also believe these data support development in PSP, and pending regulatory feedback, we plan to initiate a Phase 1b clinical trial of ARV-102 in patients with PSP in the first half of 2026 and have the potential to initiate a registrational trial of ARV-102 in PSP in late 2026, pending regulatory feedback.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ARV-806: Novel PROTAC KRAS G12D Degrader Program</w:t>
      </w:r>
    </w:p>
    <w:p>
      <w:pPr>
        <w:spacing w:after="0" w:line="83" w:lineRule="exact"/>
        <w:rPr>
          <w:sz w:val="20"/>
          <w:szCs w:val="20"/>
          <w:color w:val="auto"/>
        </w:rPr>
      </w:pPr>
    </w:p>
    <w:p>
      <w:pPr>
        <w:ind w:right="140" w:firstLine="509"/>
        <w:spacing w:after="0" w:line="263" w:lineRule="auto"/>
        <w:rPr>
          <w:sz w:val="20"/>
          <w:szCs w:val="20"/>
          <w:color w:val="auto"/>
        </w:rPr>
      </w:pPr>
      <w:r>
        <w:rPr>
          <w:rFonts w:ascii="Arial" w:cs="Arial" w:eastAsia="Arial" w:hAnsi="Arial"/>
          <w:sz w:val="14"/>
          <w:szCs w:val="14"/>
          <w:color w:val="auto"/>
        </w:rPr>
        <w:t>ARV-806 is an investigational novel PROTAC designed to selectively target and degrade mutant KRAS G12D in solid tumors. KRAS is one of the most frequently mutated human oncogenes and G12D is the most common mutation of the KRAS protein. In normal cells, the KRAS protein regulates cell growth and functions as</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a molecular switch, cycling between a baseline “OFF” state and only turning “ON” when conditions are appropriate for growth. Mutations, including G12D, lock KRAS in the “ON” form, leading to uncontrolled cell growth and cancer. ARV-806 is designed to degrade both the ON and OFF forms of KRAS G12D and by removing this oncogenic protein, has the potential to shut down the constitutive growth signal and lead to death of the cancer cells. We believe ARV-806 has the potential to address high unmet need in solid tumors, such as pancreatic, colorectal and non-small cell lung cancer, or NSCLC, with KRAS G12D mutation.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16" w:name="page17"/>
    <w:bookmarkEnd w:id="16"/>
    <w:p>
      <w:pPr>
        <w:ind w:left="160"/>
        <w:spacing w:after="0"/>
        <w:rPr>
          <w:sz w:val="20"/>
          <w:szCs w:val="20"/>
          <w:color w:val="auto"/>
        </w:rPr>
      </w:pPr>
      <w:r>
        <w:rPr>
          <w:rFonts w:ascii="Arial" w:cs="Arial" w:eastAsia="Arial" w:hAnsi="Arial"/>
          <w:sz w:val="14"/>
          <w:szCs w:val="14"/>
          <w:b w:val="1"/>
          <w:bCs w:val="1"/>
          <w:i w:val="1"/>
          <w:iCs w:val="1"/>
          <w:color w:val="auto"/>
        </w:rPr>
        <w:t>Patient Population and Market Opportunity</w:t>
      </w:r>
    </w:p>
    <w:p>
      <w:pPr>
        <w:spacing w:after="0" w:line="81"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Patients with metastatic cancers harboring KRAS G12D mutations have poor survival outcomes with no approved KRAS G12D-targeted therapy. Key tumors harboring KRAS G12D mutations include pancreatic ductal adenocarcinoma, or PDAC, colorectal carcinoma, and NSCLC with respective prevalence of KRAS G12D mutations of 35-40% for PDAC, 12-15% for colorectal carcinoma and 3-4% for NSCLC, based on published data from 2021 and 2022.</w:t>
      </w:r>
    </w:p>
    <w:p>
      <w:pPr>
        <w:spacing w:after="0" w:line="155" w:lineRule="exact"/>
        <w:rPr>
          <w:sz w:val="20"/>
          <w:szCs w:val="20"/>
          <w:color w:val="auto"/>
        </w:rPr>
      </w:pPr>
    </w:p>
    <w:p>
      <w:pPr>
        <w:ind w:right="80" w:firstLine="509"/>
        <w:spacing w:after="0" w:line="254" w:lineRule="auto"/>
        <w:rPr>
          <w:sz w:val="20"/>
          <w:szCs w:val="20"/>
          <w:color w:val="auto"/>
        </w:rPr>
      </w:pPr>
      <w:r>
        <w:rPr>
          <w:rFonts w:ascii="Arial" w:cs="Arial" w:eastAsia="Arial" w:hAnsi="Arial"/>
          <w:sz w:val="14"/>
          <w:szCs w:val="14"/>
          <w:color w:val="auto"/>
        </w:rPr>
        <w:t>There are approximately 60,000 newly diagnosed PDAC patients per year in the U.S., based on 2026 estimates, with only an approximate 3% five-year survival rate in metastatic setting, based on data from the Surveillance, Epidemiology, and End Results, or SEER, Program, part of the National Cancer Institute. There are approximately 158,000 newly diagnosed colorectal cancer patients each year in the U.S., based on 2026 estimates, with only an approximate 16% five-year survival rate in metastatic setting, based on data from SEER. There are approximately 195,000 newly diagnosed NSCLC patients per year in the U.S., based on 2026 estimates, with only an approximate 10% five year survival rate in metastatic setting, based on data from SEER, as reported for combined NSCLC and small-cell lung cancer.</w:t>
      </w:r>
    </w:p>
    <w:p>
      <w:pPr>
        <w:spacing w:after="0" w:line="156" w:lineRule="exact"/>
        <w:rPr>
          <w:sz w:val="20"/>
          <w:szCs w:val="20"/>
          <w:color w:val="auto"/>
        </w:rPr>
      </w:pPr>
    </w:p>
    <w:p>
      <w:pPr>
        <w:ind w:firstLine="509"/>
        <w:spacing w:after="0" w:line="274" w:lineRule="auto"/>
        <w:rPr>
          <w:sz w:val="20"/>
          <w:szCs w:val="20"/>
          <w:color w:val="auto"/>
        </w:rPr>
      </w:pPr>
      <w:r>
        <w:rPr>
          <w:rFonts w:ascii="Arial" w:cs="Arial" w:eastAsia="Arial" w:hAnsi="Arial"/>
          <w:sz w:val="14"/>
          <w:szCs w:val="14"/>
          <w:color w:val="auto"/>
        </w:rPr>
        <w:t>Due to the high unmet need of these patient populations, we believe ARV-806 has the potential to be developed as a monotherapy and in combination with chemotherapy in PDAC and in combination with SOC treatments in colorectal and non-small cell lung cancer.</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Preclinical and Clinical Development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Preclinical Development</w:t>
      </w:r>
    </w:p>
    <w:p>
      <w:pPr>
        <w:spacing w:after="0" w:line="261"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 xml:space="preserve">In the preclinical setting, ARV-806 demonstrated high potency and selectivity, with robust antitumor activity through dose-responsive degradation of KRAS G12D in KRAS G12D mutated cancer models, including pancreatic and colorectal models. ARV-806 formed a ternary complex with both the active "ON" and inactive "OFF" forms of KRAS G12D, achieving potent and durable elimination rather than inhibition of the target. As a result, in preclinical studies, ARV-806 achieved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potency more than 25 times greater than clinical stage KRAS G12D "ON" and "OFF" inhibitors and more than 40 times greater than the leading KRAS G12D clinical-stage degrader.</w:t>
      </w:r>
    </w:p>
    <w:p>
      <w:pPr>
        <w:spacing w:after="0" w:line="223"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In the fourth quarter of 2025, we presented preclinical data for ARV-806 at the AACR-NCI-EORTC International Conference on Molecular Targets and Cancer Therapeutics, or the 2025 Triple Meeting. Key highlights from the presentation at the 2025 Triple Meeting include the following:</w:t>
      </w:r>
    </w:p>
    <w:p>
      <w:pPr>
        <w:spacing w:after="0" w:line="35" w:lineRule="exact"/>
        <w:rPr>
          <w:sz w:val="20"/>
          <w:szCs w:val="20"/>
          <w:color w:val="auto"/>
        </w:rPr>
      </w:pPr>
    </w:p>
    <w:p>
      <w:pPr>
        <w:ind w:left="760" w:right="260" w:hanging="246"/>
        <w:spacing w:after="0" w:line="290"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vitro, ARV-806 degraded KRAS G12D with picomolar potency across pancreatic, colorectal, and lung cancer cell lines, but did not induce degradation of wild-type KRAS or other RAS isoforms.</w:t>
      </w:r>
    </w:p>
    <w:p>
      <w:pPr>
        <w:spacing w:after="0" w:line="35" w:lineRule="exact"/>
        <w:rPr>
          <w:rFonts w:ascii="Arial" w:cs="Arial" w:eastAsia="Arial" w:hAnsi="Arial"/>
          <w:sz w:val="14"/>
          <w:szCs w:val="14"/>
          <w:color w:val="auto"/>
        </w:rPr>
      </w:pPr>
    </w:p>
    <w:p>
      <w:pPr>
        <w:ind w:left="760" w:right="40" w:hanging="246"/>
        <w:spacing w:after="0" w:line="290"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preclinical data demonstrated that ARV-806 is differentiated from other KRAS G12D targeting agents in development and we believe ARV-806 has potential to be a best-in-class therapy for KRAS G12D mutated cancers due to:</w:t>
      </w:r>
    </w:p>
    <w:p>
      <w:pPr>
        <w:spacing w:after="0" w:line="35" w:lineRule="exact"/>
        <w:rPr>
          <w:rFonts w:ascii="Arial" w:cs="Arial" w:eastAsia="Arial" w:hAnsi="Arial"/>
          <w:sz w:val="14"/>
          <w:szCs w:val="14"/>
          <w:color w:val="auto"/>
        </w:rPr>
      </w:pPr>
    </w:p>
    <w:p>
      <w:pPr>
        <w:ind w:left="1280" w:hanging="257"/>
        <w:spacing w:after="0"/>
        <w:tabs>
          <w:tab w:leader="none" w:pos="12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Catalytic activity, which may allow it to overcome upregulation of KRAS G12D, a common mechanism of resistance to inhibitor treatment.</w:t>
      </w:r>
    </w:p>
    <w:p>
      <w:pPr>
        <w:spacing w:after="0" w:line="93" w:lineRule="exact"/>
        <w:rPr>
          <w:rFonts w:ascii="Arial" w:cs="Arial" w:eastAsia="Arial" w:hAnsi="Arial"/>
          <w:sz w:val="14"/>
          <w:szCs w:val="14"/>
          <w:color w:val="auto"/>
        </w:rPr>
      </w:pPr>
    </w:p>
    <w:p>
      <w:pPr>
        <w:ind w:left="1280" w:hanging="257"/>
        <w:spacing w:after="0"/>
        <w:tabs>
          <w:tab w:leader="none" w:pos="12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Compared with clinical-stage KRAS G12D ON and OFF inhibitors and another clinical-stage KRAS G12D degrader, ARV-806 demonstrated:</w:t>
      </w:r>
    </w:p>
    <w:p>
      <w:pPr>
        <w:spacing w:after="0" w:line="93" w:lineRule="exact"/>
        <w:rPr>
          <w:rFonts w:ascii="Arial" w:cs="Arial" w:eastAsia="Arial" w:hAnsi="Arial"/>
          <w:sz w:val="14"/>
          <w:szCs w:val="14"/>
          <w:color w:val="auto"/>
        </w:rPr>
      </w:pPr>
    </w:p>
    <w:p>
      <w:pPr>
        <w:ind w:left="1780" w:hanging="247"/>
        <w:spacing w:after="0"/>
        <w:tabs>
          <w:tab w:leader="none" w:pos="1780" w:val="left"/>
        </w:tabs>
        <w:numPr>
          <w:ilvl w:val="2"/>
          <w:numId w:val="20"/>
        </w:numPr>
        <w:rPr>
          <w:rFonts w:ascii="Arial" w:cs="Arial" w:eastAsia="Arial" w:hAnsi="Arial"/>
          <w:sz w:val="14"/>
          <w:szCs w:val="14"/>
          <w:color w:val="auto"/>
        </w:rPr>
      </w:pPr>
      <w:r>
        <w:rPr>
          <w:rFonts w:ascii="Arial" w:cs="Arial" w:eastAsia="Arial" w:hAnsi="Arial"/>
          <w:sz w:val="14"/>
          <w:szCs w:val="14"/>
          <w:color w:val="auto"/>
        </w:rPr>
        <w:t>more than 25-fold greater potency in reducing cancer cell proliferation (versus clinical-stage KRAS G12D “ON” and “OFF” inhibitors);</w:t>
      </w:r>
    </w:p>
    <w:p>
      <w:pPr>
        <w:spacing w:after="0" w:line="93" w:lineRule="exact"/>
        <w:rPr>
          <w:rFonts w:ascii="Arial" w:cs="Arial" w:eastAsia="Arial" w:hAnsi="Arial"/>
          <w:sz w:val="14"/>
          <w:szCs w:val="14"/>
          <w:color w:val="auto"/>
        </w:rPr>
      </w:pPr>
    </w:p>
    <w:p>
      <w:pPr>
        <w:ind w:left="1780" w:hanging="247"/>
        <w:spacing w:after="0"/>
        <w:tabs>
          <w:tab w:leader="none" w:pos="1780" w:val="left"/>
        </w:tabs>
        <w:numPr>
          <w:ilvl w:val="2"/>
          <w:numId w:val="20"/>
        </w:numPr>
        <w:rPr>
          <w:rFonts w:ascii="Arial" w:cs="Arial" w:eastAsia="Arial" w:hAnsi="Arial"/>
          <w:sz w:val="14"/>
          <w:szCs w:val="14"/>
          <w:color w:val="auto"/>
        </w:rPr>
      </w:pPr>
      <w:r>
        <w:rPr>
          <w:rFonts w:ascii="Arial" w:cs="Arial" w:eastAsia="Arial" w:hAnsi="Arial"/>
          <w:sz w:val="14"/>
          <w:szCs w:val="14"/>
          <w:color w:val="auto"/>
        </w:rPr>
        <w:t>more than 40-fold greater potency in degrading KRAS G12D protein (versus the comparable clinical-stage KRAS G12D degrader); and</w:t>
      </w:r>
    </w:p>
    <w:p>
      <w:pPr>
        <w:spacing w:after="0" w:line="93" w:lineRule="exact"/>
        <w:rPr>
          <w:rFonts w:ascii="Arial" w:cs="Arial" w:eastAsia="Arial" w:hAnsi="Arial"/>
          <w:sz w:val="14"/>
          <w:szCs w:val="14"/>
          <w:color w:val="auto"/>
        </w:rPr>
      </w:pPr>
    </w:p>
    <w:p>
      <w:pPr>
        <w:ind w:left="1780" w:hanging="247"/>
        <w:spacing w:after="0"/>
        <w:tabs>
          <w:tab w:leader="none" w:pos="1780" w:val="left"/>
        </w:tabs>
        <w:numPr>
          <w:ilvl w:val="2"/>
          <w:numId w:val="20"/>
        </w:numPr>
        <w:rPr>
          <w:rFonts w:ascii="Arial" w:cs="Arial" w:eastAsia="Arial" w:hAnsi="Arial"/>
          <w:sz w:val="14"/>
          <w:szCs w:val="14"/>
          <w:color w:val="auto"/>
        </w:rPr>
      </w:pPr>
      <w:r>
        <w:rPr>
          <w:rFonts w:ascii="Arial" w:cs="Arial" w:eastAsia="Arial" w:hAnsi="Arial"/>
          <w:sz w:val="14"/>
          <w:szCs w:val="14"/>
          <w:color w:val="auto"/>
        </w:rPr>
        <w:t>more than 10-fold lower concentrations required to induce pro-apoptotic BIM (Bcl-2-interacting mediator of cell death, a pro-apoptotic factor) expression.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7" w:name="page18"/>
    <w:bookmarkEnd w:id="17"/>
    <w:p>
      <w:pPr>
        <w:ind w:left="760" w:right="740" w:hanging="246"/>
        <w:spacing w:after="0" w:line="290"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Following a single intravenous dose in a colorectal tumor xenograft model, ARV-806 degraded greater than 90% of KRAS G12D for seven days, with parallel suppression of c-MYC (a key driver of cancer cell proliferation) and induction of BIM for greater than or equal to five days.</w:t>
      </w:r>
    </w:p>
    <w:p>
      <w:pPr>
        <w:spacing w:after="0" w:line="35" w:lineRule="exact"/>
        <w:rPr>
          <w:rFonts w:ascii="Arial" w:cs="Arial" w:eastAsia="Arial" w:hAnsi="Arial"/>
          <w:sz w:val="14"/>
          <w:szCs w:val="14"/>
          <w:color w:val="auto"/>
        </w:rPr>
      </w:pPr>
    </w:p>
    <w:p>
      <w:pPr>
        <w:ind w:left="760" w:right="120" w:hanging="246"/>
        <w:spacing w:after="0" w:line="290"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ARV-806 demonstrated robust efficacy responses at low doses in tumor models including: ≥30% tumor volume reductions in pancreatic and colorectal cell line-derived xenograft (CDX) models and a patient-derived xenograft (PDX) model of lung cancer.</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preclinical data demonstrate sustained pharmacodynamic activity consistent with long-lasting target degradation, which we believe supports intermittent clinical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dosing.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Clinical Development</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4"/>
          <w:szCs w:val="14"/>
          <w:color w:val="auto"/>
        </w:rPr>
        <w:t>We filed an investigational new drug application, or IND,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w:t>
      </w:r>
    </w:p>
    <w:p>
      <w:pPr>
        <w:spacing w:after="0" w:line="150" w:lineRule="exact"/>
        <w:rPr>
          <w:sz w:val="20"/>
          <w:szCs w:val="20"/>
          <w:color w:val="auto"/>
        </w:rPr>
      </w:pPr>
    </w:p>
    <w:p>
      <w:pPr>
        <w:ind w:right="60" w:firstLine="509"/>
        <w:spacing w:after="0" w:line="263" w:lineRule="auto"/>
        <w:rPr>
          <w:sz w:val="20"/>
          <w:szCs w:val="20"/>
          <w:color w:val="auto"/>
        </w:rPr>
      </w:pPr>
      <w:r>
        <w:rPr>
          <w:rFonts w:ascii="Arial" w:cs="Arial" w:eastAsia="Arial" w:hAnsi="Arial"/>
          <w:sz w:val="14"/>
          <w:szCs w:val="14"/>
          <w:color w:val="auto"/>
        </w:rPr>
        <w:t>In the first quarter of 2026, we announced that we had completed dose escalation for once-weekly administration ahead of plan based on faster-than-anticipated enrollment of the Phase 1 clinical trial evaluating ARV-806 in patients with solid tumors harboring KRAS G12D mutations. We plan to continue enrollment in this clinical trial and anticipate sharing initial clinical data in patients with solid tumors harboring KRAS G12D mutations in 2026.</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ARV-393: Oral PROTAC BCL6 Degrader Program</w:t>
      </w:r>
    </w:p>
    <w:p>
      <w:pPr>
        <w:spacing w:after="0" w:line="9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ARV-393 is an investigational, orally bioavailable PROTAC designed to specifically target and degrade BCL6, a transcriptional repressor and a key regulator of normal B-cell maturation and differentiation processes. Deregulation of BCL6 function (e.g., via chromosomal translocation, mutations) may lead to malignant transformation and development of NHL. Also as a lineage defining transcription factor of T-follicular helper cells, BCL6 has been implicated in nodal T-follicular helper cell lymphoma, or nTFHL, including the angioimmunoblastic type, formerly angioimmunoblastic T-cell lymphoma, or AITL.</w:t>
      </w:r>
    </w:p>
    <w:p>
      <w:pPr>
        <w:spacing w:after="0" w:line="5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During B-cell development, tightly controlled BCL6 protein expression regulates more than 600 genes to facilitate rapid B-cell proliferation and tolerance of somatic hypermutation and gene recombination for antibody generation. Deregulated BCL6 expression is common in B-cell lymphoma and promotes cancer cell survival, proliferation, and genomic instability. We believe that PROTAC-mediated degradation has the potential to address the historically undruggable nature of BCL6 and that ARV-393 PROTAC-mediated degradation of BCL6 may provide an important novel therapeutic option for patients with NHL. Furthermore, we believe current preclinical data suggest that ARV-393 has the potential to be an attractive combination partner for development of novel therapies for lymphoma, including chemo-free combination regimens and/or “all oral” treatment options.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Patient Population and Market Opportunity</w:t>
      </w:r>
    </w:p>
    <w:p>
      <w:pPr>
        <w:spacing w:after="0" w:line="9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It is estimated that there were approximately 80,000 new cases and approximately 19,300 deaths in the U.S. related to NHL annually in 2025 based on data from SEER. NHL is a heterogeneous group of diseases, with large B-cell lymphoma, or LBCL, and follicular lymphoma, or FL, being the most common subtypes. Diffuse large B-cell lymphoma, or DLBCL, is another subtype of NHL, often associated with deregulated BCL6 expression and/or functions. It is estimated that approximately 30,000 to 33,000 patients are diagnosed with DLBCL each year in the U.S., based on data from 2025 and 2026. Treatment for DLBCL is largely devoid of oral options and there are currently no approved BCL6-targeted therapies on the market in the U.S.</w:t>
      </w:r>
    </w:p>
    <w:p>
      <w:pPr>
        <w:spacing w:after="0" w:line="182" w:lineRule="exact"/>
        <w:rPr>
          <w:sz w:val="20"/>
          <w:szCs w:val="20"/>
          <w:color w:val="auto"/>
        </w:rPr>
      </w:pPr>
    </w:p>
    <w:p>
      <w:pPr>
        <w:ind w:right="160" w:firstLine="170"/>
        <w:spacing w:after="0" w:line="271" w:lineRule="auto"/>
        <w:rPr>
          <w:sz w:val="20"/>
          <w:szCs w:val="20"/>
          <w:color w:val="auto"/>
        </w:rPr>
      </w:pPr>
      <w:r>
        <w:rPr>
          <w:rFonts w:ascii="Arial" w:cs="Arial" w:eastAsia="Arial" w:hAnsi="Arial"/>
          <w:sz w:val="14"/>
          <w:szCs w:val="14"/>
          <w:color w:val="auto"/>
        </w:rPr>
        <w:t>Each subtype has a distinct biologic and clinical characteristics and requires different approaches to treatment. Despite significant progress made with treating B-cell NHL and nTFHL, many patients will ultimately experience disease progression or relapse. Thus, there remains unmet need, including managing aggressive subtypes, treatment resistance, and improving outcomes for older patients.</w:t>
      </w:r>
    </w:p>
    <w:p>
      <w:pPr>
        <w:spacing w:after="0" w:line="28" w:lineRule="exact"/>
        <w:rPr>
          <w:sz w:val="20"/>
          <w:szCs w:val="20"/>
          <w:color w:val="auto"/>
        </w:rPr>
      </w:pPr>
    </w:p>
    <w:p>
      <w:pPr>
        <w:ind w:right="120" w:firstLine="509"/>
        <w:spacing w:after="0" w:line="274" w:lineRule="auto"/>
        <w:rPr>
          <w:sz w:val="20"/>
          <w:szCs w:val="20"/>
          <w:color w:val="auto"/>
        </w:rPr>
      </w:pPr>
      <w:r>
        <w:rPr>
          <w:rFonts w:ascii="Arial" w:cs="Arial" w:eastAsia="Arial" w:hAnsi="Arial"/>
          <w:sz w:val="14"/>
          <w:szCs w:val="14"/>
          <w:color w:val="auto"/>
        </w:rPr>
        <w:t>We believe our PROTAC BCL6 degrader could be a potential therapy for many NHLs, including FL and nTFHL (formerly AITL). NHL originates from B cells, T cells, and/or natural killer cells, with those of B-cell origin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ind w:right="220"/>
        <w:spacing w:after="0" w:line="274" w:lineRule="auto"/>
        <w:rPr>
          <w:sz w:val="20"/>
          <w:szCs w:val="20"/>
          <w:color w:val="auto"/>
        </w:rPr>
      </w:pPr>
      <w:r>
        <w:rPr>
          <w:rFonts w:ascii="Arial" w:cs="Arial" w:eastAsia="Arial" w:hAnsi="Arial"/>
          <w:sz w:val="14"/>
          <w:szCs w:val="14"/>
          <w:color w:val="auto"/>
        </w:rPr>
        <w:t>constituting approximately 80%–85% of all NHL cases. BCL6 may also be a clinically relevant therapeutic target in other hematologic malignancies, some solid tumors and B-cell driven autoimmune diseases.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Preclinical and Clinical Development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Preclinical Development</w:t>
      </w:r>
    </w:p>
    <w:p>
      <w:pPr>
        <w:spacing w:after="0" w:line="9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Based on our NHL preclinical studies, complete tumor stasis, which correlates with 90%-100% degradation of measurable BCL6, was achieved when ARV-393 was dosed as an oral monotherapy at low daily concentrations. This robust activity was seen in models of multiple NHL subtypes including multiple DLBCLs representing various genomic backgrounds of activated B-cell and germinal center B-cell lymphomas, Burkitt's lymphoma, and transformed FLs. In addition, ARV-393 significantly reduced tumor burden in a CHOP-relapsed patient derived xenograft, or PDX, model of AITL (now known as nTFHL), a cancer that has no standard of care, or SOC, and high unmet need. This is the first demonstration, to our knowledge, of preclinical evidence of BCL6 as a tractable therapeutic target in a human-derived model of this type. In our preclinical studies, we have also demonstrated that ARV-393 combines well with SOC therapies including CHOP, R-CHOP or rituximab, and with the newer biologics glofitamab, tafasitamab, and the antibody drug conjugates loncastuximab tesirine and polatuzumab vedotin. This potential for broad combinability extends further to investigational SMIs that target BCL2 (anti-apoptosis), EZH2 (chromatin regulation) and BTK (B-cell receptor signaling pathway). Combinations such as these that target multiple oncogenic drivers, have the potential to provide benefits for patients with lymphomas that progress aggressively with the acquisition of multiple genetic or epigenetic aberrations.</w:t>
      </w:r>
    </w:p>
    <w:p>
      <w:pPr>
        <w:spacing w:after="0" w:line="146"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In the second quarter of 2024, we presented preclinical data for ARV-393 at the European Hematology Association 2024 Annual Congress, which showed anti-tumor activity in preclinical models of B-cell lymphoma. In these preclinical models, ARV-393 potently and rapidly degraded the BCL6 protein and inhibited cell growth in DLBCL and Burkitt cell lines. ARV-393 showed tumor growth inhibition, or TGI, including tumor regression, in various DLBCL cell line-derived xenograft models and in multiple patient-derived xenograft models of NHL including germinal center B-cell-like, or GCB, activated B-cell, or ABC, GCB/ABC, and BCL not otherwise specified subtypes of DLBCL, and Burkitt lymphoma.</w:t>
      </w:r>
    </w:p>
    <w:p>
      <w:pPr>
        <w:spacing w:after="0" w:line="13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In the second quarter of 2025, we presented preclinical data of ARV-393 in combination with SOC chemotherapy and biologic agents, as well as oral, investigational SMIs in high grade and aggressive DLBCL in vivo models at the American Association for Cancer Research, or AACR, Annual Meeting. Based on these preclinical data, in aggressive DLBCL models, ARV-393 showed strong synergistic antitumor activity, including complete regressions, in combination with SOC chemotherapy and biologics, as well as investigational oral SMIs. In particular:</w:t>
      </w:r>
    </w:p>
    <w:p>
      <w:pPr>
        <w:spacing w:after="0" w:line="244" w:lineRule="exact"/>
        <w:rPr>
          <w:sz w:val="20"/>
          <w:szCs w:val="20"/>
          <w:color w:val="auto"/>
        </w:rPr>
      </w:pPr>
    </w:p>
    <w:p>
      <w:pPr>
        <w:jc w:val="both"/>
        <w:ind w:left="760" w:right="280" w:hanging="246"/>
        <w:spacing w:after="0" w:line="290"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ARV-393 in combination with SOC chemotherapy (rituximab, cyclophosphamide, doxorubicin, vincristine, and prednisone, or R-CHOP), induced significantly greater TGI, compared with rituximab, CHOP, R-CHOP, or ARV-393 alone, with complete tumor regressions in all mice treated with the ARV-393 and R-CHOP combination;</w:t>
      </w:r>
    </w:p>
    <w:p>
      <w:pPr>
        <w:spacing w:after="0" w:line="35" w:lineRule="exact"/>
        <w:rPr>
          <w:rFonts w:ascii="Arial" w:cs="Arial" w:eastAsia="Arial" w:hAnsi="Arial"/>
          <w:sz w:val="14"/>
          <w:szCs w:val="14"/>
          <w:color w:val="auto"/>
        </w:rPr>
      </w:pPr>
    </w:p>
    <w:p>
      <w:pPr>
        <w:ind w:left="760" w:right="480" w:hanging="246"/>
        <w:spacing w:after="0" w:line="290"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ARV-393 in combination with SOC biologics targeting CD20 (rituximab), CD19 (tafasitamab), or CD79b (polatuzumab vedotin), resulted in tumor regressions and demonstrated significantly stronger TGI compared with either agent alone;</w:t>
      </w:r>
    </w:p>
    <w:p>
      <w:pPr>
        <w:spacing w:after="0" w:line="35" w:lineRule="exact"/>
        <w:rPr>
          <w:rFonts w:ascii="Arial" w:cs="Arial" w:eastAsia="Arial" w:hAnsi="Arial"/>
          <w:sz w:val="14"/>
          <w:szCs w:val="14"/>
          <w:color w:val="auto"/>
        </w:rPr>
      </w:pPr>
    </w:p>
    <w:p>
      <w:pPr>
        <w:ind w:left="760" w:right="420" w:hanging="246"/>
        <w:spacing w:after="0" w:line="290"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preclinical models, ARV-393 increased CD20 expression, providing additional support for the exploration of combinations with CD20-targeted agents and in the context of low or loss of CD20 expression; and</w:t>
      </w:r>
    </w:p>
    <w:p>
      <w:pPr>
        <w:spacing w:after="0" w:line="35" w:lineRule="exact"/>
        <w:rPr>
          <w:rFonts w:ascii="Arial" w:cs="Arial" w:eastAsia="Arial" w:hAnsi="Arial"/>
          <w:sz w:val="14"/>
          <w:szCs w:val="14"/>
          <w:color w:val="auto"/>
        </w:rPr>
      </w:pPr>
    </w:p>
    <w:p>
      <w:pPr>
        <w:ind w:left="760" w:right="400" w:hanging="246"/>
        <w:spacing w:after="0" w:line="290"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ARV-393 in combination with investigational SMIs targeting clinically validated oncogenic drivers of lymphoma, such as BTK (acalabrutinib), BCL2 (venetoclax), or EZH2 (tazemetostat), resulted in superior TGI compared with each agent alone, with tumor regressions in all mice treated with the combinations.</w:t>
      </w:r>
    </w:p>
    <w:p>
      <w:pPr>
        <w:spacing w:after="0" w:line="141" w:lineRule="exact"/>
        <w:rPr>
          <w:sz w:val="20"/>
          <w:szCs w:val="20"/>
          <w:color w:val="auto"/>
        </w:rPr>
      </w:pPr>
    </w:p>
    <w:p>
      <w:pPr>
        <w:jc w:val="both"/>
        <w:ind w:right="260" w:firstLine="509"/>
        <w:spacing w:after="0" w:line="254" w:lineRule="auto"/>
        <w:rPr>
          <w:sz w:val="20"/>
          <w:szCs w:val="20"/>
          <w:color w:val="auto"/>
        </w:rPr>
      </w:pPr>
      <w:r>
        <w:rPr>
          <w:rFonts w:ascii="Arial" w:cs="Arial" w:eastAsia="Arial" w:hAnsi="Arial"/>
          <w:sz w:val="14"/>
          <w:szCs w:val="14"/>
          <w:color w:val="auto"/>
        </w:rPr>
        <w:t>In addition, in the second quarter of 2025, we presented new data from preclinical studies of ARV-393 at the European Hematology Association 2025 Congress in Milan, Italy. In these preclinical studies, ARV-393 demonstrated significant single-agent activity in a PDX, model of nodal T-follicular helper cell lymphoma, angioimmunoblastic-type, or nTFHL-AI (which is also known and referred to as AITL), and PDX models of transformed follicular lymphoma, or tFL. In addition, in these preclinical studies, in combination with oral SMIs,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9" w:name="page20"/>
    <w:bookmarkEnd w:id="19"/>
    <w:p>
      <w:pPr>
        <w:ind w:right="40"/>
        <w:spacing w:after="0" w:line="263" w:lineRule="auto"/>
        <w:rPr>
          <w:sz w:val="20"/>
          <w:szCs w:val="20"/>
          <w:color w:val="auto"/>
        </w:rPr>
      </w:pPr>
      <w:r>
        <w:rPr>
          <w:rFonts w:ascii="Arial" w:cs="Arial" w:eastAsia="Arial" w:hAnsi="Arial"/>
          <w:sz w:val="14"/>
          <w:szCs w:val="14"/>
          <w:color w:val="auto"/>
        </w:rPr>
        <w:t>ARV-393 demonstrated enhanced antitumor activity, including tumor regressions, in cell line-derived xenograft, or CDX, models of high-grade B-cell lymphoma, or HGBCL, and DLBCL. We believe these preclinical data potentially suggest the broad utility of ARV-393 across NHL subtypes with unmet need beyond DLBCL and provide a compelling rationale for considering combination strategies including chemotherapy-free approaches. Key findings from these preclinical studies included:</w:t>
      </w:r>
    </w:p>
    <w:p>
      <w:pPr>
        <w:spacing w:after="0" w:line="235" w:lineRule="exact"/>
        <w:rPr>
          <w:sz w:val="20"/>
          <w:szCs w:val="20"/>
          <w:color w:val="auto"/>
        </w:rPr>
      </w:pPr>
    </w:p>
    <w:p>
      <w:pPr>
        <w:ind w:left="760" w:right="240" w:hanging="246"/>
        <w:spacing w:after="0" w:line="290"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Single-agent ARV-393 significantly reduced tumor burden in peripheral blood, bone marrow and spleen in a systemic PDX model of nTFHL-AI derived from a patient who relapsed post chemotherapy.</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ARV-393 monotherapy treatment resulted in robust (≥95%) TGI in two PDX models of tFL.</w:t>
      </w:r>
    </w:p>
    <w:p>
      <w:pPr>
        <w:spacing w:after="0" w:line="93" w:lineRule="exact"/>
        <w:rPr>
          <w:rFonts w:ascii="Arial" w:cs="Arial" w:eastAsia="Arial" w:hAnsi="Arial"/>
          <w:sz w:val="14"/>
          <w:szCs w:val="14"/>
          <w:color w:val="auto"/>
        </w:rPr>
      </w:pPr>
    </w:p>
    <w:p>
      <w:pPr>
        <w:ind w:left="760" w:right="80" w:hanging="246"/>
        <w:spacing w:after="0" w:line="271"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ARV-393 in combination with five classes of SMIs targeting potentially cooperative oncogenic drivers (tazemetostat, palbociclib, everolimus, acalabrutinib, or venetoclax) demonstrated increased TGI in CDX models of HGBCL and aggressive DLBCL compared with the respective monotherapy treatments. Tumor regressions were observed when ARV-393 was combined with tazemetostat, palbociclib, acalabrutinib, or venetoclax.</w:t>
      </w:r>
    </w:p>
    <w:p>
      <w:pPr>
        <w:spacing w:after="0" w:line="48" w:lineRule="exact"/>
        <w:rPr>
          <w:rFonts w:ascii="Arial" w:cs="Arial" w:eastAsia="Arial" w:hAnsi="Arial"/>
          <w:sz w:val="14"/>
          <w:szCs w:val="14"/>
          <w:color w:val="auto"/>
        </w:rPr>
      </w:pPr>
    </w:p>
    <w:p>
      <w:pPr>
        <w:ind w:left="760" w:right="560" w:hanging="246"/>
        <w:spacing w:after="0" w:line="290"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RNA sequencing studies carried out to further characterize downstream mechanism of action suggested that ARV-393 inhibits tumor cell cycle progression and promotes differentiation, driving antitumor activity and broad combinability in preclinical models.</w:t>
      </w:r>
    </w:p>
    <w:p>
      <w:pPr>
        <w:spacing w:after="0" w:line="141" w:lineRule="exact"/>
        <w:rPr>
          <w:sz w:val="20"/>
          <w:szCs w:val="20"/>
          <w:color w:val="auto"/>
        </w:rPr>
      </w:pPr>
    </w:p>
    <w:p>
      <w:pPr>
        <w:ind w:right="160" w:firstLine="509"/>
        <w:spacing w:after="0" w:line="274" w:lineRule="auto"/>
        <w:rPr>
          <w:sz w:val="20"/>
          <w:szCs w:val="20"/>
          <w:color w:val="auto"/>
        </w:rPr>
      </w:pPr>
      <w:r>
        <w:rPr>
          <w:rFonts w:ascii="Arial" w:cs="Arial" w:eastAsia="Arial" w:hAnsi="Arial"/>
          <w:sz w:val="14"/>
          <w:szCs w:val="14"/>
          <w:color w:val="auto"/>
        </w:rPr>
        <w:t>In the fourth quarter of 2025, we presented preclinical data for ARV-393 in combination with glofitamab, a CD20xCD3 bispecific antibody and an emerging SOC option for DLBCL, in models of aggressive high grade DLBCL at the 67th American Society of Hematology 2025 Annual Meeting and Exposition.</w:t>
      </w:r>
    </w:p>
    <w:p>
      <w:pPr>
        <w:spacing w:after="0" w:line="152" w:lineRule="exact"/>
        <w:rPr>
          <w:sz w:val="20"/>
          <w:szCs w:val="20"/>
          <w:color w:val="auto"/>
        </w:rPr>
      </w:pPr>
    </w:p>
    <w:p>
      <w:pPr>
        <w:ind w:right="540" w:firstLine="509"/>
        <w:spacing w:after="0" w:line="255" w:lineRule="auto"/>
        <w:rPr>
          <w:sz w:val="20"/>
          <w:szCs w:val="20"/>
          <w:color w:val="auto"/>
        </w:rPr>
      </w:pPr>
      <w:r>
        <w:rPr>
          <w:rFonts w:ascii="Arial" w:cs="Arial" w:eastAsia="Arial" w:hAnsi="Arial"/>
          <w:sz w:val="14"/>
          <w:szCs w:val="14"/>
          <w:color w:val="auto"/>
        </w:rPr>
        <w:t>These preclinical data showed that in a humanized high-grade B-cell lymphoma, or HGBCL, CDX model, the combination of ARV-393 and glofitamab resulted in significantly enhanced TGI and increased rates of tumor regression compared with either agent alone. These preclinical data suggest mechanistic synergies between BCL6 degradation with ARV-393 and T-cell engagement.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Specifically, key highlights from the poster presentation included the following:</w:t>
      </w:r>
    </w:p>
    <w:p>
      <w:pPr>
        <w:spacing w:after="0" w:line="274" w:lineRule="exact"/>
        <w:rPr>
          <w:sz w:val="20"/>
          <w:szCs w:val="20"/>
          <w:color w:val="auto"/>
        </w:rPr>
      </w:pPr>
    </w:p>
    <w:p>
      <w:pPr>
        <w:ind w:left="760" w:right="580" w:hanging="246"/>
        <w:spacing w:after="0" w:line="290"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 humanized HGBCL CDX model, ARV-393 (3 mg/kg) combined with glofitamab (0.15 mg/kg) achieved 81% TGI with concomitant dosing and 91% TGI with sequential dosing (ARV-393 followed by glofitamab), versus 38% for single-agent ARV-393 and 36% for glofitamab alone.</w:t>
      </w:r>
    </w:p>
    <w:p>
      <w:pPr>
        <w:spacing w:after="0" w:line="35" w:lineRule="exact"/>
        <w:rPr>
          <w:rFonts w:ascii="Arial" w:cs="Arial" w:eastAsia="Arial" w:hAnsi="Arial"/>
          <w:sz w:val="14"/>
          <w:szCs w:val="14"/>
          <w:color w:val="auto"/>
        </w:rPr>
      </w:pPr>
    </w:p>
    <w:p>
      <w:pPr>
        <w:ind w:left="760" w:right="360" w:hanging="246"/>
        <w:spacing w:after="0" w:line="290"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a higher ARV-393 dose (6 mg/kg) combined with glofitamab (0.15 mg/kg), an increase in tumor regressions was observed with concomitant (10 of 10 mice) and sequential dosing (7 of 8 mice) versus single-agent ARV-393 (5 of 11 mice) or glofitamab (0 of 11 mice).</w:t>
      </w:r>
    </w:p>
    <w:p>
      <w:pPr>
        <w:spacing w:after="0" w:line="35" w:lineRule="exact"/>
        <w:rPr>
          <w:rFonts w:ascii="Arial" w:cs="Arial" w:eastAsia="Arial" w:hAnsi="Arial"/>
          <w:sz w:val="14"/>
          <w:szCs w:val="14"/>
          <w:color w:val="auto"/>
        </w:rPr>
      </w:pPr>
    </w:p>
    <w:p>
      <w:pPr>
        <w:ind w:left="760" w:right="120" w:hanging="246"/>
        <w:spacing w:after="0" w:line="290"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RNA sequencing and biomarker analyses revealed that ARV-393 upregulated CD20 expression and genes that promote interferon signaling and antigen presentation, while downregulating proliferation-associated gene sets. We believe these collective effects likely contributed to the observed synergistic antitumor activity.</w:t>
      </w:r>
    </w:p>
    <w:p>
      <w:pPr>
        <w:spacing w:after="0" w:line="141" w:lineRule="exact"/>
        <w:rPr>
          <w:sz w:val="20"/>
          <w:szCs w:val="20"/>
          <w:color w:val="auto"/>
        </w:rPr>
      </w:pPr>
    </w:p>
    <w:p>
      <w:pPr>
        <w:ind w:right="280" w:firstLine="509"/>
        <w:spacing w:after="0" w:line="274" w:lineRule="auto"/>
        <w:rPr>
          <w:sz w:val="20"/>
          <w:szCs w:val="20"/>
          <w:color w:val="auto"/>
        </w:rPr>
      </w:pPr>
      <w:r>
        <w:rPr>
          <w:rFonts w:ascii="Arial" w:cs="Arial" w:eastAsia="Arial" w:hAnsi="Arial"/>
          <w:sz w:val="14"/>
          <w:szCs w:val="14"/>
          <w:color w:val="auto"/>
        </w:rPr>
        <w:t>We believe the totality of our ARV-393 preclinical data provides a compelling rationale to evaluate ARV-393 in combination with bi-specifics, oral pathway inhibitors, and potentially other SOCs, in the larger DLBCL indication.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Clinical Development</w:t>
      </w:r>
    </w:p>
    <w:p>
      <w:pPr>
        <w:spacing w:after="0" w:line="177"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We initiated the monotherapy cohort of our first-in-human Phase 1 clinical trial of ARV-393 in patients with relapsed or refractory NHL in the second quarter of 2024 and are currently recruiting patients for this clinical trial. This is an open-label, multicenter, Phase 1 dose escalation trial to evaluate the safety, tolerability PK, pharmacodynamics, and preliminary anti-tumor activity of ARV-393 as a single agent in adult patients with relapsed/refractory NHL. We announced previously that there have been multiple responses in early cohorts in both B- and T-cell lymphomas in the first-in-human Phase 1 clinical trial. Dose escalation in the trial is ongoing and the safety profile of ARV-393 supports continuing dose escalation. We also believe these early data support an emerging, and differentiated, therapeutic benefit of ARV-393. We plan to share updated clinical data from the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ongoing Phase 1 clinical trial of ARV-393 in patients with relapsed/refractory NHL at a medical congress in the second half of 2026.</w:t>
      </w:r>
    </w:p>
    <w:p>
      <w:pPr>
        <w:spacing w:after="0" w:line="179" w:lineRule="exact"/>
        <w:rPr>
          <w:sz w:val="20"/>
          <w:szCs w:val="20"/>
          <w:color w:val="auto"/>
        </w:rPr>
      </w:pPr>
    </w:p>
    <w:p>
      <w:pPr>
        <w:ind w:left="520" w:right="520"/>
        <w:spacing w:after="0" w:line="428" w:lineRule="auto"/>
        <w:rPr>
          <w:sz w:val="20"/>
          <w:szCs w:val="20"/>
          <w:color w:val="auto"/>
        </w:rPr>
      </w:pPr>
      <w:r>
        <w:rPr>
          <w:rFonts w:ascii="Arial" w:cs="Arial" w:eastAsia="Arial" w:hAnsi="Arial"/>
          <w:sz w:val="14"/>
          <w:szCs w:val="14"/>
          <w:color w:val="auto"/>
        </w:rPr>
        <w:t xml:space="preserve">We also plan to initiate enrollment of a glofitamab combination cohort in patients with DLBCL in the ongoing Phase 1 clinical trial of ARV-393 in the first half of 2026. </w:t>
      </w:r>
      <w:r>
        <w:rPr>
          <w:rFonts w:ascii="Arial" w:cs="Arial" w:eastAsia="Arial" w:hAnsi="Arial"/>
          <w:sz w:val="14"/>
          <w:szCs w:val="14"/>
          <w:b w:val="1"/>
          <w:bCs w:val="1"/>
          <w:color w:val="auto"/>
        </w:rPr>
        <w:t>ARV-027: Oral PROTAC polyQ-AR Degrader Program</w:t>
      </w:r>
    </w:p>
    <w:p>
      <w:pPr>
        <w:spacing w:after="0" w:line="41" w:lineRule="exact"/>
        <w:rPr>
          <w:sz w:val="20"/>
          <w:szCs w:val="20"/>
          <w:color w:val="auto"/>
        </w:rPr>
      </w:pPr>
    </w:p>
    <w:p>
      <w:pPr>
        <w:ind w:right="360" w:firstLine="509"/>
        <w:spacing w:after="0" w:line="274" w:lineRule="auto"/>
        <w:rPr>
          <w:sz w:val="20"/>
          <w:szCs w:val="20"/>
          <w:color w:val="auto"/>
        </w:rPr>
      </w:pPr>
      <w:r>
        <w:rPr>
          <w:rFonts w:ascii="Arial" w:cs="Arial" w:eastAsia="Arial" w:hAnsi="Arial"/>
          <w:sz w:val="14"/>
          <w:szCs w:val="14"/>
          <w:color w:val="auto"/>
        </w:rPr>
        <w:t>ARV-027 is an investigational, oral, peripherally restricted PROTAC designed to selectively target and eliminate the polyQ-AR in skeletal muscle. ARV-027 is a product candidate specifically selected for potent in vitro reduction of cytosolic and nuclear polyQ-AR and for favorable skeletal muscle exposure following oral administration.</w:t>
      </w:r>
    </w:p>
    <w:p>
      <w:pPr>
        <w:spacing w:after="0" w:line="152" w:lineRule="exact"/>
        <w:rPr>
          <w:sz w:val="20"/>
          <w:szCs w:val="20"/>
          <w:color w:val="auto"/>
        </w:rPr>
      </w:pPr>
    </w:p>
    <w:p>
      <w:pPr>
        <w:ind w:right="200" w:firstLine="509"/>
        <w:spacing w:after="0" w:line="254" w:lineRule="auto"/>
        <w:rPr>
          <w:sz w:val="20"/>
          <w:szCs w:val="20"/>
          <w:color w:val="auto"/>
        </w:rPr>
      </w:pPr>
      <w:r>
        <w:rPr>
          <w:rFonts w:ascii="Arial" w:cs="Arial" w:eastAsia="Arial" w:hAnsi="Arial"/>
          <w:sz w:val="14"/>
          <w:szCs w:val="14"/>
          <w:color w:val="auto"/>
        </w:rPr>
        <w:t>The polyQ-AR protein is the pathogenic driver of spinal bulbar muscular atrophy, or SBMA, a rare, X-linked, genetically defined neuromuscular disease caused by a CAG trinucleotide repeat expansion in the androgen receptor, or AR, gene, causing protein misfolding and leading to progressive degeneration of the neuromuscular system in men. SBMA leads to progressive muscle weakness, dysphagia, and functional decline, and currently has no disease-modifying therapies approved by the FDA or EMA, representing a significant unmet medical need.</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Patient Population and Market Opportunity</w:t>
      </w:r>
    </w:p>
    <w:p>
      <w:pPr>
        <w:spacing w:after="0" w:line="92"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Due to limited disease awareness, historical underdiagnoses, and the absence of approved therapies, few large-scale epidemiologic studies have been conducted in SBMA. Published data estimates suggest that SBMA has an estimated population prevalence of approximately one to two per 100,000 individuals worldwide. Based on those estimated prevalence rates, roughly 3,500 to 7,500 individuals are currently living with SBMA in the U.S.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Preclinical and Clinical Development</w:t>
      </w:r>
    </w:p>
    <w:p>
      <w:pPr>
        <w:spacing w:after="0" w:line="19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4"/>
          <w:szCs w:val="14"/>
          <w:color w:val="auto"/>
        </w:rPr>
        <w:t>In the fourth quarter of 2025 at the International Congress of the World Muscle Society, we presented new preclinical data demonstrating induced robust degradation of polyQ-AR in human myotubes derived from SBMA patient-induced pluripotent stem cells. The preclinical ARV-027 data presented also showed dose-dependent degradation of AR in mouse skeletal muscle that was sustained for more than 24 hours (single oral dose), and reductions in muscle monomeric polyQ-AR levels between 40-60%, improved muscle grip strength, and restored muscle endurance to wild-type levels in SBMA mouse model.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initiated a first-in-human Phase 1 clinical trial in ARV-027 in healthy volunteers in the first quarter of 2026.</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Vepdegestrant: Oral PROTAC ER Degrader Program</w:t>
      </w:r>
    </w:p>
    <w:p>
      <w:pPr>
        <w:spacing w:after="0" w:line="94" w:lineRule="exact"/>
        <w:rPr>
          <w:sz w:val="20"/>
          <w:szCs w:val="20"/>
          <w:color w:val="auto"/>
        </w:rPr>
      </w:pPr>
    </w:p>
    <w:p>
      <w:pPr>
        <w:ind w:right="320" w:firstLine="509"/>
        <w:spacing w:after="0" w:line="271" w:lineRule="auto"/>
        <w:rPr>
          <w:sz w:val="20"/>
          <w:szCs w:val="20"/>
          <w:color w:val="auto"/>
        </w:rPr>
      </w:pPr>
      <w:r>
        <w:rPr>
          <w:rFonts w:ascii="Arial" w:cs="Arial" w:eastAsia="Arial" w:hAnsi="Arial"/>
          <w:sz w:val="14"/>
          <w:szCs w:val="14"/>
          <w:color w:val="auto"/>
        </w:rPr>
        <w:t>Vepdegestrant is an investigational, orally bioavailable PROTAC ER degrader being developed for the treatment of ER+/HER2- locally advanced or metastatic breast cancer. We chose ER degradation as a therapeutic focus given the well-documented biology of ER signaling as a principal driver in a high percentage of breast cancers. In July 2021, we announced a global collaboration with Pfizer for the co-development and co-commercialization of vepdegestrant.</w:t>
      </w:r>
    </w:p>
    <w:p>
      <w:pPr>
        <w:spacing w:after="0" w:line="49"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The FDA has accepted our NDA for vepdegestrant for the treatment of patients with ER+/HER2-, ESR1-mutated advanced or metastatic breast cancer who have previously received endocrine-based therapy, and has assigned a PDUFA date of June 5, 2026.</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Patient Population and Market Opportunity</w:t>
      </w:r>
    </w:p>
    <w:p>
      <w:pPr>
        <w:spacing w:after="0" w:line="92"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Breast cancer is the most commonly diagnosed cancer diagnosed in women in the United States, excluding non-melanoma skin cancers, and the second leading cause of cancer death among women, based on 2026 estimates. Approximately one in eight women in the United States will develop invasive breast cancer in their lifetime. For 2026, the American Cancer Society estimates that there will be approximately 322,000 new cases of invasive breast cancer diagnosed in women in the United States. Approximately 70% of all breast cancer cases, including males, are ER+, based on SEER data. In addition, there are approximately 20,000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patients in the U.S. with ESR1 mutated, ER+/HER2- advanced or metastatic breast cancer in the second line plus setting, based on SEER data from 2023.</w:t>
      </w:r>
    </w:p>
    <w:p>
      <w:pPr>
        <w:spacing w:after="0" w:line="179"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Treatment options for breast cancer depend on many different factors, including the stage of the cancer and whether the cancer cells contain hormone receptors. Patients with locally advanced or metastatic breast cancer are treated with systemic therapy, including hormone therapy, chemotherapy and targeted therapy, either as single-agents or in combination. Patients with locally advanced or metastatic ER+/HER2- breast cancer are often treated with hormone therapy, such as an aromatase inhibitor, typically in combination with targeted drugs such as CDK4/6 inhibitors. In patients with aggressive disease or whose disease continues to progress with a hormonal treatment regimen, chemotherapy may be prescribed. Treatment with chemotherapy is generally postponed for as long as possible due to the potential for severe side effects including neuropathies, nausea, diarrhea, decreased mental capacity and increased risk of infections.</w:t>
      </w:r>
    </w:p>
    <w:p>
      <w:pPr>
        <w:spacing w:after="0" w:line="142"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 current standard of care for patients with ER+/HER2- locally advanced or metastatic breast cancer who experience progression on first-line therapy is fulvestrant, a selective ER degrader, or SERD, administered as a monthly intramuscular injection, either as a single-agent or in combination with another targeted therapy. While fulvestrant has validated the importance of ER degradation as a therapeutic intervention, up to 50% of ER can remain when compared to baseline levels after six months of treatment with fulvestrant, providing an opportunity for more potent ER degraders. In January 2023, the FDA approved elacestrant, a SERD, for postmenopausal women or adult men with ER+/HER2-, ESR1-mutated advanced or metastatic breast cancer with disease progression following at least one line of endocrine therapy. In September 2025, the FDA approved imlunestrant, a SERD, for adults with ER+/HER2-, ESR1 mutated advanced or metastatic breast cancer with disease progression following at least one line of endocrine therapy.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Development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along with Pfizer, have several ongoing clinical trials of vepdegestrant, for which enrollment of patients is complete, which are summarized below.</w:t>
      </w:r>
    </w:p>
    <w:p>
      <w:pPr>
        <w:spacing w:after="0" w:line="94" w:lineRule="exact"/>
        <w:rPr>
          <w:sz w:val="20"/>
          <w:szCs w:val="20"/>
          <w:color w:val="auto"/>
        </w:rPr>
      </w:pPr>
    </w:p>
    <w:p>
      <w:pPr>
        <w:ind w:left="760" w:right="280" w:hanging="246"/>
        <w:spacing w:after="0" w:line="290"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VERITAC-2, a Phase 3 clinical trial of vepdegestrant as a monotherapy, for the treatment of patients with metastatic breast cancer previously treated with endocrine based therapy;</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VERITAC, a Phase 2 dose expansion clinical trial of vepdegestrant as a monotherapy, for the treatment of patients with previously treated metastatic breast cancer;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TACTIVE-K, a Phase 1b/2 clinical trial of vepdegestrant in combination with Pfizer's cyclin-dependent kinase 4, or CDK4, inhibitor, atirmociclib; and</w:t>
      </w:r>
    </w:p>
    <w:p>
      <w:pPr>
        <w:spacing w:after="0" w:line="93" w:lineRule="exact"/>
        <w:rPr>
          <w:rFonts w:ascii="Arial" w:cs="Arial" w:eastAsia="Arial" w:hAnsi="Arial"/>
          <w:sz w:val="14"/>
          <w:szCs w:val="14"/>
          <w:color w:val="auto"/>
        </w:rPr>
      </w:pPr>
    </w:p>
    <w:p>
      <w:pPr>
        <w:ind w:left="760" w:right="780" w:hanging="246"/>
        <w:spacing w:after="0" w:line="290"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TACTIVE-U, a group of Phase 1b/2 clinical trials of vepdegestrant in combination with multiple targeted therapies including abemaciclib, ribociclib or Carrick Therapeutics, Inc.'s, or Carrick, cyclin-dependent kinase 7, or CDK7, inhibitor, samuraciclib.</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along with Pfizer, also have completed two clinical trials of vepdegestrant:</w:t>
      </w:r>
    </w:p>
    <w:p>
      <w:pPr>
        <w:spacing w:after="0" w:line="83" w:lineRule="exact"/>
        <w:rPr>
          <w:sz w:val="20"/>
          <w:szCs w:val="20"/>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TACTIVE-N, a Phase 2 clinical trial of vepdegestrant as a monotherapy in the neoadjuvant setting;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TACTIVE-E, a Phase 1 clinical trial of vepdegestrant in combination with everolimus.</w:t>
      </w:r>
    </w:p>
    <w:p>
      <w:pPr>
        <w:spacing w:after="0" w:line="200"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Additionally, VERITAC-3 a clinical trial with a study lead-in of vepdegestrant in combination with palbociclib for the treatment of patients with first-line metastatic breast cancer, is ongoing and enrollment of patients is complete. As previously disclosed, VERITAC-3 will not proceed beyond the study lead-in.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VERITAC-2 Clinical Trial, New Drug Application</w:t>
      </w:r>
    </w:p>
    <w:p>
      <w:pPr>
        <w:spacing w:after="0" w:line="187" w:lineRule="exact"/>
        <w:rPr>
          <w:sz w:val="20"/>
          <w:szCs w:val="20"/>
          <w:color w:val="auto"/>
        </w:rPr>
      </w:pPr>
    </w:p>
    <w:p>
      <w:pPr>
        <w:ind w:right="40" w:firstLine="509"/>
        <w:spacing w:after="0" w:line="254" w:lineRule="auto"/>
        <w:rPr>
          <w:sz w:val="20"/>
          <w:szCs w:val="20"/>
          <w:color w:val="auto"/>
        </w:rPr>
      </w:pPr>
      <w:r>
        <w:rPr>
          <w:rFonts w:ascii="Arial" w:cs="Arial" w:eastAsia="Arial" w:hAnsi="Arial"/>
          <w:sz w:val="14"/>
          <w:szCs w:val="14"/>
          <w:color w:val="auto"/>
        </w:rPr>
        <w:t>In the first quarter of 2025, we, along with Pfizer, announced positive topline results from the Phase 3 VERITAC-2 clinical trial in the estrogen receptor 1-mutant, or ESR1m, population, and in the second quarter of 2025, we, along with Pfizer announced detailed results from this clinical trial. These detailed results, which are included below, were presented in a late-breaking oral presentation at the American Society of Clinical Oncology, or ASCO, 2025 Annual Meeting and were highlighted in the ASCO press briefing and selected for Best of ASCO, and were also simultaneously published in the New England Journal of Medicine.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2" w:name="page23"/>
    <w:bookmarkEnd w:id="22"/>
    <w:p>
      <w:pPr>
        <w:ind w:right="20"/>
        <w:spacing w:after="0" w:line="263" w:lineRule="auto"/>
        <w:rPr>
          <w:sz w:val="20"/>
          <w:szCs w:val="20"/>
          <w:color w:val="auto"/>
        </w:rPr>
      </w:pPr>
      <w:r>
        <w:rPr>
          <w:rFonts w:ascii="Arial" w:cs="Arial" w:eastAsia="Arial" w:hAnsi="Arial"/>
          <w:sz w:val="14"/>
          <w:szCs w:val="14"/>
          <w:color w:val="auto"/>
        </w:rPr>
        <w:t>Based on the results from VERITAC-2, in the second quarter of 2025, we and Pfizer submitted an NDA to the FDA for vepdegestrant for the treatment of patients with ER+/HER2-ESR1-mutated advanced or metastatic breast cancer previously treated with endocrine-based therapy. This represents the first NDA submitted for a PROTAC. In the third quarter of 2025, we announced that the FDA accepted the NDA for vepdegestrant and assigned a PDUFA date of June 5, 2026.</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Clinical Trial Design</w:t>
      </w:r>
    </w:p>
    <w:p>
      <w:pPr>
        <w:spacing w:after="0" w:line="1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4"/>
          <w:szCs w:val="14"/>
          <w:color w:val="auto"/>
        </w:rPr>
        <w:t>The Phase 3 VERITAC-2 clinical trial is a global randomized study evaluating the efficacy and safety of vepdegestrant as a monotherapy compared to fulvestrant in patients with ER+/HER2- advanced or metastatic breast cancer. The trial enrolled 624 patients at sites in 26 countries who had previously received treatment with a CDK4/6 inhibitor plus endocrine therapy. Patients were randomized to receive either vepdegestrant once daily, orally on a 28-day continuous dosing schedule, or fulvestrant, administered intramuscularly on Days 1 and 15 of Cycle 1 and then on Day 1 of each 28-day cycle starting from Day 1 of Cycle 2. The primary endpoint was progression-free survival, or PFS, in the intent-to-treat, or ITT, and ESR1-m populations as determined by blinded independent central review, or BICR. Overall survival, or OS, was the key secondary endpoint.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Clinical Trial Results</w:t>
      </w:r>
    </w:p>
    <w:p>
      <w:pPr>
        <w:spacing w:after="0" w:line="187" w:lineRule="exact"/>
        <w:rPr>
          <w:sz w:val="20"/>
          <w:szCs w:val="20"/>
          <w:color w:val="auto"/>
        </w:rPr>
      </w:pPr>
    </w:p>
    <w:p>
      <w:pPr>
        <w:ind w:firstLine="509"/>
        <w:spacing w:after="0" w:line="263" w:lineRule="auto"/>
        <w:rPr>
          <w:sz w:val="20"/>
          <w:szCs w:val="20"/>
          <w:color w:val="auto"/>
        </w:rPr>
      </w:pPr>
      <w:r>
        <w:rPr>
          <w:rFonts w:ascii="Arial" w:cs="Arial" w:eastAsia="Arial" w:hAnsi="Arial"/>
          <w:sz w:val="14"/>
          <w:szCs w:val="14"/>
          <w:color w:val="auto"/>
        </w:rPr>
        <w:t>The Phase 3 VERITAC-2 trial met its primary endpoint in the ESR1m population, demonstrating a statistically significant and clinically meaningful improvement in PFS compared to fulvestrant. The results exceeded the pre-specified target hazard ratio of 0.60 in the ESR1m population. The trial did not reach statistical significance in improvement in PFS in the ITT population.</w:t>
      </w:r>
    </w:p>
    <w:p>
      <w:pPr>
        <w:spacing w:after="0" w:line="150"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OS was not mature at the time of the analysis of data, with less than a quarter of the required number of events having occurred. The trial has continued to assess OS as a key secondary endpoint. In the trial, vepdegestrant was generally well tolerated and its safety profile was consistent with what has been observed in previous studies.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Detailed results from the Phase 3 VERITAC-2 clinical trial included the following:</w:t>
      </w:r>
    </w:p>
    <w:p>
      <w:pPr>
        <w:spacing w:after="0" w:line="170" w:lineRule="exact"/>
        <w:rPr>
          <w:sz w:val="20"/>
          <w:szCs w:val="20"/>
          <w:color w:val="auto"/>
        </w:rPr>
      </w:pPr>
    </w:p>
    <w:p>
      <w:pPr>
        <w:ind w:left="760" w:hanging="246"/>
        <w:spacing w:after="0"/>
        <w:tabs>
          <w:tab w:leader="none" w:pos="76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PFS</w:t>
      </w:r>
    </w:p>
    <w:p>
      <w:pPr>
        <w:spacing w:after="0" w:line="91" w:lineRule="exact"/>
        <w:rPr>
          <w:rFonts w:ascii="Arial" w:cs="Arial" w:eastAsia="Arial" w:hAnsi="Arial"/>
          <w:sz w:val="14"/>
          <w:szCs w:val="14"/>
          <w:i w:val="1"/>
          <w:iCs w:val="1"/>
          <w:color w:val="auto"/>
        </w:rPr>
      </w:pPr>
    </w:p>
    <w:p>
      <w:pPr>
        <w:ind w:left="1020" w:right="180" w:hanging="251"/>
        <w:spacing w:after="0" w:line="271"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Vepdegestrant demonstrated a statistically significant and clinically meaningful improvement in PFS among ESR1m patients, reducing the risk of disease progression or death by 43% compared to fulvestrant [Hazard Ratio, or HR=0.57 (95% CI 0.42–0.77); 2-sided P&lt;0.001]. The median PFS, as assessed by BICR, was 5.0 months with vepdegestrant versus 2.1 months with fulvestrant in the ESR1-m population.</w:t>
      </w:r>
    </w:p>
    <w:p>
      <w:pPr>
        <w:spacing w:after="0" w:line="48" w:lineRule="exact"/>
        <w:rPr>
          <w:rFonts w:ascii="Arial" w:cs="Arial" w:eastAsia="Arial" w:hAnsi="Arial"/>
          <w:sz w:val="14"/>
          <w:szCs w:val="14"/>
          <w:color w:val="auto"/>
        </w:rPr>
      </w:pPr>
    </w:p>
    <w:p>
      <w:pPr>
        <w:ind w:left="1020" w:hanging="251"/>
        <w:spacing w:after="0"/>
        <w:tabs>
          <w:tab w:leader="none" w:pos="10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Investigator-assessed PFS was consistent with the BICR-assessed PFS.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In ESR1m patients, vepdegestrant demonstrated a consistent PFS benefit over fulvestrant across all pre-specified subgroups.</w:t>
      </w:r>
    </w:p>
    <w:p>
      <w:pPr>
        <w:spacing w:after="0" w:line="93" w:lineRule="exact"/>
        <w:rPr>
          <w:rFonts w:ascii="Arial" w:cs="Arial" w:eastAsia="Arial" w:hAnsi="Arial"/>
          <w:sz w:val="14"/>
          <w:szCs w:val="14"/>
          <w:color w:val="auto"/>
        </w:rPr>
      </w:pPr>
    </w:p>
    <w:p>
      <w:pPr>
        <w:ind w:left="1020" w:right="48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trial did not reach statistical significance in improvement in PFS in the ITT population, with a median PFS of 3.7 months for vepdegestrant versus 3.6 for fulvestrant [HR=0.83 (95% CI 0.68–1.02); 2-sided P=0.07].</w:t>
      </w:r>
    </w:p>
    <w:p>
      <w:pPr>
        <w:spacing w:after="0" w:line="122"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Tolerability and Safety Profile</w:t>
      </w:r>
    </w:p>
    <w:p>
      <w:pPr>
        <w:spacing w:after="0" w:line="91" w:lineRule="exact"/>
        <w:rPr>
          <w:rFonts w:ascii="Arial" w:cs="Arial" w:eastAsia="Arial" w:hAnsi="Arial"/>
          <w:sz w:val="14"/>
          <w:szCs w:val="14"/>
          <w:i w:val="1"/>
          <w:iCs w:val="1"/>
          <w:color w:val="auto"/>
        </w:rPr>
      </w:pPr>
    </w:p>
    <w:p>
      <w:pPr>
        <w:ind w:left="1020" w:right="32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Vepdegestrant was generally well tolerated in the clinical trial, with a safety profile consistent with what has been observed in previous studies, and mostly low-grade treatment-emergent adverse events, or TEAEs, were reported.</w:t>
      </w:r>
    </w:p>
    <w:p>
      <w:pPr>
        <w:spacing w:after="0" w:line="35" w:lineRule="exact"/>
        <w:rPr>
          <w:rFonts w:ascii="Arial" w:cs="Arial" w:eastAsia="Arial" w:hAnsi="Arial"/>
          <w:sz w:val="14"/>
          <w:szCs w:val="14"/>
          <w:color w:val="auto"/>
        </w:rPr>
      </w:pPr>
    </w:p>
    <w:p>
      <w:pPr>
        <w:ind w:left="1020" w:right="2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Rates and severity of gastrointestinal treatment emergent AEs were low with vepdegestrant (nausea, 13.5%; vomiting, 6.4%; diarrhea, 6.4%). Grade 4 TEAEs were reported in five patients (1.6%) in the vepdegestrant arm versus nine patients (2.9%) in the fulvestrant arm.</w:t>
      </w:r>
    </w:p>
    <w:p>
      <w:pPr>
        <w:spacing w:after="0" w:line="35" w:lineRule="exact"/>
        <w:rPr>
          <w:rFonts w:ascii="Arial" w:cs="Arial" w:eastAsia="Arial" w:hAnsi="Arial"/>
          <w:sz w:val="14"/>
          <w:szCs w:val="14"/>
          <w:color w:val="auto"/>
        </w:rPr>
      </w:pPr>
    </w:p>
    <w:p>
      <w:pPr>
        <w:ind w:left="1020" w:right="48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three most common TEAEs observed with vepdegestrant were fatigue (26.6%), increased alanine transaminase (ALT) (14.4%) and increased aspartate aminotransferase (AST) (14.4%).</w:t>
      </w:r>
    </w:p>
    <w:p>
      <w:pPr>
        <w:spacing w:after="0" w:line="35" w:lineRule="exact"/>
        <w:rPr>
          <w:rFonts w:ascii="Arial" w:cs="Arial" w:eastAsia="Arial" w:hAnsi="Arial"/>
          <w:sz w:val="14"/>
          <w:szCs w:val="14"/>
          <w:color w:val="auto"/>
        </w:rPr>
      </w:pPr>
    </w:p>
    <w:p>
      <w:pPr>
        <w:ind w:left="1020" w:hanging="251"/>
        <w:spacing w:after="0"/>
        <w:tabs>
          <w:tab w:leader="none" w:pos="10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TEAEs leading to treatment discontinuation occurred in 2.9% of patients taking vepdegestrant versus 0.7% of patients taking fulvestrant.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23" w:name="page24"/>
    <w:bookmarkEnd w:id="23"/>
    <w:p>
      <w:pPr>
        <w:ind w:left="760" w:hanging="246"/>
        <w:spacing w:after="0"/>
        <w:tabs>
          <w:tab w:leader="none" w:pos="7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Other Data Points</w:t>
      </w:r>
    </w:p>
    <w:p>
      <w:pPr>
        <w:spacing w:after="0" w:line="91" w:lineRule="exact"/>
        <w:rPr>
          <w:rFonts w:ascii="Arial" w:cs="Arial" w:eastAsia="Arial" w:hAnsi="Arial"/>
          <w:sz w:val="14"/>
          <w:szCs w:val="14"/>
          <w:i w:val="1"/>
          <w:iCs w:val="1"/>
          <w:color w:val="auto"/>
        </w:rPr>
      </w:pPr>
    </w:p>
    <w:p>
      <w:pPr>
        <w:jc w:val="both"/>
        <w:ind w:left="1020" w:right="220" w:hanging="251"/>
        <w:spacing w:after="0" w:line="271" w:lineRule="auto"/>
        <w:tabs>
          <w:tab w:leader="none" w:pos="1017" w:val="left"/>
        </w:tabs>
        <w:numPr>
          <w:ilvl w:val="1"/>
          <w:numId w:val="28"/>
        </w:numPr>
        <w:rPr>
          <w:rFonts w:ascii="Arial" w:cs="Arial" w:eastAsia="Arial" w:hAnsi="Arial"/>
          <w:sz w:val="14"/>
          <w:szCs w:val="14"/>
          <w:color w:val="auto"/>
        </w:rPr>
      </w:pPr>
      <w:r>
        <w:rPr>
          <w:rFonts w:ascii="Arial" w:cs="Arial" w:eastAsia="Arial" w:hAnsi="Arial"/>
          <w:sz w:val="14"/>
          <w:szCs w:val="14"/>
          <w:color w:val="auto"/>
        </w:rPr>
        <w:t>Additional secondary endpoints include clinical benefit rate, or CBR, and objective response rate, or ORR, and duration of response by BICR. In patients with an ESR1 mutation, CBR was 42.1% with vepdegestrant versus 20.2% with fulvestrant [odds ratio 2.88 (95% CI: 1.57–5.39); nominal P&lt;0.001] and ORR was 18.6% with vepdegestrant versus 4.0% with fulvestrant [odds ratio 5.45 (95% CI: 1.69–22.73); nominal P=0.001]. The median duration of response was not reached.</w:t>
      </w:r>
    </w:p>
    <w:p>
      <w:pPr>
        <w:spacing w:after="0" w:line="155" w:lineRule="exact"/>
        <w:rPr>
          <w:sz w:val="20"/>
          <w:szCs w:val="20"/>
          <w:color w:val="auto"/>
        </w:rPr>
      </w:pPr>
    </w:p>
    <w:p>
      <w:pPr>
        <w:ind w:right="60" w:firstLine="509"/>
        <w:spacing w:after="0" w:line="274" w:lineRule="auto"/>
        <w:rPr>
          <w:sz w:val="20"/>
          <w:szCs w:val="20"/>
          <w:color w:val="auto"/>
        </w:rPr>
      </w:pPr>
      <w:r>
        <w:rPr>
          <w:rFonts w:ascii="Arial" w:cs="Arial" w:eastAsia="Arial" w:hAnsi="Arial"/>
          <w:sz w:val="14"/>
          <w:szCs w:val="14"/>
          <w:color w:val="auto"/>
        </w:rPr>
        <w:t>We believe that, based on these strong data from VERITAC-2, vepdegestrant has the potential to be a best-in-class monotherapy treatment for advanced/metastatic breast cancer patients in the second-line ESR1m setting.</w:t>
      </w:r>
    </w:p>
    <w:p>
      <w:pPr>
        <w:spacing w:after="0" w:line="152" w:lineRule="exact"/>
        <w:rPr>
          <w:sz w:val="20"/>
          <w:szCs w:val="20"/>
          <w:color w:val="auto"/>
        </w:rPr>
      </w:pPr>
    </w:p>
    <w:p>
      <w:pPr>
        <w:ind w:right="40" w:firstLine="509"/>
        <w:spacing w:after="0" w:line="247" w:lineRule="auto"/>
        <w:rPr>
          <w:sz w:val="20"/>
          <w:szCs w:val="20"/>
          <w:color w:val="auto"/>
        </w:rPr>
      </w:pPr>
      <w:r>
        <w:rPr>
          <w:rFonts w:ascii="Arial" w:cs="Arial" w:eastAsia="Arial" w:hAnsi="Arial"/>
          <w:sz w:val="14"/>
          <w:szCs w:val="14"/>
          <w:color w:val="auto"/>
        </w:rPr>
        <w:t>As part of our global collaboration with Pfizer, we and Pfizer presented patient reported outcomes, or PRO, data from the VERITAC-2 clinical trial in the fourth quarter of 2025 at the European Society for Medical Oncology, or ESMO, 2025 Congress. In the VERITAC-2 clinical trial, in patients with ESR1-m disease, vepdegestrant demonstrated a reduced risk of deterioration compared to fulvestrant which was statistically significant in several PRO domains including overall health status, pain severity, and functioning (including role, cognitive, emotional, and social functioning), and vepdegestrant consistently showed reduced risk of deterioration versus fulvestrant across all PRO domains. These PRO data from the VERITAC-2 clinical trial support the clinical benefit of vepdegestrant in patients with ESR1-m, ER+/HER2- advanced or metastatic breast cancer previously treated with endocrine-based therapy.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Other Clinical Trials and Information</w:t>
      </w:r>
    </w:p>
    <w:p>
      <w:pPr>
        <w:spacing w:after="0" w:line="187" w:lineRule="exact"/>
        <w:rPr>
          <w:sz w:val="20"/>
          <w:szCs w:val="20"/>
          <w:color w:val="auto"/>
        </w:rPr>
      </w:pPr>
    </w:p>
    <w:p>
      <w:pPr>
        <w:ind w:firstLine="509"/>
        <w:spacing w:after="0" w:line="274" w:lineRule="auto"/>
        <w:rPr>
          <w:sz w:val="20"/>
          <w:szCs w:val="20"/>
          <w:color w:val="auto"/>
        </w:rPr>
      </w:pPr>
      <w:r>
        <w:rPr>
          <w:rFonts w:ascii="Arial" w:cs="Arial" w:eastAsia="Arial" w:hAnsi="Arial"/>
          <w:sz w:val="14"/>
          <w:szCs w:val="14"/>
          <w:color w:val="auto"/>
        </w:rPr>
        <w:t>In the second quarter of 2025, we announced that we and Pfizer removed two planned Phase 3 combination trials of vepdegestrant from the agreed-upon joint development plan: a first-line Phase 3 combination trial with Pfizer’s novel investigational CDK4 inhibitor, atirmociclib, and a second-line Phase 3 combination trial with a CDK4/6 inhibitor.</w:t>
      </w:r>
    </w:p>
    <w:p>
      <w:pPr>
        <w:spacing w:after="0" w:line="152" w:lineRule="exact"/>
        <w:rPr>
          <w:sz w:val="20"/>
          <w:szCs w:val="20"/>
          <w:color w:val="auto"/>
        </w:rPr>
      </w:pPr>
    </w:p>
    <w:p>
      <w:pPr>
        <w:ind w:right="280" w:firstLine="509"/>
        <w:spacing w:after="0" w:line="274" w:lineRule="auto"/>
        <w:rPr>
          <w:sz w:val="20"/>
          <w:szCs w:val="20"/>
          <w:color w:val="auto"/>
        </w:rPr>
      </w:pPr>
      <w:r>
        <w:rPr>
          <w:rFonts w:ascii="Arial" w:cs="Arial" w:eastAsia="Arial" w:hAnsi="Arial"/>
          <w:sz w:val="14"/>
          <w:szCs w:val="14"/>
          <w:color w:val="auto"/>
        </w:rPr>
        <w:t>Additionally, in the second quarter of 2025, Pfizer added a vepdegestrant combination cohort to its ongoing Phase 1 clinical trial evaluating Pfizer’s investigational KAT6 inhibitor in combination with endocrine therapies following CDK4/6 inhibitor treatment. This clinical trial is being operationalized and funded solely by Pfizer.</w:t>
      </w:r>
    </w:p>
    <w:p>
      <w:pPr>
        <w:spacing w:after="0" w:line="14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4"/>
          <w:szCs w:val="14"/>
          <w:color w:val="auto"/>
        </w:rPr>
        <w:t>As part of our global collaboration with Pfizer, we and Pfizer presented results of the TACTIVE-N Phase 2 clinical trial which evaluated neoadjuvant vepdegestrant in postmenopausal women with ER+/HER2– localized breast cancer in the fourth quarter of 2025 at the ESMO 2025 Congress. The results presented showed that neoadjuvant vepdegestrant demonstrated biological and clinical activity in this treatment-naïve, predominantly ESR1 wild-type population of postmenopausal women with ER+/HER2- localized breast cancer.</w:t>
      </w:r>
    </w:p>
    <w:p>
      <w:pPr>
        <w:spacing w:after="0" w:line="16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4"/>
          <w:szCs w:val="14"/>
          <w:color w:val="auto"/>
        </w:rPr>
        <w:t>In addition, as part of our global collaboration with Pfizer, we presented five posters at the San Antonio Breast Cancer Symposium further supporting the potential of vepdegestrant as a potential treatment option for patients with ESR1-mutated ER+/HER2- advanced or metastatic breast cancer previously treated with endocrine-based therapy potential.</w:t>
      </w:r>
    </w:p>
    <w:p>
      <w:pPr>
        <w:spacing w:after="0" w:line="166" w:lineRule="exact"/>
        <w:rPr>
          <w:sz w:val="20"/>
          <w:szCs w:val="20"/>
          <w:color w:val="auto"/>
        </w:rPr>
      </w:pPr>
    </w:p>
    <w:p>
      <w:pPr>
        <w:ind w:right="120" w:firstLine="509"/>
        <w:spacing w:after="0" w:line="250" w:lineRule="auto"/>
        <w:rPr>
          <w:sz w:val="20"/>
          <w:szCs w:val="20"/>
          <w:color w:val="auto"/>
        </w:rPr>
      </w:pPr>
      <w:r>
        <w:rPr>
          <w:rFonts w:ascii="Arial" w:cs="Arial" w:eastAsia="Arial" w:hAnsi="Arial"/>
          <w:sz w:val="14"/>
          <w:szCs w:val="14"/>
          <w:color w:val="auto"/>
        </w:rPr>
        <w:t>We, along with Pfizer, continue market preparations for vepdegestrant in advance of the PDUFA date. While we continue to believe that vepdegestrant has the potential to be a best-in-class monotherapy treatment for advanced/metastatic breast cancer patients in the second-line ESR1m setting, given our and Pfizer’s decision to remove the two planned Phase 3 combination trials of vepdegestrant from the agreed-upon joint development plan as noted above, we determined that it is no longer viable for us to build out our commercial infrastructure as we had previously planned. As such, in the third quarter of 2025, we announced that we and Pfizer have agreed to jointly select a third party for the commercialization and potential future development of vepdegestrant.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Preclinical Programs</w:t>
      </w:r>
    </w:p>
    <w:p>
      <w:pPr>
        <w:spacing w:after="0" w:line="9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4"/>
          <w:szCs w:val="14"/>
          <w:color w:val="auto"/>
        </w:rPr>
        <w:t>We have active preclinical programs in neurology and oncology. We aim to take a disciplined target selection approach and leverage our proprietary discovery platform to rationally design innovative degrader molecules across major protein classes. Our focus is on potential first- and best-in-class opportunities in high unmet need areas where targeted protein degradation may provide the most effective, or only, path to</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3" w:right="339" w:bottom="1440" w:gutter="0" w:footer="0" w:header="0"/>
        </w:sectPr>
      </w:pPr>
    </w:p>
    <w:bookmarkStart w:id="24" w:name="page25"/>
    <w:bookmarkEnd w:id="24"/>
    <w:p>
      <w:pPr>
        <w:ind w:right="100"/>
        <w:spacing w:after="0" w:line="290" w:lineRule="auto"/>
        <w:rPr>
          <w:sz w:val="20"/>
          <w:szCs w:val="20"/>
          <w:color w:val="auto"/>
        </w:rPr>
      </w:pPr>
      <w:r>
        <w:rPr>
          <w:rFonts w:ascii="Arial" w:cs="Arial" w:eastAsia="Arial" w:hAnsi="Arial"/>
          <w:sz w:val="14"/>
          <w:szCs w:val="14"/>
          <w:color w:val="auto"/>
        </w:rPr>
        <w:t>meaningful impact to the target that is either genetically defined or historically an under-drugged regulatory target or target protein that contains non-enzymatic sites involved in the disease causation.</w:t>
      </w:r>
    </w:p>
    <w:p>
      <w:pPr>
        <w:spacing w:after="0" w:line="35"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Our exploratory and research activities in neurology focus on programs aimed at degrading proteins with strong human and mouse genetic validation demonstrating that protein mutation potentially drives disease pathology. Examples include Tau in Frontal temporal dementia with expansion into Alzheimer's disease, alpha-synuclein gene amplification in accelerated forms of Parkinson's disease and Multiple System Atrophy, and mutant Huntingtin protein in Huntington's disease.</w:t>
      </w:r>
    </w:p>
    <w:p>
      <w:pPr>
        <w:spacing w:after="0" w:line="49"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Our exploratory and research activities in oncology focus on degrading oncogenic drivers, such as pan-KRAS, as well as tackling key immune regulatory targets like HPK1, a negative regulator of the tumor microenvironment and T cell activation.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Neurologic Diseases</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Neurologic diseases, in particular, neurodegenerative diseases, are generally progressive in nature and result in the degeneration and often death of neurons in the periphery and the brain, leading to cognitive decline, functional impairment and eventually death. These diseases affect a rapidly growing patient population and represent one of the largest unmet medical needs of our time. Alzheimer’s and PD encompass the largest patient populations among the neurodegenerative diseases. The Alzheimer’s Association estimated that 7.2 million Americans aged 65 and older, about one in nine individuals, were living with Alzheimer’s dementia in 2026, with 74% aged 75 or older, and the Parkinson’s Foundation estimated in 2026 that approximately 1.1 million Americans are living with PD and approximately 90,000 people are newly diagnosed every year. Alzheimer’s disease is marked by the progressive accumulation of aggregated tau protein, while aggregation of alpha-synuclein is thought to cause PD.</w:t>
      </w:r>
    </w:p>
    <w:p>
      <w:pPr>
        <w:spacing w:after="0" w:line="142" w:lineRule="exact"/>
        <w:rPr>
          <w:sz w:val="20"/>
          <w:szCs w:val="20"/>
          <w:color w:val="auto"/>
        </w:rPr>
      </w:pPr>
    </w:p>
    <w:p>
      <w:pPr>
        <w:ind w:right="200" w:firstLine="509"/>
        <w:spacing w:after="0" w:line="265" w:lineRule="auto"/>
        <w:rPr>
          <w:sz w:val="20"/>
          <w:szCs w:val="20"/>
          <w:color w:val="auto"/>
        </w:rPr>
      </w:pPr>
      <w:r>
        <w:rPr>
          <w:rFonts w:ascii="Arial" w:cs="Arial" w:eastAsia="Arial" w:hAnsi="Arial"/>
          <w:sz w:val="14"/>
          <w:szCs w:val="14"/>
          <w:color w:val="auto"/>
        </w:rPr>
        <w:t>Antibody-based therapies targeting only extracellular forms of these proteins thought to be the cause of these neurodegenerative diseases have failed to show clinically meaningful benefit to date. While some existing products provide symptomatic relief to Alzheimer’s and PD patients, they have significant side effect risks and over time gradually lose their effectiveness in treating the symptoms of the disease. Further, while there are now amyloid-directed antibody therapies that modestly impact extracellular A-beta with vascular side effects that can be severe, there are no approved disease-modifying treatments targeting intracellular tau or alpha-synuclein for Alzheimer’s or PD.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Developing PROTAC Targeted Protein Degraders that Cross the Blood Brain Barrier</w:t>
      </w:r>
    </w:p>
    <w:p>
      <w:pPr>
        <w:spacing w:after="0" w:line="92" w:lineRule="exact"/>
        <w:rPr>
          <w:sz w:val="20"/>
          <w:szCs w:val="20"/>
          <w:color w:val="auto"/>
        </w:rPr>
      </w:pPr>
    </w:p>
    <w:p>
      <w:pPr>
        <w:ind w:right="300" w:firstLine="509"/>
        <w:spacing w:after="0" w:line="265" w:lineRule="auto"/>
        <w:rPr>
          <w:sz w:val="20"/>
          <w:szCs w:val="20"/>
          <w:color w:val="auto"/>
        </w:rPr>
      </w:pPr>
      <w:r>
        <w:rPr>
          <w:rFonts w:ascii="Arial" w:cs="Arial" w:eastAsia="Arial" w:hAnsi="Arial"/>
          <w:sz w:val="14"/>
          <w:szCs w:val="14"/>
          <w:color w:val="auto"/>
        </w:rPr>
        <w:t>Engineering PROTAC degraders that cross the blood-brain barrier is necessary to achieve targeted elimination of disease-causing intracellular proteins from within the CNS. The ability of a targeted therapy to cross the blood-brain barrier is a highly desirable characteristic in developing effective therapeutics for patients with neurodegenerative diseases as compared with therapies delivered directly into the CNS via invasive intrathecal delivery. Any product candidates for neurodegenerative disease must reach their intended intracellular targets in the brain at exposure levels that will provide a therapeutic effect, while having an acceptable safety profile.</w:t>
      </w:r>
    </w:p>
    <w:p>
      <w:pPr>
        <w:spacing w:after="0" w:line="138"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Importantly, we have achieved brain penetration in preclinical models following parenteral administration of PROTAC degrader molecules. These PROTAC degrader molecules achieved concentrations in the brain sufficient to induce degradation of the aggregated proteins, widespread penetration into different parts of the brain, and brain/plasma ratios of 0.5 to 5.0, comparable to approved therapeutics with CNS activity. Our research efforts are aimed at designing PROTAC degraders to either specifically target pathologic oligomers or monomers of mutant huntingtin, tau, and alpha-synuclein, for the treatment of Huntington's disease, Alzheimer’s disease (tauopathies) and PD (synucleinopathies), respectively, or to impact pathway proteins contributing to their pathology in these diseases.</w:t>
      </w:r>
    </w:p>
    <w:p>
      <w:pPr>
        <w:spacing w:after="0" w:line="140" w:lineRule="exact"/>
        <w:rPr>
          <w:sz w:val="20"/>
          <w:szCs w:val="20"/>
          <w:color w:val="auto"/>
        </w:rPr>
      </w:pPr>
    </w:p>
    <w:p>
      <w:pPr>
        <w:jc w:val="both"/>
        <w:ind w:right="620" w:firstLine="509"/>
        <w:spacing w:after="0" w:line="271" w:lineRule="auto"/>
        <w:rPr>
          <w:sz w:val="20"/>
          <w:szCs w:val="20"/>
          <w:color w:val="auto"/>
        </w:rPr>
      </w:pPr>
      <w:r>
        <w:rPr>
          <w:rFonts w:ascii="Arial" w:cs="Arial" w:eastAsia="Arial" w:hAnsi="Arial"/>
          <w:sz w:val="14"/>
          <w:szCs w:val="14"/>
          <w:color w:val="auto"/>
        </w:rPr>
        <w:t>In addition to our tau and alpha-synuclein programs, our neuroscience pipeline includes a program directed to mutant huntingtin, or mHTT, a key protein target for Huntington’s disease. In preclinical studies, we have identified ligands that bind to mutant mHTT protein without binding to wild-type HTT protein in preclinical studies. This selectivity differentiates these ligands from other small molecule splice modulators that reduce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both mHTT and wild-type HTT protein. We believe that our discovery of selective mHTT PROTAC degraders has the potential to eliminate the toxic mHTT protein.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Oncology, ARV-6723: Oral PROTAC HPK1 Degrader Program, and pan-KRAS Degrader Programs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to neurological preclinical programs, we are exploring oncology and immuno-oncology preclinical programs.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4"/>
          <w:szCs w:val="14"/>
          <w:color w:val="auto"/>
        </w:rPr>
        <w:t>ARV-6723 is an investigational, preclinical oral PROTAC designed to degrade HPK1 in solid malignancies. Preclinically, ARV-6723 has shown potent, selective HPK1 degradation and strong anti-tumor immune responses with superior tumor control in low- and high- immunogenic murine syngeneic tumor models. In solid tumor malignancies, such as NSCLC, melanoma, and renal cell carcinoma, or RCC, HPK1 acts as a negative regulator in T-cell receptor signaling, contributing to T-cell exhaustion and suppressing antitumor immunity. In addition, HPK1 has a regulatory role in other immune cell types that can be co-opted by tumors, thus enabling these cancers to resist immuno-oncology therapy. Degrading HPK1 and thus eliminating both its kinase and scaffolding functions has the potential to unleash an immune response with potent anti-tumor effects and minimum off-target toxicity.</w:t>
      </w:r>
    </w:p>
    <w:p>
      <w:pPr>
        <w:spacing w:after="0" w:line="146" w:lineRule="exact"/>
        <w:rPr>
          <w:sz w:val="20"/>
          <w:szCs w:val="20"/>
          <w:color w:val="auto"/>
        </w:rPr>
      </w:pPr>
    </w:p>
    <w:p>
      <w:pPr>
        <w:ind w:right="80" w:firstLine="509"/>
        <w:spacing w:after="0" w:line="246" w:lineRule="auto"/>
        <w:rPr>
          <w:sz w:val="20"/>
          <w:szCs w:val="20"/>
          <w:color w:val="auto"/>
        </w:rPr>
      </w:pPr>
      <w:r>
        <w:rPr>
          <w:rFonts w:ascii="Arial" w:cs="Arial" w:eastAsia="Arial" w:hAnsi="Arial"/>
          <w:sz w:val="14"/>
          <w:szCs w:val="14"/>
          <w:color w:val="auto"/>
        </w:rPr>
        <w:t>We presented preclinical data at the Society for Immunotherapy of Cancer annual meeting in the fourth quarter of 2025 that we believe supports the potential of ARV-6723 to provide sustained anti-tumor immune response as a single agent or in combination with standards of care with improved clinical benefits, including that: ARV-6723, as a single agent, demonstrates anti-tumor efficacy superior to anti-PD1 or a clinical HPK1 inhibitor and combines with anti-PD1 to further enhance response; and ARV-6723 single agent activity outperforms the HPK1 inhibitor and anti-PD-1 efficacy and reinstitutes the tumor microenvironment. We believe these preclinical results support future investigation of ARV-6723 alone or in combination with other agents in patients with high- or low-immunogenic tumors.</w:t>
      </w:r>
    </w:p>
    <w:p>
      <w:pPr>
        <w:spacing w:after="0" w:line="162"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In addition, we presented preclinical data for ARV-6723 at the AACR Immuno-Oncology Conference in the first quarter of 2026 that support clinical investigation of ARV-6723 in patients with solid tumors harboring high- or low-immunogenic tumor microenvironments, or TME, including immune checkpoint inhibitor-resistant tumor settings. This preclinical data showed robust single-agent antitumor and proinflammatory activity in multiple syngeneic tumor models, including those with immunosuppressive TMEs, and showed greater preclinical activity than an investigational HPK1 inhibitor or an anti-PD-1 antibody.</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Pending regulatory feedback, we plan to initiate a Phase 1 clinical trial of ARV-6723 in patients with advanced solid tumors in mid-2026. Upon initiation of the clinical trial,</w:t>
      </w:r>
    </w:p>
    <w:p>
      <w:pPr>
        <w:spacing w:after="0" w:line="12" w:lineRule="exact"/>
        <w:rPr>
          <w:sz w:val="20"/>
          <w:szCs w:val="20"/>
          <w:color w:val="auto"/>
        </w:rPr>
      </w:pPr>
    </w:p>
    <w:p>
      <w:pPr>
        <w:ind w:right="320"/>
        <w:spacing w:after="0" w:line="238" w:lineRule="auto"/>
        <w:rPr>
          <w:sz w:val="20"/>
          <w:szCs w:val="20"/>
          <w:color w:val="auto"/>
        </w:rPr>
      </w:pPr>
      <w:r>
        <w:rPr>
          <w:rFonts w:ascii="Arial" w:cs="Arial" w:eastAsia="Arial" w:hAnsi="Arial"/>
          <w:sz w:val="14"/>
          <w:szCs w:val="14"/>
          <w:color w:val="auto"/>
        </w:rPr>
        <w:t>ARV-6723 will be our first clinical candidate in immuno-oncology. Additionally, we plan to present preclinical data evaluating antitumor and unique immunomodulatory activity of ARV-6723 in immuno-oncology-resistant models compared to SOC checkpoint inhibition in the first half of 2026.</w:t>
      </w:r>
    </w:p>
    <w:p>
      <w:pPr>
        <w:spacing w:after="0" w:line="176"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Our preclinical oral pan-KRAS program targets multiple variants of KRAS that drive solid tumors such as PDAC, colorectal cancer, NSCLC, and esophageal cancer, while sparing other RAS isoforms. We believe selectively targeting KRAS for removal may have benefits to tolerability compared with a pan-RAS approach. The poster presented at the 2025 Triple Meeting in the fourth quarter of 2025 showed that orally bioavailable pan-KRAS degraders have been identified that potently degrade multiple variants of KRAS and spare other RAS isoforms. A tool pan-KRAS PROTAC demonstrated robust single-agent activity and superior combination efficacy with immune checkpoint blockade compared with a pan-RAS ON inhibitor (seven complete responses compared with two complete responses). We plan to present preclinical data evaluating the activity and selectivity of a novel pan-KRAS degrader in multiple KRAS mutants and differentiation over RAS (ON) or pan-KRAS inhibitors in the first quarter of 2026 at the AACR Special Conference in Cancer Research: RAS Oncogenesis and Therapeutics. We also plan to present preclinical data evaluating the efficacy of a novel pan-KRAS degrader in a KRAS syngeneic model, as well as associated immune microenvironment changes in the first half of 2026.</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Programs: Luxdegalutamide (ARV-766) and bavdegalutamide (ARV-110)</w:t>
      </w:r>
    </w:p>
    <w:p>
      <w:pPr>
        <w:spacing w:after="0" w:line="94"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We had been developing luxdegalutamide and bavdegalutamide, each an investigational, orally bioavailable, AR degrading PROTAC targeted protein degrader, for the treatment of men with metastatic castration-resistant prostate cancer, or mCRPC. Both luxdegalutamide and bavdegalutamide demonstrated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26" w:name="page27"/>
    <w:bookmarkEnd w:id="26"/>
    <w:p>
      <w:pPr>
        <w:ind w:right="20"/>
        <w:spacing w:after="0" w:line="260" w:lineRule="auto"/>
        <w:rPr>
          <w:sz w:val="20"/>
          <w:szCs w:val="20"/>
          <w:color w:val="auto"/>
        </w:rPr>
      </w:pPr>
      <w:r>
        <w:rPr>
          <w:rFonts w:ascii="Arial" w:cs="Arial" w:eastAsia="Arial" w:hAnsi="Arial"/>
          <w:sz w:val="14"/>
          <w:szCs w:val="14"/>
          <w:color w:val="auto"/>
        </w:rPr>
        <w:t>activity in preclinical models of AR overexpression and AR mutations, both common mechanisms of resistance to current standard-of-care agents in men with prostate cancer. We believed that the differentiated PROTAC pharmacology of luxdegalutamide and bavdegalutamide, including their iterative activity, had the potential to translate into significantly improved clinical outcomes over current SOC agents. However, a comparison of clinical data from separate studies of luxdegalutamide and bavdegalutamide showed that luxdegalutamide’s tolerability and efficacy was more promising than that of bavdegalutamide. As a result, early in the fourth quarter of 2023, we determined to prioritize the initiation of a Phase 3 clinical trial with luxdegalutamide in mCRPC instead of the previously planned Phase 3 clinical trial for bavdegalutamide. Clinical trials for bavdegalutamide (ARV-110-101 and ARV-110-103) were completed in the second quarter of 2025.</w:t>
      </w:r>
    </w:p>
    <w:p>
      <w:pPr>
        <w:spacing w:after="0" w:line="14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In the second quarter of 2024, we completed a transaction with Novartis Pharma AG, or Novartis, which comprised a license agreement, or the Novartis License Agreement, and an asset agreement, or the Novartis Asset Agreement. Pursuant to the Novartis License Agreement, we granted Novartis an exclusive worldwide license for the development, manufacture and commercialization of luxdegalutamide, and we completed the transition of our ongoing and planned clinical trials of luxdegalutamide to Novartis in the fourth quarter of 2024. Pursuant to the Novartis Asset Agreement, we sold Novartis all of our rights, title and interest in our PROTAC protein degrader targeting AR-V7, a splice variant of the AR.</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Intellectual Property</w:t>
      </w:r>
    </w:p>
    <w:p>
      <w:pPr>
        <w:spacing w:after="0" w:line="94"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4"/>
          <w:szCs w:val="14"/>
          <w:color w:val="auto"/>
        </w:rPr>
        <w:t>Our commercial success depends in part upon our ability to secure and maintain patent and other proprietary protection for our platform protein degradation technologies, including our PROTAC degrader programs, product candidates,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patent positions for biotechnology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protected or remain protectable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40" w:lineRule="exact"/>
        <w:rPr>
          <w:sz w:val="20"/>
          <w:szCs w:val="20"/>
          <w:color w:val="auto"/>
        </w:rPr>
      </w:pPr>
    </w:p>
    <w:p>
      <w:pPr>
        <w:jc w:val="both"/>
        <w:ind w:right="340" w:firstLine="509"/>
        <w:spacing w:after="0" w:line="271" w:lineRule="auto"/>
        <w:rPr>
          <w:sz w:val="20"/>
          <w:szCs w:val="20"/>
          <w:color w:val="auto"/>
        </w:rPr>
      </w:pPr>
      <w:r>
        <w:rPr>
          <w:rFonts w:ascii="Arial" w:cs="Arial" w:eastAsia="Arial" w:hAnsi="Arial"/>
          <w:sz w:val="14"/>
          <w:szCs w:val="14"/>
          <w:color w:val="auto"/>
        </w:rPr>
        <w:t>As of December 31, 2025, our patent estate that we own, co-own and in-license includes 71 issued U.S. patents, 318 granted foreign patents, and 620 pending patent applications (118 U.S. and 502 foreign). All dates noted for patent term expiration below exclude any potential patent term extensions or adjustments, assuming all appropriate maintenance fees are paid.</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ARV-102</w:t>
      </w:r>
    </w:p>
    <w:p>
      <w:pPr>
        <w:spacing w:after="0" w:line="9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As of December 31, 2025, we have three families in our LRRK2 patent portfolio directed, in part, to the composition of matter of ARV-102, as well as other LRRK2 PROTAC degraders. These families include granted U.S. and foreign patents as well as pending U.S. and foreign applications. Any granted patent in these families will expire between 2041 and 2044. In addition, the LRRK2 portfolio includes pending U.S. and PCT applications directed to manufacturing methods for and crystalline forms of PROTAC LRRK2 degraders. These additional applications, if issued, will expire between 2044 and 2045.</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ARV-806 and KRAS G12D</w:t>
      </w:r>
    </w:p>
    <w:p>
      <w:pPr>
        <w:spacing w:after="0" w:line="9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As of December 31, 2025, our KRAS G12D patent portfolio, including ARV-806, includes a composition of matter patent family, which includes a granted U.S. patent as well as pending U.S. and foreign applications. In addition, the KRAS G12D portfolio includes a pending U.S. method of treatment application. Any granted patents in this family will expire between 2044 and 2045.</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ARV-393</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27" w:name="page28"/>
    <w:bookmarkEnd w:id="27"/>
    <w:p>
      <w:pPr>
        <w:ind w:right="20" w:firstLine="509"/>
        <w:spacing w:after="0" w:line="265" w:lineRule="auto"/>
        <w:rPr>
          <w:sz w:val="20"/>
          <w:szCs w:val="20"/>
          <w:color w:val="auto"/>
        </w:rPr>
      </w:pPr>
      <w:r>
        <w:rPr>
          <w:rFonts w:ascii="Arial" w:cs="Arial" w:eastAsia="Arial" w:hAnsi="Arial"/>
          <w:sz w:val="14"/>
          <w:szCs w:val="14"/>
          <w:color w:val="auto"/>
        </w:rPr>
        <w:t>As of December 31, 2025, our ARV-393 patent portfolio includes a composition of matter patent family, which includes an issued U.S. patent and an issued foreign patent, as well as pending applications in the U.S. and certain foreign jurisdictions including Europe, China, and Japan, and a method of treatment patent family with pending U.S. and PCT applications, as well as one pending foreign application. Any granted patents in these families will expire between 2042 and 2045. In addition, the ARV-393 BCL6 portfolio includes pending U.S. applications directed to drug treatment combinations, and drug formulation. These additional families, if issued, will expire in 2045</w:t>
      </w:r>
      <w:r>
        <w:rPr>
          <w:rFonts w:ascii="Arial" w:cs="Arial" w:eastAsia="Arial" w:hAnsi="Arial"/>
          <w:sz w:val="14"/>
          <w:szCs w:val="14"/>
          <w:color w:val="auto"/>
          <w:strike w:val="1"/>
        </w:rPr>
        <w:t>.</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ARV-027</w:t>
      </w:r>
    </w:p>
    <w:p>
      <w:pPr>
        <w:spacing w:after="0" w:line="9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As of December 31, 2025, our ARV-027 patent portfolio includes two patent families, one directed to a composition of matter and one directed to a method of treating SBMA, both of which have issued in the United States and are pending in select foreign jurisdictions. If issued, these families will have a natural patent expiry between 2037 and 2044.</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Vepdegestrant</w:t>
      </w:r>
    </w:p>
    <w:p>
      <w:pPr>
        <w:spacing w:after="0" w:line="9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As of December 31, 2025, our vepdegestrant patent portfolio includes a family with issued composition of matter patents in the U.S. and in foreign jurisdictions, including China, Japan and Europe, as well as pending applications in U.S. and certain foreign jurisdictions. Any granted patents in this family will expire in 2037. This patent portfolio also includes patent families with pending applications directed to methods of treatment with a combination of vepdegestrant and palbociclib; methods of treating breast cancer with ER mutations; crystalline forms; formulations; manufacturing methods; dosage regimens; drug treatment combinations; and drug-drug interactions in the U.S. and certain foreign jurisdictions. Patents from these additional families, if issued, will expire between 2040 and 2046.</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ARV-6723</w:t>
      </w:r>
    </w:p>
    <w:p>
      <w:pPr>
        <w:spacing w:after="0" w:line="94"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As of December 31, 2025, our HPK1 patent portfolio includes two composition of matter patent families, which includes pending US and PCT patent applications. Patents from these families, if granted, will expire between 2044 and 2045.</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Luxdegalutamide (ARV-766)</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intellectual property rights related to ownership of inventions, patent prosecution and maintenance of licensed patents, as defined in the Novartis License Agreement, are outlined in the Novartis License Agreement, including that, we own the licensed patents and Novartis has first right to file, prosecute and maintain all licensed patents and joint patents specified in the Novartis License Agreement, throughout the world. The luxdegalutamide patent portfolio includes a patent family directed to the luxdegalutamide composition of matter, which includes an issued U.S. patent and two foreign patents, including China. In addition, there are pending composition of matter pending applications in the U.S. and certain foreign jurisdictions including Europe, Japan, and China. Any granted patent in this family will expire in 2040. This patent portfolio also includes pending method of treatment applications in the U.S. and one foreign country, as well as a pending PCT application. This additional family, if issued, will expire in 2043. In addition, this portfolio includes patent families directed to crystalline forms, drug formulation, manufacturing, and drug-drug interaction, in the U.S. and one foreign jurisdiction, as well as pending PCT applications.</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PROTAC Platform</w:t>
      </w:r>
    </w:p>
    <w:p>
      <w:pPr>
        <w:spacing w:after="0" w:line="9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PROTAC platform patent estate that we own, and in-license, covers constructs that have ligands for the Von Hippel Lindau, or VHL, E3 ubiquitin ligase, the cereblon, or CRBN, E3 ubiquitin ligase, the inhibitor apoptosis protein, or IAP, E3 ubiquitin ligase, and the human mouse double minute homolog (MDM2) E3 ubiquitin ligase. As of December 31, 2025, the VHL patent portfolio, which we exclusively license from Yale University, or Yale, includes composition-of-matter patents in the U.S., as well as certain foreign jurisdictions, as well as pending applications in the U.S. and foreign jurisdictions including Europe, China, and Japan. Any granted patents in this family will expire in 2033. As of December 31, 2025, the CRBN patent portfolio that we own includes issued composition of matter patents in in certain foreign jurisdictions including Europe China, and Japan, as well as pending applications in the U.S. and certain foreign jurisdictions. Any patents in this family will</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8" w:name="page29"/>
    <w:bookmarkEnd w:id="28"/>
    <w:p>
      <w:pPr>
        <w:ind w:right="180"/>
        <w:spacing w:after="0" w:line="290" w:lineRule="auto"/>
        <w:rPr>
          <w:sz w:val="20"/>
          <w:szCs w:val="20"/>
          <w:color w:val="auto"/>
        </w:rPr>
      </w:pPr>
      <w:r>
        <w:rPr>
          <w:rFonts w:ascii="Arial" w:cs="Arial" w:eastAsia="Arial" w:hAnsi="Arial"/>
          <w:sz w:val="14"/>
          <w:szCs w:val="14"/>
          <w:color w:val="auto"/>
        </w:rPr>
        <w:t>expire in 2035. As of December 31, 2025, the IAP patent portfolio that we own has pending composition of matter applications in the U.S. and Europe. Any granted patents in this family will expire in 2036</w:t>
      </w:r>
      <w:r>
        <w:rPr>
          <w:rFonts w:ascii="Arial" w:cs="Arial" w:eastAsia="Arial" w:hAnsi="Arial"/>
          <w:sz w:val="14"/>
          <w:szCs w:val="14"/>
          <w:color w:val="auto"/>
          <w:strike w:val="1"/>
        </w:rPr>
        <w:t>.</w:t>
      </w:r>
    </w:p>
    <w:p>
      <w:pPr>
        <w:spacing w:after="0" w:line="120"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As of December 31, 2025, the MDM2 patent portfolio that we own includes an issued composition of matter foreign patent, and pending composition of matter applications in the U.S. and Europe. Any granted patents in this family will expire in 2036.</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Co-Owned Patent Portfolios</w:t>
      </w:r>
    </w:p>
    <w:p>
      <w:pPr>
        <w:spacing w:after="0" w:line="94" w:lineRule="exact"/>
        <w:rPr>
          <w:sz w:val="20"/>
          <w:szCs w:val="20"/>
          <w:color w:val="auto"/>
        </w:rPr>
      </w:pPr>
    </w:p>
    <w:p>
      <w:pPr>
        <w:ind w:right="140" w:firstLine="509"/>
        <w:spacing w:after="0" w:line="268" w:lineRule="auto"/>
        <w:rPr>
          <w:sz w:val="20"/>
          <w:szCs w:val="20"/>
          <w:color w:val="auto"/>
        </w:rPr>
      </w:pPr>
      <w:r>
        <w:rPr>
          <w:rFonts w:ascii="Arial" w:cs="Arial" w:eastAsia="Arial" w:hAnsi="Arial"/>
          <w:sz w:val="14"/>
          <w:szCs w:val="14"/>
          <w:color w:val="auto"/>
        </w:rPr>
        <w:t>We co-own with Yale six patent families describing composition of matter claims of PROTAC targeted protein degrader compounds addressing certain discovery and other potential protein targets, and associated methods of use. As of December 31, 2025, one or more U.S. patents have been issued in all of these families, and one or more patents have been issued in certain foreign jurisdictions for two of these families. There are also pending patent applications in the U.S. and/or certain foreign jurisdictions in four of these</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families. We also co-own with Yale a composition of matter patent family that covers constructs that have ligands for the VHL E3 ubiquitin ligase. This family includes issued patents in the U.S. and certain foreign jurisdictions including Japan, and pending patent applications in the U.S. and certain foreign jurisdictions. Our rights to several of these patent applications are governed by the Amended Yale License Agreement described below in "</w:t>
      </w:r>
      <w:r>
        <w:rPr>
          <w:rFonts w:ascii="Arial" w:cs="Arial" w:eastAsia="Arial" w:hAnsi="Arial"/>
          <w:sz w:val="14"/>
          <w:szCs w:val="14"/>
          <w:i w:val="1"/>
          <w:iCs w:val="1"/>
          <w:color w:val="auto"/>
        </w:rPr>
        <w:t>Item 1. Business—Licenses and Strategic Collaborations"</w:t>
      </w:r>
      <w:r>
        <w:rPr>
          <w:rFonts w:ascii="Arial" w:cs="Arial" w:eastAsia="Arial" w:hAnsi="Arial"/>
          <w:sz w:val="14"/>
          <w:szCs w:val="14"/>
          <w:color w:val="auto"/>
        </w:rPr>
        <w:t>.</w:t>
      </w:r>
    </w:p>
    <w:p>
      <w:pPr>
        <w:spacing w:after="0" w:line="134" w:lineRule="exact"/>
        <w:rPr>
          <w:sz w:val="20"/>
          <w:szCs w:val="20"/>
          <w:color w:val="auto"/>
        </w:rPr>
      </w:pPr>
    </w:p>
    <w:p>
      <w:pPr>
        <w:ind w:right="580" w:firstLine="509"/>
        <w:spacing w:after="0" w:line="290" w:lineRule="auto"/>
        <w:rPr>
          <w:sz w:val="20"/>
          <w:szCs w:val="20"/>
          <w:color w:val="auto"/>
        </w:rPr>
      </w:pPr>
      <w:r>
        <w:rPr>
          <w:rFonts w:ascii="Arial" w:cs="Arial" w:eastAsia="Arial" w:hAnsi="Arial"/>
          <w:sz w:val="14"/>
          <w:szCs w:val="14"/>
          <w:color w:val="auto"/>
        </w:rPr>
        <w:t>We co-own four patent families with Genentech directed to PROTAC targeted protein degrader compounds addressing a specific protein. Our rights to these patent applications are governed by the Genentech License Agreement described below in "</w:t>
      </w:r>
      <w:r>
        <w:rPr>
          <w:rFonts w:ascii="Arial" w:cs="Arial" w:eastAsia="Arial" w:hAnsi="Arial"/>
          <w:sz w:val="14"/>
          <w:szCs w:val="14"/>
          <w:i w:val="1"/>
          <w:iCs w:val="1"/>
          <w:color w:val="auto"/>
        </w:rPr>
        <w:t>Item 1. Business—Licenses and Strategic Collaborations"</w:t>
      </w:r>
      <w:r>
        <w:rPr>
          <w:rFonts w:ascii="Arial" w:cs="Arial" w:eastAsia="Arial" w:hAnsi="Arial"/>
          <w:sz w:val="14"/>
          <w:szCs w:val="14"/>
          <w:color w:val="auto"/>
        </w:rPr>
        <w:t>.</w:t>
      </w:r>
    </w:p>
    <w:p>
      <w:pPr>
        <w:spacing w:after="0" w:line="120"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the term of a patent covering a drug approved by the FDA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Similar provisions are available in Europe and in certain other jurisdictions to extend the term of a patent that covers an approved drug. It is possible that issued U.S. patents covering vepdegestrant and others may be entitled to patent term extensions. If our product candidates receive FDA approval, we intend to apply for patent term extensions, if available, to extend the term of patents that cover the approved product candidates. We also intend to seek patent term extensions in any jurisdiction where they are available; however, there is no guarantee that the applicable authorities, including the FDA, will agree with our assessment of whether such extensions should be granted, and if granted, the length of such extensions.</w:t>
      </w:r>
    </w:p>
    <w:p>
      <w:pPr>
        <w:spacing w:after="0" w:line="14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The United States also offers Patent Term Adjustment, or PTA, whereby a particular patent’s term is automatically extended beyond the 20-year term if the United States Patent and Trademark Office caused delays during the underlying patent application’s examination. However, potentially available PTA will be reduced by any amount of delay caused by the applicant.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Trade Secrets</w:t>
      </w:r>
    </w:p>
    <w:p>
      <w:pPr>
        <w:spacing w:after="0" w:line="9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We also rely on trade secrets, technical know-how and continuing innovation to develop and maintain our competitive advantage. Our policy requires inventors who are identified on any company-owned patent applications to assign rights to us. We also rely on confidentiality agreements with our employees, consultants and other advisors to protect our proprietary information. Our policy is to require third parties that receive material confidential information to enter into confidentiality agreements with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9" w:name="page30"/>
    <w:bookmarkEnd w:id="29"/>
    <w:p>
      <w:pPr>
        <w:ind w:left="520"/>
        <w:spacing w:after="0"/>
        <w:rPr>
          <w:sz w:val="20"/>
          <w:szCs w:val="20"/>
          <w:color w:val="auto"/>
        </w:rPr>
      </w:pPr>
      <w:r>
        <w:rPr>
          <w:rFonts w:ascii="Arial" w:cs="Arial" w:eastAsia="Arial" w:hAnsi="Arial"/>
          <w:sz w:val="14"/>
          <w:szCs w:val="14"/>
          <w:b w:val="1"/>
          <w:bCs w:val="1"/>
          <w:color w:val="auto"/>
        </w:rPr>
        <w:t>Trademarks</w:t>
      </w:r>
    </w:p>
    <w:p>
      <w:pPr>
        <w:spacing w:after="0" w:line="9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We own U.S. trademark and service mark registrations for ARVINAS in word and logo form for pharmaceutical preparations and pharmaceutical products development of cellular proteins for treatment in the fields of oncology, immunology, inflammatory diseases, and central nervous system disorders. The ARVINAS word mark is registered for pharmaceutical products development services in Australia, China, the EU, Japan, Norway, South Korea, and Switzerland, and is pending registration in several other countries. The ARVINAS word mark is also registered for pharmaceutical products in Australia, Brazil, China, Colombia, the EU, Hong Kong, India, Indonesia, Israel, Japan, Mexico, New Zealand, Norway, Singapore, South Africa, South Korea, Switzerland, Taiwan, and the United Kingdom, and is pending registration in several other countries. The ARVINAS logo mark is registered for pharmaceutical products development services in China, the EU, and the United Kingdom, and is pending registration in several other countries. The ARVINAS logo mark is registered for pharmaceutical products development services in Australia, China, the EU, Japan, Norway, Switzerland, and the United Kingdom, and is pending registration in several other countries. The ARVINAS logo mark is also registered for pharmaceutical products in Australia, Brazil, Colombia, the EU, Hong Kong, Indonesia, Israel, Japan, Mexico, New Zealand, Norway, Singapore, South Korea, Switzerland, Taiwan, and the United Kingdom, and is pending registration in several other countries.</w:t>
      </w:r>
    </w:p>
    <w:p>
      <w:pPr>
        <w:spacing w:after="0" w:line="14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4"/>
          <w:szCs w:val="14"/>
          <w:color w:val="auto"/>
        </w:rPr>
        <w:t>We also own U.S. service mark registrations for our “degrading dots” logo mark in both black and white and color form for pharmaceutical products development of new small molecules aimed at degrading disease-causing cellular proteins for treatment in the fields of oncology, immunology, inflammatory diseases, and central nervous system disorders.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our vepdegestrant pipeline product, we have filed trademark applications in the U.S. and internationally for a number of brand name candidates.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Licenses and Strategic Collaborations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Pfizer Vepdegestrant (ARV-471) Collaboration Agreement</w:t>
      </w:r>
    </w:p>
    <w:p>
      <w:pPr>
        <w:spacing w:after="0" w:line="94" w:lineRule="exact"/>
        <w:rPr>
          <w:sz w:val="20"/>
          <w:szCs w:val="20"/>
          <w:color w:val="auto"/>
        </w:rPr>
      </w:pPr>
    </w:p>
    <w:p>
      <w:pPr>
        <w:ind w:right="580" w:firstLine="509"/>
        <w:spacing w:after="0" w:line="290" w:lineRule="auto"/>
        <w:rPr>
          <w:sz w:val="20"/>
          <w:szCs w:val="20"/>
          <w:color w:val="auto"/>
        </w:rPr>
      </w:pPr>
      <w:r>
        <w:rPr>
          <w:rFonts w:ascii="Arial" w:cs="Arial" w:eastAsia="Arial" w:hAnsi="Arial"/>
          <w:sz w:val="14"/>
          <w:szCs w:val="14"/>
          <w:color w:val="auto"/>
        </w:rPr>
        <w:t>In July 2021, we entered into a collaboration agreement with Pfizer, or the Vepdegestrant (ARV-471) Collaboration Agreement, pursuant to which we granted Pfizer worldwide co-exclusive rights to develop and commercialize products containing our proprietary compound vepdegestrant (ARV-471), or the Licensed Products.</w:t>
      </w:r>
    </w:p>
    <w:p>
      <w:pPr>
        <w:spacing w:after="0" w:line="120"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Under the Vepdegestrant (ARV-471) Collaboration Agreement, we received an upfront, non-refundable payment of $650 million. In addition, we are eligible to receive up to an additional $1.4 billion in contingent payments based on specified regulatory and sales-based milestones for the Licensed Products. Of the total contingent payments, $400 million in regulatory milestones are related to marketing approvals and $1.0 billion are related to sales-based milestones.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and Pfizer share equally (50/50) all development costs (including costs for conducting any clinical trials) for the Licensed Products, subject to certain exceptions.</w:t>
      </w:r>
    </w:p>
    <w:p>
      <w:pPr>
        <w:spacing w:after="0" w:line="179"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Unless earlier terminated in accordance with its terms, the Vepdegestrant (ARV-471) Collaboration Agreement will expire on a Licensed Product-by-Licensed Product and country-by-country basis when such Licensed Product is no longer commercialized or developed for commercialization in such country. Pfizer may terminate the Vepdegestrant (ARV-471) Collaboration Agreement for convenience in its entirety or on a region-by-region basis subject to certain notice periods. Either party may terminate the Vepdegestrant</w:t>
      </w:r>
    </w:p>
    <w:p>
      <w:pPr>
        <w:ind w:right="560"/>
        <w:spacing w:after="0" w:line="261" w:lineRule="auto"/>
        <w:rPr>
          <w:sz w:val="20"/>
          <w:szCs w:val="20"/>
          <w:color w:val="auto"/>
        </w:rPr>
      </w:pPr>
      <w:r>
        <w:rPr>
          <w:rFonts w:ascii="Arial" w:cs="Arial" w:eastAsia="Arial" w:hAnsi="Arial"/>
          <w:sz w:val="14"/>
          <w:szCs w:val="14"/>
          <w:color w:val="auto"/>
        </w:rPr>
        <w:t>(ARV-471) Collaboration Agreement for the other party’s uncured material breach or insolvency. Subject to applicable terms of the Vepdegestrant (ARV-471) Collaboration Agreement, including certain payments to Pfizer upon termination for our uncured material breach, effective upon termination of the Vepdegestrant (ARV-471) Collaboration Agreement, we are entitled to retain specified licenses to be able to continue to exploit the Licensed Products.</w:t>
      </w:r>
    </w:p>
    <w:p>
      <w:pPr>
        <w:spacing w:after="0" w:line="140"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0" w:name="page31"/>
    <w:bookmarkEnd w:id="30"/>
    <w:p>
      <w:pPr>
        <w:ind w:right="440" w:firstLine="509"/>
        <w:spacing w:after="0" w:line="290" w:lineRule="auto"/>
        <w:rPr>
          <w:sz w:val="20"/>
          <w:szCs w:val="20"/>
          <w:color w:val="auto"/>
        </w:rPr>
      </w:pPr>
      <w:r>
        <w:rPr>
          <w:rFonts w:ascii="Arial" w:cs="Arial" w:eastAsia="Arial" w:hAnsi="Arial"/>
          <w:sz w:val="14"/>
          <w:szCs w:val="14"/>
          <w:color w:val="auto"/>
        </w:rPr>
        <w:t>In the third quarter of 2025, we announced that we and Pfizer have agreed to jointly select a third party for the commercialization and potential future development of vepdegestrant.</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Pfizer Research Collaboration Agreement</w:t>
      </w:r>
    </w:p>
    <w:p>
      <w:pPr>
        <w:spacing w:after="0" w:line="9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In December 2017, we entered into a Research Collaboration and License Agreement with Pfizer setting forth our collaboration to identify or optimize PROTAC targeted protein degraders that mediate for degradation of targets, referred to in this section as Targets, using our proprietary platform technology that are identified in the agreement or subsequently selected by Pfizer, subject to certain exclusions. We refer to this agreement as the Pfizer Research Collaboration Agreement.</w:t>
      </w:r>
    </w:p>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Under the Pfizer Research Collaboration Agreement, Pfizer has designated a number of initial Targets. For each identified Target, we and Pfizer will conduct a separate research program pursuant to a research plan. Pfizer may make substitutions for any of the initial Target candidates, which substitutions are limited subject to the stage of research for such Target.</w:t>
      </w:r>
    </w:p>
    <w:p>
      <w:pPr>
        <w:spacing w:after="0" w:line="13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and Pfizer are obligated to use commercially reasonable efforts to complete our respective activities set forth in a research plan, including, in our case, the obligation to provide certain deliverables at the end of each stage. Under the research plan, we are required to provide compound formulation and conduct pharmacokinetic/pharmacodynamic and drug safety research and development activities in support of screening and other activities conducted by Pfizer relating to a Target. Following the provision of the deliverables by us for a stage, we will suspend the conduct of any further activities until Pfizer has exercised its right to proceed. If Pfizer does not exercise such right within the applicable time period, we will cease activities for such Target and such Target will no longer be part of the collaboration. Each party will bear its own costs in the conduct of such activities, except that any additional work that we agree with Pfizer to perform outside of the research plan will be paid for by Pfizer.</w:t>
      </w:r>
    </w:p>
    <w:p>
      <w:pPr>
        <w:spacing w:after="0" w:line="14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4"/>
          <w:szCs w:val="14"/>
          <w:color w:val="auto"/>
        </w:rPr>
        <w:t>Pfizer has the right to exercise an option to obtain an exclusive worldwide license with respect to each Target for a specified period of time after receipt of the applicable deliverables for such Target. If Pfizer does not exercise its option for a Target, such Target is no longer subject to the Pfizer Research Collaboration Agreement. If Pfizer exercises such option, Pfizer will have an exclusive license to develop and commercialize compounds directed against such Target, subject to certain diligence obligations.</w:t>
      </w:r>
    </w:p>
    <w:p>
      <w:pPr>
        <w:spacing w:after="0" w:line="13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During the term of the Pfizer Research Collaboration Agreement, we and our affiliates are not permitted, either directly or indirectly, to develop or commercialize any pharmacologically-active agent whose primary mechanism of action is, by design, directed to a Target, or grant any license, covenant not to sue or other right to any third party for the conduct of such activities. There are no restrictions on Pfizer from developing, manufacturing or commercializing products, programs, technologies or processes that are similar to or may compete with any covered by the Pfizer Research Collaboration Agreement, subject to certain limitations on Pfizer’s right to use our confidential information or know-how.</w:t>
      </w:r>
    </w:p>
    <w:p>
      <w:pPr>
        <w:spacing w:after="0" w:line="13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the year ended December 31, 2018, we received an upfront, non -refundable payment and certain additional payments totaling $28.0 million in exchange for use of our technology license and to fund Pfizer-related research as defined within the Pfizer Research Collaboration Agreement. We are eligible to receive up to an additional $ 3.8 million in non-refundable option payments if Pfizer exercises its options for all targets under the Pfizer Research Collaboration Agreement. We are also entitled to receive up to $225.0 million in development milestone payments and up to $550.0 million in sales-based milestone payments for all designated targets under the Pfizer Research Collaboration Agreement, as well as mid- to high-single digit tiered royalties, which may be subject to reductions, on net sales of PROTAC targeted protein degrader-related products. Pfizer selected additional targets and initiated additional services totaling $1.0 million and $3.5 million in December 2022 and 2021, respectively.</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31" w:right="359" w:bottom="1440" w:gutter="0" w:footer="0" w:header="0"/>
        </w:sectPr>
      </w:pPr>
    </w:p>
    <w:bookmarkStart w:id="31" w:name="page32"/>
    <w:bookmarkEnd w:id="31"/>
    <w:p>
      <w:pPr>
        <w:ind w:right="80" w:firstLine="509"/>
        <w:spacing w:after="0" w:line="258" w:lineRule="auto"/>
        <w:rPr>
          <w:sz w:val="20"/>
          <w:szCs w:val="20"/>
          <w:color w:val="auto"/>
        </w:rPr>
      </w:pPr>
      <w:r>
        <w:rPr>
          <w:rFonts w:ascii="Arial" w:cs="Arial" w:eastAsia="Arial" w:hAnsi="Arial"/>
          <w:sz w:val="14"/>
          <w:szCs w:val="14"/>
          <w:color w:val="auto"/>
        </w:rPr>
        <w:t>Unless earlier terminated, the Pfizer Research Collaboration Agreement will expire upon the expiration of all royalty obligations thereunder. The royalty period for each product developed under the Pfizer Research Collaboration Agreement will expire on a country-by-country basis upon the later of (1) the expiration of the last-to-expire valid patent claim that claims or covers the composition of matter of a compound contained within such product or (2) ten years after the first commercial sale with respect to such product. Pfizer has the right to terminate the Pfizer Research Collaboration Agreement for convenience in its entirety or with respect to a specific target on 60 days’ prior notice. Either we or Pfizer may terminate the Pfizer Research Collaboration Agreement, in its entirety or with respect to a specific target, if the other party is in material breach and such breach is not cured within the specified cure period. In addition, either we or Pfizer may terminate the Pfizer Research Collaboration Agreement in the event of specified insolvency events involving the other party. If Pfizer terminates the agreement in its entirety or as a result of our uncured material breach or our insolvency, Pfizer retains its license with respect to Targets for which it has exercised an option (unless Pfizer elects otherwise), subject to reduced payment obligations.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Novartis Transaction</w:t>
      </w:r>
    </w:p>
    <w:p>
      <w:pPr>
        <w:spacing w:after="0" w:line="9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4"/>
          <w:szCs w:val="14"/>
          <w:color w:val="auto"/>
        </w:rPr>
        <w:t>In April 2024, we entered into the Novartis License Agreement and the Novartis Asset Agreement collectively referred to as the Novartis Transaction. The Novartis Transaction closed in May 2024 upon the expiration of the waiting period under the Hart-Scott-Rodino Antitrust Improvements Act of 1976, at which time the Novartis License Agreement and the Novartis Asset Agreement became effective.</w:t>
      </w:r>
    </w:p>
    <w:p>
      <w:pPr>
        <w:spacing w:after="0" w:line="13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spacing w:after="0" w:line="13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 During the year ended December 31, 2025, we received $20.0 million upon the achievement of a development milestone pursuant to the terms of the Novartis License Agreement.</w:t>
      </w:r>
    </w:p>
    <w:p>
      <w:pPr>
        <w:spacing w:after="0" w:line="14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Novartis License Agreement will expire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Amended Yale University License Agreement</w:t>
      </w:r>
    </w:p>
    <w:p>
      <w:pPr>
        <w:spacing w:after="0" w:line="9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In June 2024, we entered into an Amended and Restated License Agreement, or the Amended License Agreement, with Yale, pursuant to which the parties amended and restated the license agreement dated July 5, 2013, as amended to such date, or the Original Yale Agreement. Pursuant to the Original Yale Agreement, Yale granted us an exclusive, worldwide license under specified intellectual property rights for the treatment or prevention of any human or animal disease in which a product mediates degradation of one or more target proteins, which we refer to as the Field, subject to certain exceptions. These licensed intellectual property rights arose from the research conducted by Dr. Craig Crews at Yale.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2" w:name="page33"/>
    <w:bookmarkEnd w:id="32"/>
    <w:p>
      <w:pPr>
        <w:ind w:firstLine="509"/>
        <w:spacing w:after="0" w:line="262" w:lineRule="auto"/>
        <w:rPr>
          <w:sz w:val="20"/>
          <w:szCs w:val="20"/>
          <w:color w:val="auto"/>
        </w:rPr>
      </w:pPr>
      <w:r>
        <w:rPr>
          <w:rFonts w:ascii="Arial" w:cs="Arial" w:eastAsia="Arial" w:hAnsi="Arial"/>
          <w:sz w:val="14"/>
          <w:szCs w:val="14"/>
          <w:color w:val="auto"/>
        </w:rPr>
        <w:t>Pursuant to the Original Yale Agreement, we paid to Yale an upfront payment of $0.1 million and we were responsible for paying Yale an annual license maintenance fee in varying amounts (ranging from the low tens-thousands of dollars to the mid to high tens-thousands of dollars) until the first sale to a third party of any licensed product, which is creditable against our royalty obligations for the given year. As of December 31, 2023, we paid a total of $0.7 million in license maintenance fees to Yale. In connection with the signing of the Amended License Agreement, our obligations under the Original Yale Agreement to pay Yale minimum annual royalties and certain other annual fees were eliminated, and Yale agreed to release all claims arising previously under the Original Yale Agreement.</w:t>
      </w:r>
    </w:p>
    <w:p>
      <w:pPr>
        <w:spacing w:after="0" w:line="14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 xml:space="preserve">Also in connection with the signing of the Amended License Agreement, we made a payment of $14.95 million to Yale, comprising both an upfront payment connected to the Amended License Agreement and an amount related to the collaboration income under the Novartis License Agreement and Novartis Asset Agreement (see Note 3, </w:t>
      </w:r>
      <w:r>
        <w:rPr>
          <w:rFonts w:ascii="Arial" w:cs="Arial" w:eastAsia="Arial" w:hAnsi="Arial"/>
          <w:sz w:val="14"/>
          <w:szCs w:val="14"/>
          <w:i w:val="1"/>
          <w:iCs w:val="1"/>
          <w:color w:val="auto"/>
        </w:rPr>
        <w:t>Research</w:t>
      </w:r>
      <w:r>
        <w:rPr>
          <w:rFonts w:ascii="Arial" w:cs="Arial" w:eastAsia="Arial" w:hAnsi="Arial"/>
          <w:sz w:val="14"/>
          <w:szCs w:val="14"/>
          <w:color w:val="auto"/>
        </w:rPr>
        <w:t xml:space="preserve"> </w:t>
      </w:r>
      <w:r>
        <w:rPr>
          <w:rFonts w:ascii="Arial" w:cs="Arial" w:eastAsia="Arial" w:hAnsi="Arial"/>
          <w:sz w:val="14"/>
          <w:szCs w:val="14"/>
          <w:i w:val="1"/>
          <w:iCs w:val="1"/>
          <w:color w:val="auto"/>
        </w:rPr>
        <w:t>Collaboration and License Agreements</w:t>
      </w:r>
      <w:r>
        <w:rPr>
          <w:rFonts w:ascii="Arial" w:cs="Arial" w:eastAsia="Arial" w:hAnsi="Arial"/>
          <w:sz w:val="14"/>
          <w:szCs w:val="14"/>
          <w:color w:val="auto"/>
        </w:rPr>
        <w:t>, for a description of the agreements). We made another $5.0 million payment in June 2025 on the first anniversary of signing. Thereafter, we</w:t>
      </w:r>
      <w:r>
        <w:rPr>
          <w:rFonts w:ascii="Arial" w:cs="Arial" w:eastAsia="Arial" w:hAnsi="Arial"/>
          <w:sz w:val="14"/>
          <w:szCs w:val="14"/>
          <w:i w:val="1"/>
          <w:iCs w:val="1"/>
          <w:color w:val="auto"/>
        </w:rPr>
        <w:t xml:space="preserve"> </w:t>
      </w:r>
      <w:r>
        <w:rPr>
          <w:rFonts w:ascii="Arial" w:cs="Arial" w:eastAsia="Arial" w:hAnsi="Arial"/>
          <w:sz w:val="14"/>
          <w:szCs w:val="14"/>
          <w:color w:val="auto"/>
        </w:rPr>
        <w:t>will also pay to Yale (1) up to $15.0 million if it secures approval of the first and second royalty products (as defined in the Amended License Agreement), (2) a low single digit percentage royalty on certain, more narrowly defined “collaboration products,” and (3) a lower single digit royalty on its aggregate worldwide net sales of certain newly defined “meaningfully involved products.”</w:t>
      </w:r>
    </w:p>
    <w:p>
      <w:pPr>
        <w:spacing w:after="0" w:line="142"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Other provisions of the Original Yale Agreement remain materially unchanged under the Amended License Agreement, including the 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$3.0 million for the first licensed product and approximately $1.5 million for the second licensed product, certain of which milestones have already been satisfied. We are also required to pay to Yale low single-digit royalties on aggregate worldwide net sales of certain licensed products, which may be subject to reductions, and subject to minimum royalty payments that range from $0.2 million to $0.5 million. We are also responsible for costs relating to the prosecution and maintenance of the licensed patents. Finally, subject to certain conditions, all payments made by us to Yale (except patent costs) will be tripled during the pendency of any patent challenge made by us against Yale.</w:t>
      </w:r>
    </w:p>
    <w:p>
      <w:pPr>
        <w:spacing w:after="0" w:line="142"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The Amended License Agreement remains in effect until (a) for certain products, the date on which the last claim of the licensed patents expires; and (b) for certain products, 10 years after the sale of such products. The expiration of the last to expire patent right licensed from Yale, if it issues as a patent and all appropriate maintenance fees are paid, is currently expected be in 2039. Either we or Yale may terminate the agreement for the other party’s uncured material breach of certain provisions, we may terminate the agreement for convenience upon six months’ prior notice, and Yale may terminate the agreement if we fail to make a payment when due, fail to obtain or maintain adequate insurance coverage or fail to achieve specified financing or regulatory milestone events. The agreement will automatically terminate if we become insolvent.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Genentech License Agreement</w:t>
      </w:r>
    </w:p>
    <w:p>
      <w:pPr>
        <w:spacing w:after="0" w:line="94"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In September 2015, we entered into an Option and License Agreement with Genentech focused on PROTAC targeted protein degrader discovery and research for target proteins, referred to in this section as Targets, based on our proprietary platform technology, other than excluded Targets as described below. Pursuant to this agreement, Genentech had an option to obtain an exclusive worldwide license to the applicable PROTAC targeted protein degraders directed against an applicable Target, which we refer to as Licensed PROTACs. Each such option was required to be exercised within a specified time after we deliver the data package for such Licensed PROTAC to Genentech. Once Genentech exercises an option, it is responsible, at its cost, to use diligent efforts to develop and commercialize the Licensed PROTAC through first commercial sale in the United States, the European Union, or EU, and Japan. This collaboration was expanded in November 2017 through an Amended and Restated Option, License and Collaboration Agreement, which we refer to as the Restated Genentech Agreement. Simultaneous with entering into the Restated Genentech Agreement, Genentech exercised its exclusive option with respect to a PROTAC targeted protein degrader. We receive annual updates on research and development activities related to this option.</w:t>
      </w:r>
    </w:p>
    <w:p>
      <w:pPr>
        <w:spacing w:after="0" w:line="143" w:lineRule="exact"/>
        <w:rPr>
          <w:sz w:val="20"/>
          <w:szCs w:val="20"/>
          <w:color w:val="auto"/>
        </w:rPr>
      </w:pPr>
    </w:p>
    <w:p>
      <w:pPr>
        <w:ind w:right="500" w:firstLine="509"/>
        <w:spacing w:after="0" w:line="290" w:lineRule="auto"/>
        <w:rPr>
          <w:sz w:val="20"/>
          <w:szCs w:val="20"/>
          <w:color w:val="auto"/>
        </w:rPr>
      </w:pPr>
      <w:r>
        <w:rPr>
          <w:rFonts w:ascii="Arial" w:cs="Arial" w:eastAsia="Arial" w:hAnsi="Arial"/>
          <w:sz w:val="14"/>
          <w:szCs w:val="14"/>
          <w:color w:val="auto"/>
        </w:rPr>
        <w:t>Under the Restated Genentech Agreement, Genentech had the right to designate up to ten Targets for further discovery and research utilizing our PROTAC platform technology and also had the right to remove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3" w:name="page34"/>
    <w:bookmarkEnd w:id="33"/>
    <w:p>
      <w:pPr>
        <w:ind w:right="60"/>
        <w:spacing w:after="0" w:line="265" w:lineRule="auto"/>
        <w:rPr>
          <w:sz w:val="20"/>
          <w:szCs w:val="20"/>
          <w:color w:val="auto"/>
        </w:rPr>
      </w:pPr>
      <w:r>
        <w:rPr>
          <w:rFonts w:ascii="Arial" w:cs="Arial" w:eastAsia="Arial" w:hAnsi="Arial"/>
          <w:sz w:val="14"/>
          <w:szCs w:val="14"/>
          <w:color w:val="auto"/>
        </w:rPr>
        <w:t>Target from the collaboration and substitute a different Target that is not an excluded Target at any time prior to us commencing research on such Target or in certain circumstances following commencement of research by us. The research phase of the collaboration with Genentech has ended. As such, Genentech is no longer able to nominate new Targets into the collaboration, and there are no active Targets in the collaboration for which we are conducting research activities. The only Target that remains part of the collaboration is the PROTAC targeted protein degrader for which Genentech exercised its exclusive option for as noted above.</w:t>
      </w:r>
    </w:p>
    <w:p>
      <w:pPr>
        <w:spacing w:after="0" w:line="13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Under the terms of the Restated Genentech Agreement, we received $11.0 million in 2015 and an additional $34.5 million in 2017 in upfront payments and expansion target payments. We are also eligible to receive payments aggregating up to $44.0 million per Target subject to the achievement of specified development milestones; payments aggregating up to $52.5 million per Target (assuming approval of two indications) subject to the achievement of specified regulatory milestones; and payments aggregating up to $60 million per Licensed PROTAC subject to the achievement of specified sales milestones. These milestone payments are subject to reduction if we do not have a valid patent claim covering the Licensed PROTAC at the time the milestone is achieved. We are also eligible to receive, on net sales of Licensed PROTACs, mid-single digit royalties, which may be subject to reductions.</w:t>
      </w:r>
    </w:p>
    <w:p>
      <w:pPr>
        <w:spacing w:after="0" w:line="142" w:lineRule="exact"/>
        <w:rPr>
          <w:sz w:val="20"/>
          <w:szCs w:val="20"/>
          <w:color w:val="auto"/>
        </w:rPr>
      </w:pPr>
    </w:p>
    <w:p>
      <w:pPr>
        <w:ind w:firstLine="509"/>
        <w:spacing w:after="0" w:line="255" w:lineRule="auto"/>
        <w:rPr>
          <w:sz w:val="20"/>
          <w:szCs w:val="20"/>
          <w:color w:val="auto"/>
        </w:rPr>
      </w:pPr>
      <w:r>
        <w:rPr>
          <w:rFonts w:ascii="Arial" w:cs="Arial" w:eastAsia="Arial" w:hAnsi="Arial"/>
          <w:sz w:val="14"/>
          <w:szCs w:val="14"/>
          <w:color w:val="auto"/>
        </w:rPr>
        <w:t>Unless earlier terminated, the Restated Genentech Agreement will expire upon the expiration of all royalty periods for any Licensed PROTACs. The royalty period for each Licensed PROTAC expires on a country-by-country basis upon either (1) the expiration of the last-to-expire valid patent claim covering such Licensed PROTAC or (2) ten years after the first commercial sale with respect to such Licensed PROTAC, depending on whether the sale of the Licensed PROTAC is covered by an applicable valid claim. The expiration of the last to expire patent right licensed to Genentech, if it issues as a patent and all appropriate maintenance fees are paid, is currently expected be in 2042. We could also obtain rights to additional patents, including through the issuance of pending patent applications, with later expiration dates, or new Licensed PROTACs could be added to the agreement that are subject to additional royalty terms with later expiration dates, which in either case could extend the term of the Restated Genentech Agreement. Genentech has the right to terminate the Restated Genentech Agreement for convenience in its entirety or with respect to a specific Target on 60 days’ prior notice. Either we or Genentech may terminate the agreement, in its entirety or with respect to a specific Target, if the other party is in material breach and such breach is not cured within the specified cure period. In addition, either we or Genentech may terminate the agreement in the event of specified insolvency events involving the other party. If Genentech terminates the agreement for convenience or if we terminate the agreement as a result of Genentech’s uncured material breach or Genentech’s insolvency, all licenses we granted to Genentech terminate (either in its entirety or with respect to a specific Target, as applicable based on the nature of the termination). If Genentech terminates the agreement as a result of our uncured material breach or our insolvency, all licenses that we granted to Genentech terminate (either in its entirety or with respect to a specific Target, as applicable based on the nature of the termination), except that Genentech has the right to elect to retain its licenses, in which case it would no longer be obligated to use diligent efforts to develop and commercialize the applicable Licensed PROTACs and its payment obligations to us would be reduced.</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Competition</w:t>
      </w:r>
    </w:p>
    <w:p>
      <w:pPr>
        <w:spacing w:after="0" w:line="94"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42"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Our platform and product focus is the discovery and development of protein degradation therapies using our small molecule PROTAC targeted protein degraders. Other companies researching chimeric small molecules for protein degradation include Accutar Biotechnology, Inc., C4 Therapeutics, Inc., Cullgen Inc.,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4" w:name="page35"/>
    <w:bookmarkEnd w:id="34"/>
    <w:p>
      <w:pPr>
        <w:spacing w:after="0" w:line="260" w:lineRule="auto"/>
        <w:rPr>
          <w:sz w:val="20"/>
          <w:szCs w:val="20"/>
          <w:color w:val="auto"/>
        </w:rPr>
      </w:pPr>
      <w:r>
        <w:rPr>
          <w:rFonts w:ascii="Arial" w:cs="Arial" w:eastAsia="Arial" w:hAnsi="Arial"/>
          <w:sz w:val="14"/>
          <w:szCs w:val="14"/>
          <w:color w:val="auto"/>
        </w:rPr>
        <w:t>Foghorn Therapeutics, Inc., Kymera Therapeutics, Inc., Nurix Therapeutics, Inc. and Proteovant Therapeutics, Inc. Further, several large pharmaceutical companies have disclosed preclinical or clinical investments in this field, including AbbVie Inc., Amgen Inc., Astellas Pharma, Inc., AstraZeneca plc, BeOne Medicines Ltd., Boehringer Ingelheim, Bristol Myers Squibb Company, GlaxoSmithKline plc, Genentech, Novartis AG, Pfizer and Sanofi. Since 2020, some of these biotechnology and pharmaceutical companies have announced the initiation of clinical trials for targeted protein degraders. In addition to competition from other protein degradation therapies, any products that we develop may also face competition from other types of therapies, such as small molecule, antibody, or gene therapies. Additionally, other novel targeting mechanisms could ultimately address similar patient populations, such as SERDs, in breast cancer.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competitive information related to our specific product candidates is summarized below:</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ARV-102</w:t>
      </w:r>
    </w:p>
    <w:p>
      <w:pPr>
        <w:spacing w:after="0" w:line="9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Our product candidate, ARV-102, is a PROTAC LRRK2 degrader and in development to treat PD and PSP. With respect to PD, we are aware that several companies have candidates in the clinic designed to degrade or inhibit LRRK2, including IONIS Pharmaceuticals, Inc., Brenig Therapeutics, Inc., Biogen Inc. and Denali Therapeutics, Inc., Neuron 23, Inc. and Oncodesign Precision Medicine. There are also several companies who are developing product candidates to treat PD that are not LRRK2 inhibitors or degraders, including Genentech, a member of the Roche Group, Ventyx Biosciences, Inc., and Prevail Therapeutics, Inc.. No LRRK-2 targeted therapy is currently in the clinic for PSP. However, several companies do have product candidates in the clinic to treat PSP, including Novartis AG, Aprinoia Therapeutics, Inc., Transponson Therapeutics, Inc., Ferrer Internacionale, S.A., , Alzprotect SAS and GemVax &amp; KAEL Co., Ltd.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ARV-393</w:t>
      </w:r>
    </w:p>
    <w:p>
      <w:pPr>
        <w:spacing w:after="0" w:line="94"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Our product candidate, ARV-393 is a PROTAC BCL6 degrader and in development to treat relapsed/refractory NHL. We are aware of four companies with BCL6 degraders or inhibitors in the clinic, including Bristol Myers Squibb Company, Treeline Biosciences, Inc., Haisco Pharmaceutical Group, and Eli Lilly and Company. We also believe there may be several non-BCL6 degrader or inhibitor companies with product candidates to treat relapsed/refractory NHL, including F. Hoffman-La Roche Ltd. and AbbVie and its partner, Genmab.</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ARV-806</w:t>
      </w:r>
    </w:p>
    <w:p>
      <w:pPr>
        <w:spacing w:after="0" w:line="9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4"/>
          <w:szCs w:val="14"/>
          <w:color w:val="auto"/>
        </w:rPr>
        <w:t>Our product candidate, ARV-806, is a PROTAC KRAS G12D degrader in development to treat cancers with the G12D mutation, including pancreatic, colorectal and non-small cell lung cancers. We are aware that several companies have KRAS G12D or related inhibitors or degraders in the clinic, including Astellas Pharma, Inc., Incyte Corp., Genfleet Therapeutics, Inc., Verastem, Inc., Revolution Medicines, Inc., and Kumquat Biosciences Inc.</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ARV-027</w:t>
      </w:r>
    </w:p>
    <w:p>
      <w:pPr>
        <w:spacing w:after="0" w:line="94" w:lineRule="exact"/>
        <w:rPr>
          <w:sz w:val="20"/>
          <w:szCs w:val="20"/>
          <w:color w:val="auto"/>
        </w:rPr>
      </w:pPr>
    </w:p>
    <w:p>
      <w:pPr>
        <w:ind w:right="440" w:firstLine="509"/>
        <w:spacing w:after="0" w:line="290" w:lineRule="auto"/>
        <w:rPr>
          <w:sz w:val="20"/>
          <w:szCs w:val="20"/>
          <w:color w:val="auto"/>
        </w:rPr>
      </w:pPr>
      <w:r>
        <w:rPr>
          <w:rFonts w:ascii="Arial" w:cs="Arial" w:eastAsia="Arial" w:hAnsi="Arial"/>
          <w:sz w:val="14"/>
          <w:szCs w:val="14"/>
          <w:color w:val="auto"/>
        </w:rPr>
        <w:t>Our product candidate, ARV-027, is a PROTAC poly-Q AR degrader targeting polyQ-AR in skeletal muscle. We are aware that several companies have poly-Q AR or related inhibitors or degraders in the clinic, including AnnJi Pharmaceutical Co., Ltd.</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Vepdegestrant</w:t>
      </w:r>
    </w:p>
    <w:p>
      <w:pPr>
        <w:spacing w:after="0" w:line="94" w:lineRule="exact"/>
        <w:rPr>
          <w:sz w:val="20"/>
          <w:szCs w:val="20"/>
          <w:color w:val="auto"/>
        </w:rPr>
      </w:pPr>
    </w:p>
    <w:p>
      <w:pPr>
        <w:jc w:val="both"/>
        <w:ind w:right="580" w:firstLine="509"/>
        <w:spacing w:after="0" w:line="271" w:lineRule="auto"/>
        <w:rPr>
          <w:sz w:val="20"/>
          <w:szCs w:val="20"/>
          <w:color w:val="auto"/>
        </w:rPr>
      </w:pPr>
      <w:r>
        <w:rPr>
          <w:rFonts w:ascii="Arial" w:cs="Arial" w:eastAsia="Arial" w:hAnsi="Arial"/>
          <w:sz w:val="14"/>
          <w:szCs w:val="14"/>
          <w:color w:val="auto"/>
        </w:rPr>
        <w:t>Our product candidate, vepdegestrant, targets breast cancer. In the second quarter of 2025, we and Pfizer submitted an NDA to the FDA, for vepdegestrant for the treatment of patients with ER+/HER2- ESR1-mutated advanced or metastatic breast cancer previously treated with endocrine-based therapy. This represents the first NDA submitted for a PROTAC. In the third quarter of 2025, we announced that the FDA accepted the NDA for vepdegestrant and assigned a PDUFA date of June 5, 2026.</w:t>
      </w:r>
    </w:p>
    <w:p>
      <w:pPr>
        <w:spacing w:after="0" w:line="13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most common methods of treating patients in oncologic indications, including breast cancer, are surgery, radiation and drug therapy, including chemotherapy, hormone therapy and targeted drug therapy. There are a variety of available drug therapies marketed for cancer, including breast cancer.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35" w:name="page36"/>
    <w:bookmarkEnd w:id="35"/>
    <w:p>
      <w:pPr>
        <w:ind w:right="60"/>
        <w:spacing w:after="0" w:line="290" w:lineRule="auto"/>
        <w:rPr>
          <w:sz w:val="20"/>
          <w:szCs w:val="20"/>
          <w:color w:val="auto"/>
        </w:rPr>
      </w:pPr>
      <w:r>
        <w:rPr>
          <w:rFonts w:ascii="Arial" w:cs="Arial" w:eastAsia="Arial" w:hAnsi="Arial"/>
          <w:sz w:val="14"/>
          <w:szCs w:val="14"/>
          <w:color w:val="auto"/>
        </w:rPr>
        <w:t>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120" w:lineRule="exact"/>
        <w:rPr>
          <w:sz w:val="20"/>
          <w:szCs w:val="20"/>
          <w:color w:val="auto"/>
        </w:rPr>
      </w:pPr>
    </w:p>
    <w:p>
      <w:pPr>
        <w:ind w:right="220" w:firstLine="509"/>
        <w:spacing w:after="0" w:line="265" w:lineRule="auto"/>
        <w:rPr>
          <w:sz w:val="20"/>
          <w:szCs w:val="20"/>
          <w:color w:val="auto"/>
        </w:rPr>
      </w:pPr>
      <w:r>
        <w:rPr>
          <w:rFonts w:ascii="Arial" w:cs="Arial" w:eastAsia="Arial" w:hAnsi="Arial"/>
          <w:sz w:val="14"/>
          <w:szCs w:val="14"/>
          <w:color w:val="auto"/>
        </w:rPr>
        <w:t>In addition to currently marketed drugs, including elacestrant, an oral SERD, imlunestrant, an oral SERD, and fulvestrant, a first-generation SERD, there are also several product candidates in late stage clinical development for the treatment of metastatic ER+/HER2- breast cancer. These products in development include, in the case of metastatic ER+/HER2- breast cancer, SERDs, including camizestrant, giredestrant, and may provide efficacy, safety, convenience and other benefits that are not provided by currently marketed therapies. As a result, they may provide significant competition for vepdegestrant for which we obtain market approval.</w:t>
      </w:r>
    </w:p>
    <w:p>
      <w:pPr>
        <w:spacing w:after="0" w:line="138"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If any of our product candidates are approved for the indications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13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The key competitive factors affecting the success of all our programs, if approved, are likely to be their efficacy, safety, convenience, price, level of generic competition and availability of reimbursement.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Commercialization Plans</w:t>
      </w:r>
    </w:p>
    <w:p>
      <w:pPr>
        <w:spacing w:after="0" w:line="94"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Our product candidates are still in preclinical and clinical development. Other than our discovery collaboration agreements, to date, we have retained commercialization rights for all of our development programs including global co-commercialization rights for vepdegestrant through our collaboration with Pfizer.</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past years, we had begun the process of establishing our own focused, specialized sales, marketing, and market access organization to support the commercialization of our product candidates, including vepdegestrant, in the United States. However, in September 2025, we announced that, with Pfizer, we have agreed to jointly select a third party for the commercialization and potential further development of vepdegestrant.</w:t>
      </w:r>
    </w:p>
    <w:p>
      <w:pPr>
        <w:spacing w:after="0" w:line="49"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As our other product candidates progress through clinical development, we will revisit our commercial plans. We would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 However, 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Manufacturing and Supply</w:t>
      </w:r>
    </w:p>
    <w:p>
      <w:pPr>
        <w:spacing w:after="0" w:line="9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We do not own or operate, and currently have no plans to establish, any manufacturing facilities. We rely on and expect to continue to rely on third-party contract manufacturing organizations, or CMOs, and contract development and manufacturing organizations, or CDMOs, for both drug substance and finished drug product as well as for the synthesis of compounds in our preclinical research and development activities. We have engaged third-party manufacturers to supply the building blocks and drug substances for ARV-102, ARV-806, ARV-393, and vepdegestrant, as well as ARV-027, and we have also engaged third-party manufacturers to develop and manufacture finished drug product for ARV-102, ARV-393, ARV-806 and vepdegestrant, as well as ARV-027, that we are using and plan to use in our ongoing and planned Phase 1/2 and pivotal clinical trials, as well as for part of our IND-enabling plan.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 Pursuant to the Vepdegestrant (ARV-471) Collaboration Agreement with Pfizer, Pfizer has primary responsibility to manufacture the commercial supply of vepdegestrant.</w:t>
      </w:r>
    </w:p>
    <w:p>
      <w:pPr>
        <w:spacing w:after="0" w:line="146" w:lineRule="exact"/>
        <w:rPr>
          <w:sz w:val="20"/>
          <w:szCs w:val="20"/>
          <w:color w:val="auto"/>
        </w:rPr>
      </w:pPr>
    </w:p>
    <w:p>
      <w:pPr>
        <w:ind w:right="560" w:firstLine="509"/>
        <w:spacing w:after="0" w:line="290" w:lineRule="auto"/>
        <w:rPr>
          <w:sz w:val="20"/>
          <w:szCs w:val="20"/>
          <w:color w:val="auto"/>
        </w:rPr>
      </w:pPr>
      <w:r>
        <w:rPr>
          <w:rFonts w:ascii="Arial" w:cs="Arial" w:eastAsia="Arial" w:hAnsi="Arial"/>
          <w:sz w:val="14"/>
          <w:szCs w:val="14"/>
          <w:color w:val="auto"/>
        </w:rPr>
        <w:t>All of our product candidates are organic compounds of low molecular weight, generally called small molecules, but which are larger than traditional small molecule therapeutics. We have selected these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36" w:name="page37"/>
    <w:bookmarkEnd w:id="36"/>
    <w:p>
      <w:pPr>
        <w:ind w:right="60"/>
        <w:spacing w:after="0" w:line="265" w:lineRule="auto"/>
        <w:rPr>
          <w:sz w:val="20"/>
          <w:szCs w:val="20"/>
          <w:color w:val="auto"/>
        </w:rPr>
      </w:pPr>
      <w:r>
        <w:rPr>
          <w:rFonts w:ascii="Arial" w:cs="Arial" w:eastAsia="Arial" w:hAnsi="Arial"/>
          <w:sz w:val="14"/>
          <w:szCs w:val="14"/>
          <w:color w:val="auto"/>
        </w:rPr>
        <w:t>compounds not only on the basis of their potential efficacy and safety, but also for their ease of synthesis and reasonable cost of goods. In particular, our lead product candidates are manufactured using reliable and reproducible synthetic processes from readily available starting materials. The chemistry is amenable to scale up and does not require unusual equipment in the manufacturing process. We expect to continue to develop product candidates that can be produced cost-effectively at contract manufacturing facilities or with partners.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Government Regulation and Product Approvals</w:t>
      </w:r>
    </w:p>
    <w:p>
      <w:pPr>
        <w:spacing w:after="0" w:line="9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and jurisdictions, such as the EU, extensively regulate, among other things, the research, development, testing, manufacture, pricing, quality control, approval, packaging, storage, recordkeeping, labeling, advertising, promotion, distribution, marketing, sales, reimbursement, post-approval monitoring and reporting, and import and export of 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Approval and Regulation of Drugs in the United States</w:t>
      </w:r>
    </w:p>
    <w:p>
      <w:pPr>
        <w:spacing w:after="0" w:line="94" w:lineRule="exact"/>
        <w:rPr>
          <w:sz w:val="20"/>
          <w:szCs w:val="20"/>
          <w:color w:val="auto"/>
        </w:rPr>
      </w:pPr>
    </w:p>
    <w:p>
      <w:pPr>
        <w:ind w:right="320" w:firstLine="509"/>
        <w:spacing w:after="0" w:line="276" w:lineRule="auto"/>
        <w:rPr>
          <w:sz w:val="20"/>
          <w:szCs w:val="20"/>
          <w:color w:val="auto"/>
        </w:rPr>
      </w:pPr>
      <w:r>
        <w:rPr>
          <w:rFonts w:ascii="Arial" w:cs="Arial" w:eastAsia="Arial" w:hAnsi="Arial"/>
          <w:sz w:val="14"/>
          <w:szCs w:val="14"/>
          <w:color w:val="auto"/>
        </w:rPr>
        <w:t>In the United States, drug products are regulated under the Federal Food, Drug, and Cosmetic Act, or FDCA, and applicable implementing regulations and guidance. A company, institution, or organization which takes responsibility for the initiation and management of a clinical development program for investigational products, and for their</w:t>
      </w:r>
    </w:p>
    <w:p>
      <w:pPr>
        <w:spacing w:after="0" w:line="1"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regulatory approval, is typically referred to as a sponsor. The failure of a sponsor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34"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A sponsor seeking approval to market and distribute a new drug product in the United States generally must satisfactorily complete each of the following steps before the product candidate will be approved by the FDA:</w:t>
      </w:r>
    </w:p>
    <w:p>
      <w:pPr>
        <w:spacing w:after="0" w:line="35" w:lineRule="exact"/>
        <w:rPr>
          <w:sz w:val="20"/>
          <w:szCs w:val="20"/>
          <w:color w:val="auto"/>
        </w:rPr>
      </w:pPr>
    </w:p>
    <w:p>
      <w:pPr>
        <w:ind w:left="760" w:right="60" w:hanging="246"/>
        <w:spacing w:after="0" w:line="29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preclinical testing including laboratory tests, animal studies and formulation studies, which must be performed in accordance with the FDA’s good laboratory practice, or GLP, regulations and standards;</w:t>
      </w:r>
    </w:p>
    <w:p>
      <w:pPr>
        <w:spacing w:after="0" w:line="35" w:lineRule="exact"/>
        <w:rPr>
          <w:rFonts w:ascii="Arial" w:cs="Arial" w:eastAsia="Arial" w:hAnsi="Arial"/>
          <w:sz w:val="14"/>
          <w:szCs w:val="14"/>
          <w:color w:val="auto"/>
        </w:rPr>
      </w:pPr>
    </w:p>
    <w:p>
      <w:pPr>
        <w:ind w:left="760" w:right="160" w:hanging="246"/>
        <w:spacing w:after="0" w:line="29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design of a clinical protocol and submission to the FDA of an IND for human clinical testing, which must become effective before human clinical trials may begin;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or IRB, representing each clinical site before each clinical trial may be initiated;</w:t>
      </w:r>
    </w:p>
    <w:p>
      <w:pPr>
        <w:spacing w:after="0" w:line="93" w:lineRule="exact"/>
        <w:rPr>
          <w:rFonts w:ascii="Arial" w:cs="Arial" w:eastAsia="Arial" w:hAnsi="Arial"/>
          <w:sz w:val="14"/>
          <w:szCs w:val="14"/>
          <w:color w:val="auto"/>
        </w:rPr>
      </w:pPr>
    </w:p>
    <w:p>
      <w:pPr>
        <w:ind w:left="760" w:right="680" w:hanging="246"/>
        <w:spacing w:after="0" w:line="29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to establish the safety and efficacy of the product candidate for each proposed indication, in accordance with good clinical practices, or GCP;</w:t>
      </w:r>
    </w:p>
    <w:p>
      <w:pPr>
        <w:spacing w:after="0" w:line="35" w:lineRule="exact"/>
        <w:rPr>
          <w:rFonts w:ascii="Arial" w:cs="Arial" w:eastAsia="Arial" w:hAnsi="Arial"/>
          <w:sz w:val="14"/>
          <w:szCs w:val="14"/>
          <w:color w:val="auto"/>
        </w:rPr>
      </w:pPr>
    </w:p>
    <w:p>
      <w:pPr>
        <w:ind w:left="760" w:right="520" w:hanging="246"/>
        <w:spacing w:after="0" w:line="29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preparation and submission to the FDA of an NDA for a drug product which includes not only the results of the clinical trials, but also, detailed information on the chemistry, manufacturing and controls, or CMC, for the product candidate and proposed labeling for one or more proposed indication(s);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review of the product candidate by an FDA advisory committee, where appropriate or if applicable;</w:t>
      </w:r>
    </w:p>
    <w:p>
      <w:pPr>
        <w:spacing w:after="0" w:line="93" w:lineRule="exact"/>
        <w:rPr>
          <w:rFonts w:ascii="Arial" w:cs="Arial" w:eastAsia="Arial" w:hAnsi="Arial"/>
          <w:sz w:val="14"/>
          <w:szCs w:val="14"/>
          <w:color w:val="auto"/>
        </w:rPr>
      </w:pPr>
    </w:p>
    <w:p>
      <w:pPr>
        <w:ind w:left="760" w:right="100" w:hanging="246"/>
        <w:spacing w:after="0" w:line="27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4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satisfactory completion of any FDA audits of the clinical trial sites to assure compliance with GCP and the integrity of clinical data in support of the NDA;</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7" w:name="page38"/>
    <w:bookmarkEnd w:id="37"/>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payment of user fees pursuant to the PDUFA and securing FDA approval of the NDA to allow marketing of the new drug product;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compliance with any post-marketing requirements.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Preclinical Studies</w:t>
      </w:r>
    </w:p>
    <w:p>
      <w:pPr>
        <w:spacing w:after="0" w:line="189" w:lineRule="exact"/>
        <w:rPr>
          <w:sz w:val="20"/>
          <w:szCs w:val="20"/>
          <w:color w:val="auto"/>
        </w:rPr>
      </w:pPr>
    </w:p>
    <w:p>
      <w:pPr>
        <w:ind w:right="60" w:firstLine="509"/>
        <w:spacing w:after="0" w:line="242" w:lineRule="auto"/>
        <w:rPr>
          <w:sz w:val="20"/>
          <w:szCs w:val="20"/>
          <w:color w:val="auto"/>
        </w:rPr>
      </w:pPr>
      <w:r>
        <w:rPr>
          <w:rFonts w:ascii="Arial" w:cs="Arial" w:eastAsia="Arial" w:hAnsi="Arial"/>
          <w:sz w:val="14"/>
          <w:szCs w:val="14"/>
          <w:color w:val="auto"/>
        </w:rPr>
        <w:t xml:space="preserve">Before a sponsor begins testing a product candidate with potential therapeutic value in humans, the product candidate enters the preclinical testing stage, including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animal studies to assess the safety and activity of the drug for initial testing in humans and to establish rationale for therapeutic use. Preclinical tests include laboratory evaluations of product chemistry, formulation and stability, as well as other studies to evaluate, among other things, the toxicity of the product candidate. These studies are typically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With passage of the FDA’s Modernization Act 2.0 in December 2022, Congress eliminated provisions in the FDCA that required animal testing in support of an NDA. In April 2025, the FDA released a roadmap to replace animal</w:t>
      </w:r>
    </w:p>
    <w:p>
      <w:pPr>
        <w:spacing w:after="0" w:line="1"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 xml:space="preserve">testing in preclinical safety studies with scientifically validated new approach methodologies, such as organ-on-a-chip systems, computational modeling, and advanced </w:t>
      </w:r>
      <w:r>
        <w:rPr>
          <w:rFonts w:ascii="Arial" w:cs="Arial" w:eastAsia="Arial" w:hAnsi="Arial"/>
          <w:sz w:val="16"/>
          <w:szCs w:val="16"/>
          <w:i w:val="1"/>
          <w:iCs w:val="1"/>
          <w:color w:val="auto"/>
        </w:rPr>
        <w:t>in vitro</w:t>
      </w:r>
      <w:r>
        <w:rPr>
          <w:rFonts w:ascii="Arial" w:cs="Arial" w:eastAsia="Arial" w:hAnsi="Arial"/>
          <w:sz w:val="14"/>
          <w:szCs w:val="14"/>
          <w:color w:val="auto"/>
        </w:rPr>
        <w:t xml:space="preserve"> assays. Some long-term preclinical testing, such as animal tests of reproductive adverse events and carcinogenicity, and long-term toxicity studies, may continue after the IND 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submitted.</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IND and IRB Processes</w:t>
      </w:r>
    </w:p>
    <w:p>
      <w:pPr>
        <w:spacing w:after="0" w:line="94"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An IND is a request for FDA authorization to administer an investigational product to humans. Such authorization must be secured prior to interstate shipment and administration to a trial subject of any product candidate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w:t>
      </w:r>
    </w:p>
    <w:p>
      <w:pPr>
        <w:spacing w:after="0" w:line="138"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The FDA requires a 30-day waiting period after the filing of each original IND before clinical trials may begin. This waiting period is designed to allow the FDA to review the IND to determine whether human research subjects will be exposed to unreasonable health risks. The FDA’s primary objectives in reviewing an IND are to assure the safety and rights of patients and subjects in the study, and to help assure that the quality of the investigation will be adequate to permit an evaluation of the investigational product’s safety and efficacy.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may begin.</w:t>
      </w:r>
    </w:p>
    <w:p>
      <w:pPr>
        <w:spacing w:after="0" w:line="140"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Following commencement of a clinical trial under an IND, the FDA may also place a clinical hold or partial clinical hold on that trial. The FDA imposes clinical holds whenever there is concern for patient safety and may be a result of new data, findings, or developments in clinical, nonclinical, and/or CMC. Thus, occasionally, clinical holds are imposed due to manufacturing issues that may present safety issues for the clinical study subjects.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w:t>
      </w:r>
    </w:p>
    <w:p>
      <w:pPr>
        <w:spacing w:after="0" w:line="14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demonstrating to the satisfaction of the FDA that the investigation can proceed.</w:t>
      </w:r>
    </w:p>
    <w:p>
      <w:pPr>
        <w:spacing w:after="0" w:line="138" w:lineRule="exact"/>
        <w:rPr>
          <w:sz w:val="20"/>
          <w:szCs w:val="20"/>
          <w:color w:val="auto"/>
        </w:rPr>
      </w:pPr>
    </w:p>
    <w:p>
      <w:pPr>
        <w:ind w:right="320" w:firstLine="509"/>
        <w:spacing w:after="0" w:line="290" w:lineRule="auto"/>
        <w:rPr>
          <w:sz w:val="20"/>
          <w:szCs w:val="20"/>
          <w:color w:val="auto"/>
        </w:rPr>
      </w:pPr>
      <w:r>
        <w:rPr>
          <w:rFonts w:ascii="Arial" w:cs="Arial" w:eastAsia="Arial" w:hAnsi="Arial"/>
          <w:sz w:val="14"/>
          <w:szCs w:val="14"/>
          <w:color w:val="auto"/>
        </w:rPr>
        <w:t>In addition to the foregoing IND requirements, an IRB representing each institution participating in the clinical trial must review and approve the plan for any clinical trial before it commences at that institution,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8" w:name="page39"/>
    <w:bookmarkEnd w:id="38"/>
    <w:p>
      <w:pPr>
        <w:ind w:right="80"/>
        <w:spacing w:after="0" w:line="265" w:lineRule="auto"/>
        <w:rPr>
          <w:sz w:val="20"/>
          <w:szCs w:val="20"/>
          <w:color w:val="auto"/>
        </w:rPr>
      </w:pPr>
      <w:r>
        <w:rPr>
          <w:rFonts w:ascii="Arial" w:cs="Arial" w:eastAsia="Arial" w:hAnsi="Arial"/>
          <w:sz w:val="14"/>
          <w:szCs w:val="14"/>
          <w:color w:val="auto"/>
        </w:rPr>
        <w:t>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3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However, there is no official timeline for an IND amendment. New studies may begin, however, when the sponsor has submitted the change to FDA for its review and the new protocol or changes to the existing protocol have been approved by the IRB with the responsibility for review and approval of the studies.</w:t>
      </w:r>
    </w:p>
    <w:p>
      <w:pPr>
        <w:spacing w:after="0" w:line="138" w:lineRule="exact"/>
        <w:rPr>
          <w:sz w:val="20"/>
          <w:szCs w:val="20"/>
          <w:color w:val="auto"/>
        </w:rPr>
      </w:pPr>
    </w:p>
    <w:p>
      <w:pPr>
        <w:ind w:right="260" w:firstLine="509"/>
        <w:spacing w:after="0" w:line="265" w:lineRule="auto"/>
        <w:rPr>
          <w:sz w:val="20"/>
          <w:szCs w:val="20"/>
          <w:color w:val="auto"/>
        </w:rPr>
      </w:pPr>
      <w:r>
        <w:rPr>
          <w:rFonts w:ascii="Arial" w:cs="Arial" w:eastAsia="Arial" w:hAnsi="Arial"/>
          <w:sz w:val="14"/>
          <w:szCs w:val="14"/>
          <w:color w:val="auto"/>
        </w:rPr>
        <w:t>Additionally, some trials are overseen by an independent group of qualified experts organized by the trial sponsor, known as a data monitoring committee, or DMC. This group provides authorization for whether a trial may move forward at designated check points based on access that only the DMC maintains of available data. Suspension or termination of development during any phase of clinical trials can occur if it is determined that the participants or patients are being exposed to an unacceptable health risk or for other reasons.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Expanded Access to an Investigational Drug</w:t>
      </w:r>
    </w:p>
    <w:p>
      <w:pPr>
        <w:spacing w:after="0" w:line="9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Expanded access, sometimes called “compassionate use,” is the use of investigational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drug product under a treatment protocol or Treatment IND application.</w:t>
      </w:r>
    </w:p>
    <w:p>
      <w:pPr>
        <w:spacing w:after="0" w:line="142" w:lineRule="exact"/>
        <w:rPr>
          <w:sz w:val="20"/>
          <w:szCs w:val="20"/>
          <w:color w:val="auto"/>
        </w:rPr>
      </w:pPr>
    </w:p>
    <w:p>
      <w:pPr>
        <w:ind w:right="20" w:firstLine="509"/>
        <w:spacing w:after="0" w:line="261" w:lineRule="auto"/>
        <w:rPr>
          <w:sz w:val="20"/>
          <w:szCs w:val="20"/>
          <w:color w:val="auto"/>
        </w:rPr>
      </w:pPr>
      <w:r>
        <w:rPr>
          <w:rFonts w:ascii="Arial" w:cs="Arial" w:eastAsia="Arial" w:hAnsi="Arial"/>
          <w:sz w:val="14"/>
          <w:szCs w:val="14"/>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30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4"/>
          <w:szCs w:val="14"/>
          <w:color w:val="auto"/>
        </w:rPr>
        <w:t>There is no obligation for a sponsor to make its drug products available for expanded access. However, if a sponsor has a policy regarding how it responds to expanded access requests, it must make that policy publicly available. Specifically, sponsors are required to make such policies publicly available upon the earlier of initiation of a Phase 2 or Phase 3 clinical trial; or 15 days after the investigational drug or biologic product receives designation as a breakthrough therapy, fast track product, or regenerative medicine advanced therapy. We received Fast Track designation for bavdegalutamide for mCRPC in 2019 and for vepdegestrant for ER+/HER2- breast cancer in the first quarter of 2024. In October 2025, the FDA issued final guidance further clarifying the statutory and regulatory requirements governing expanded access.</w:t>
      </w:r>
    </w:p>
    <w:p>
      <w:pPr>
        <w:spacing w:after="0" w:line="151"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In addition to and separate from expanded access, the Right to Try Act was signed into law on May 30, 2018.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permission under the FDA expanded access program. There is no obligation for a drug manufacturer to make its investigational drug products available to eligible patients under the Right to Try Act.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9" w:name="page40"/>
    <w:bookmarkEnd w:id="39"/>
    <w:p>
      <w:pPr>
        <w:ind w:left="520"/>
        <w:spacing w:after="0"/>
        <w:rPr>
          <w:sz w:val="20"/>
          <w:szCs w:val="20"/>
          <w:color w:val="auto"/>
        </w:rPr>
      </w:pPr>
      <w:r>
        <w:rPr>
          <w:rFonts w:ascii="Arial" w:cs="Arial" w:eastAsia="Arial" w:hAnsi="Arial"/>
          <w:sz w:val="14"/>
          <w:szCs w:val="14"/>
          <w:b w:val="1"/>
          <w:bCs w:val="1"/>
          <w:color w:val="auto"/>
        </w:rPr>
        <w:t>Human Clinical Trials in Support of an NDA</w:t>
      </w:r>
    </w:p>
    <w:p>
      <w:pPr>
        <w:spacing w:after="0" w:line="9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Clinical trials involve the administration of an investigational product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Human clinical trials are typically conducted in three sequential phases, but the phases may overlap or be combined. Additional studies may also be required after approval.</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FDA has issued regulations that define the three principal types of trials.</w:t>
      </w:r>
    </w:p>
    <w:p>
      <w:pPr>
        <w:spacing w:after="0" w:line="165" w:lineRule="exact"/>
        <w:rPr>
          <w:sz w:val="20"/>
          <w:szCs w:val="20"/>
          <w:color w:val="auto"/>
        </w:rPr>
      </w:pPr>
    </w:p>
    <w:p>
      <w:pPr>
        <w:ind w:right="420" w:firstLine="509"/>
        <w:spacing w:after="0" w:line="271" w:lineRule="auto"/>
        <w:rPr>
          <w:sz w:val="20"/>
          <w:szCs w:val="20"/>
          <w:color w:val="auto"/>
        </w:rPr>
      </w:pPr>
      <w:r>
        <w:rPr>
          <w:rFonts w:ascii="Arial" w:cs="Arial" w:eastAsia="Arial" w:hAnsi="Arial"/>
          <w:sz w:val="14"/>
          <w:szCs w:val="14"/>
          <w:i w:val="1"/>
          <w:iCs w:val="1"/>
          <w:color w:val="auto"/>
        </w:rPr>
        <w:t xml:space="preserve">Phase 1 </w:t>
      </w:r>
      <w:r>
        <w:rPr>
          <w:rFonts w:ascii="Arial" w:cs="Arial" w:eastAsia="Arial" w:hAnsi="Arial"/>
          <w:sz w:val="14"/>
          <w:szCs w:val="14"/>
          <w:color w:val="auto"/>
        </w:rPr>
        <w:t>clinical trials are initially conducted in a limited population to test the product candidate for safety, including adverse effects, dose tolerance, absorption,</w:t>
      </w:r>
      <w:r>
        <w:rPr>
          <w:rFonts w:ascii="Arial" w:cs="Arial" w:eastAsia="Arial" w:hAnsi="Arial"/>
          <w:sz w:val="14"/>
          <w:szCs w:val="14"/>
          <w:i w:val="1"/>
          <w:iCs w:val="1"/>
          <w:color w:val="auto"/>
        </w:rPr>
        <w:t xml:space="preserve"> </w:t>
      </w:r>
      <w:r>
        <w:rPr>
          <w:rFonts w:ascii="Arial" w:cs="Arial" w:eastAsia="Arial" w:hAnsi="Arial"/>
          <w:sz w:val="14"/>
          <w:szCs w:val="14"/>
          <w:color w:val="auto"/>
        </w:rPr>
        <w:t>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i w:val="1"/>
          <w:iCs w:val="1"/>
          <w:color w:val="auto"/>
        </w:rPr>
        <w:t xml:space="preserve">Phase 2 </w:t>
      </w:r>
      <w:r>
        <w:rPr>
          <w:rFonts w:ascii="Arial" w:cs="Arial" w:eastAsia="Arial" w:hAnsi="Arial"/>
          <w:sz w:val="14"/>
          <w:szCs w:val="14"/>
          <w:color w:val="auto"/>
        </w:rPr>
        <w:t>clinical trials are generally conducted in a limited patient population to identify possible adverse effects and safety risks, evaluate the efficacy of the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3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4"/>
          <w:szCs w:val="14"/>
          <w:i w:val="1"/>
          <w:iCs w:val="1"/>
          <w:color w:val="auto"/>
        </w:rPr>
        <w:t xml:space="preserve">Phase 3 </w:t>
      </w:r>
      <w:r>
        <w:rPr>
          <w:rFonts w:ascii="Arial" w:cs="Arial" w:eastAsia="Arial" w:hAnsi="Arial"/>
          <w:sz w:val="14"/>
          <w:szCs w:val="14"/>
          <w:color w:val="auto"/>
        </w:rPr>
        <w:t>clinical trials proceed if the Phase 2 clinical trials demonstrate that a dose range of the product candidate is potentially effective and has an acceptable safety</w:t>
      </w:r>
      <w:r>
        <w:rPr>
          <w:rFonts w:ascii="Arial" w:cs="Arial" w:eastAsia="Arial" w:hAnsi="Arial"/>
          <w:sz w:val="14"/>
          <w:szCs w:val="14"/>
          <w:i w:val="1"/>
          <w:iCs w:val="1"/>
          <w:color w:val="auto"/>
        </w:rPr>
        <w:t xml:space="preserve"> </w:t>
      </w:r>
      <w:r>
        <w:rPr>
          <w:rFonts w:ascii="Arial" w:cs="Arial" w:eastAsia="Arial" w:hAnsi="Arial"/>
          <w:sz w:val="14"/>
          <w:szCs w:val="14"/>
          <w:color w:val="auto"/>
        </w:rPr>
        <w:t>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the drug product, and, if approved, how to appropriately label the drug product: such Phase 3 studies are typically referred to as “pivotal studies” or "registrational studies."</w:t>
      </w:r>
    </w:p>
    <w:p>
      <w:pPr>
        <w:spacing w:after="0" w:line="14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42"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In some cases, the FDA may approve an NDA for a product candidate but require the sponsor to conduct additional clinical trials to further assess the product candidate’s safety and effectiveness after approval. Such post-approval trials are also referred to as post-marketing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these clinical trials could result in withdrawal of approval for products.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FDA has issued numerous guidance documents to specify how particular types of clinical trials should be conducted. This includes, but is not limited to, the guidance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65" w:lineRule="exact"/>
        <w:rPr>
          <w:sz w:val="20"/>
          <w:szCs w:val="20"/>
          <w:color w:val="auto"/>
        </w:rPr>
      </w:pPr>
    </w:p>
    <w:p>
      <w:pPr>
        <w:ind w:left="760" w:right="140" w:hanging="246"/>
        <w:spacing w:after="0" w:line="27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March 2022, the FDA finalized guidance entitled “Expansion Cohorts: Use in First-In-Human Clinical Trials to Expedite Development of Oncology Drugs and Biologics,” which outlines how sponsors can utilize an adaptive trial design in the early stages of oncology product development (i.e., the first-in-human clinical trial) to compress the traditional three phases of trials into one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40" w:name="page41"/>
    <w:bookmarkEnd w:id="40"/>
    <w:p>
      <w:pPr>
        <w:ind w:left="760" w:right="300"/>
        <w:spacing w:after="0" w:line="290" w:lineRule="auto"/>
        <w:rPr>
          <w:sz w:val="20"/>
          <w:szCs w:val="20"/>
          <w:color w:val="auto"/>
        </w:rPr>
      </w:pPr>
      <w:r>
        <w:rPr>
          <w:rFonts w:ascii="Arial" w:cs="Arial" w:eastAsia="Arial" w:hAnsi="Arial"/>
          <w:sz w:val="14"/>
          <w:szCs w:val="14"/>
          <w:color w:val="auto"/>
        </w:rPr>
        <w:t>continuous trial called an expansion cohort trial. Information to support the design of individual expansion cohorts are included in IND applications and assessed by FDA. Expansion cohort trials can potentially bring efficiency to product development and reduce developmental costs and time.</w:t>
      </w:r>
    </w:p>
    <w:p>
      <w:pPr>
        <w:spacing w:after="0" w:line="120" w:lineRule="exact"/>
        <w:rPr>
          <w:sz w:val="20"/>
          <w:szCs w:val="20"/>
          <w:color w:val="auto"/>
        </w:rPr>
      </w:pPr>
    </w:p>
    <w:p>
      <w:pPr>
        <w:ind w:left="760" w:right="20" w:hanging="246"/>
        <w:spacing w:after="0" w:line="262"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139" w:lineRule="exact"/>
        <w:rPr>
          <w:rFonts w:ascii="Arial" w:cs="Arial" w:eastAsia="Arial" w:hAnsi="Arial"/>
          <w:sz w:val="14"/>
          <w:szCs w:val="14"/>
          <w:color w:val="auto"/>
        </w:rPr>
      </w:pPr>
    </w:p>
    <w:p>
      <w:pPr>
        <w:ind w:left="760" w:right="80" w:hanging="246"/>
        <w:spacing w:after="0" w:line="259"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January 27, 2025, in response to an executive order issued on January 21, 2025, relating to Diversity, Equity and Inclusion programs, the FDA removed the draft DAP guidance from its website. That action, along with similar actions by the Administration to remove many other healthcare webpages, is currently the subject of ongoing litigation. On July 3, 2025, the U.S. District Court for the District of Columbia ruled that the actions to remove these webpages, including the draft DAP guidance, are unlawful under the Administrative Procedure Act.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NDAs.</w:t>
      </w:r>
    </w:p>
    <w:p>
      <w:pPr>
        <w:spacing w:after="0" w:line="141" w:lineRule="exact"/>
        <w:rPr>
          <w:rFonts w:ascii="Arial" w:cs="Arial" w:eastAsia="Arial" w:hAnsi="Arial"/>
          <w:sz w:val="14"/>
          <w:szCs w:val="14"/>
          <w:color w:val="auto"/>
        </w:rPr>
      </w:pPr>
    </w:p>
    <w:p>
      <w:pPr>
        <w:ind w:left="760" w:hanging="246"/>
        <w:spacing w:after="0" w:line="265"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Harmonization’s recently updated E6(R3) guideline that was developed to enable the incorporation of rapidly developing technological and methodological innovations into the clinical trial enterprise.</w:t>
      </w:r>
    </w:p>
    <w:p>
      <w:pPr>
        <w:spacing w:after="0" w:line="169" w:lineRule="exact"/>
        <w:rPr>
          <w:rFonts w:ascii="Arial" w:cs="Arial" w:eastAsia="Arial" w:hAnsi="Arial"/>
          <w:sz w:val="14"/>
          <w:szCs w:val="14"/>
          <w:color w:val="auto"/>
        </w:rPr>
      </w:pPr>
    </w:p>
    <w:p>
      <w:pPr>
        <w:ind w:left="760" w:right="60" w:hanging="246"/>
        <w:spacing w:after="0" w:line="265"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in evaluating the clinical benefit of a medical product.</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Clinical Studies Outside the United States in Support of FDA Approval</w:t>
      </w:r>
    </w:p>
    <w:p>
      <w:pPr>
        <w:spacing w:after="0" w:line="94"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In connection with a clinical development program, a sponsor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in the U.S.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41" w:name="page42"/>
    <w:bookmarkEnd w:id="41"/>
    <w:p>
      <w:pPr>
        <w:ind w:right="120"/>
        <w:spacing w:after="0" w:line="290" w:lineRule="auto"/>
        <w:rPr>
          <w:sz w:val="20"/>
          <w:szCs w:val="20"/>
          <w:color w:val="auto"/>
        </w:rPr>
      </w:pPr>
      <w:r>
        <w:rPr>
          <w:rFonts w:ascii="Arial" w:cs="Arial" w:eastAsia="Arial" w:hAnsi="Arial"/>
          <w:sz w:val="14"/>
          <w:szCs w:val="14"/>
          <w:color w:val="auto"/>
        </w:rPr>
        <w:t>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20"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27" w:lineRule="exact"/>
        <w:rPr>
          <w:sz w:val="20"/>
          <w:szCs w:val="20"/>
          <w:color w:val="auto"/>
        </w:rPr>
      </w:pPr>
    </w:p>
    <w:p>
      <w:pPr>
        <w:ind w:right="540" w:firstLine="509"/>
        <w:spacing w:after="0" w:line="274" w:lineRule="auto"/>
        <w:rPr>
          <w:sz w:val="20"/>
          <w:szCs w:val="20"/>
          <w:color w:val="auto"/>
        </w:rPr>
      </w:pPr>
      <w:r>
        <w:rPr>
          <w:rFonts w:ascii="Arial" w:cs="Arial" w:eastAsia="Arial" w:hAnsi="Arial"/>
          <w:sz w:val="14"/>
          <w:szCs w:val="14"/>
          <w:color w:val="auto"/>
        </w:rPr>
        <w:t>In December 2025, in the context of negotiations involving reauthorization of PDUFA, the FDA proposed cutting fees for companies conducting clinical development programs in the United States, rather than abroad. It is unclear whether and how this proposal will be adopted and finalized.</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Interactions with the FDA During the Clinical Development Program</w:t>
      </w:r>
    </w:p>
    <w:p>
      <w:pPr>
        <w:spacing w:after="0" w:line="9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 xml:space="preserve">Following the clearance of an IND and the commencement of clinical trials, the sponsor will continue to have interactions with the FDA. Progress reports detailing the results of clinical trials must be submitted annually within 60 days of the anniversary dates that the IND went into effect and more frequently if serious adverse events occur. These reports must include a development safety update report. In addition, IND safety reports must be submitted to the FDA for any of the following: serious and unexpected suspected adverse reactions; findings from other trials or animal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in humans exposed to the product; and any clinically important increase in the occurrence of a serious suspected adverse reaction over that listed in the protocol or investigator brochure.</w:t>
      </w:r>
    </w:p>
    <w:p>
      <w:pPr>
        <w:spacing w:after="0" w:line="14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addition, a sponsor is given the opportunity to meet with the FDA at certain points in the clinical development program.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end-of-phase 2 meetings.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142"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Manufacturing and Other Regulatory Requirements</w:t>
      </w:r>
    </w:p>
    <w:p>
      <w:pPr>
        <w:spacing w:after="0" w:line="9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40"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2" w:name="page43"/>
    <w:bookmarkEnd w:id="42"/>
    <w:p>
      <w:pPr>
        <w:ind w:right="60"/>
        <w:spacing w:after="0" w:line="276" w:lineRule="auto"/>
        <w:rPr>
          <w:sz w:val="20"/>
          <w:szCs w:val="20"/>
          <w:color w:val="auto"/>
        </w:rPr>
      </w:pPr>
      <w:r>
        <w:rPr>
          <w:rFonts w:ascii="Arial" w:cs="Arial" w:eastAsia="Arial" w:hAnsi="Arial"/>
          <w:sz w:val="14"/>
          <w:szCs w:val="14"/>
          <w:color w:val="auto"/>
        </w:rPr>
        <w:t>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w:t>
      </w:r>
    </w:p>
    <w:p>
      <w:pPr>
        <w:spacing w:after="0" w:line="1"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48" w:lineRule="exact"/>
        <w:rPr>
          <w:sz w:val="20"/>
          <w:szCs w:val="20"/>
          <w:color w:val="auto"/>
        </w:rPr>
      </w:pPr>
    </w:p>
    <w:p>
      <w:pPr>
        <w:ind w:right="360" w:firstLine="509"/>
        <w:spacing w:after="0" w:line="253" w:lineRule="auto"/>
        <w:rPr>
          <w:sz w:val="20"/>
          <w:szCs w:val="20"/>
          <w:color w:val="auto"/>
        </w:rPr>
      </w:pPr>
      <w:r>
        <w:rPr>
          <w:rFonts w:ascii="Arial" w:cs="Arial" w:eastAsia="Arial" w:hAnsi="Arial"/>
          <w:sz w:val="14"/>
          <w:szCs w:val="14"/>
          <w:color w:val="auto"/>
        </w:rPr>
        <w:t>The PREVENT Pandemics Act, which was enacted in December 2022, clarifies that foreign drug manufacturing establishments are subject to registration and listing requirements even if a drug undergoes further manufacture, preparation, propagation, compounding, or processing at a separate establishment outside the U.S. prior to being imported or offered for import into the U.S. In May 2025, the FDA disclosed plans to expand its use of unannounced inspections of foreign manufacturing facilities that produce</w:t>
      </w:r>
    </w:p>
    <w:p>
      <w:pPr>
        <w:jc w:val="both"/>
        <w:ind w:right="160"/>
        <w:spacing w:after="0" w:line="249" w:lineRule="auto"/>
        <w:rPr>
          <w:sz w:val="20"/>
          <w:szCs w:val="20"/>
          <w:color w:val="auto"/>
        </w:rPr>
      </w:pPr>
      <w:r>
        <w:rPr>
          <w:rFonts w:ascii="Arial" w:cs="Arial" w:eastAsia="Arial" w:hAnsi="Arial"/>
          <w:sz w:val="14"/>
          <w:szCs w:val="14"/>
          <w:color w:val="auto"/>
        </w:rPr>
        <w:t>drugs and biologics distributed in the U.S. Subsequently, in August 2025, the FDA introduced a “PreCheck” program with the intention of supporting companies as they build new facilities in the U.S. The PreCheck program provides manufacturers with more frequent FDA communication at critical development stages, including facility design, construction, and pre-production. These FDA initiatives flow from an executive order issued on May 5, 2025, calling for actions to reduce regulatory barriers to pharmaceutical manufacturing in the U.S.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Pediatric Studies</w:t>
      </w:r>
    </w:p>
    <w:p>
      <w:pPr>
        <w:spacing w:after="0" w:line="94"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We do not currently conduct any pediatric studies. In the event that we ever do conduct pediatric studies, we will be subject to additional government regulation, including compliance with the Pediatric Research Equity Act of 2003, or PREA, and the FDA Reauthorization Act of 2017.</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Expedited Review Programs</w:t>
      </w:r>
    </w:p>
    <w:p>
      <w:pPr>
        <w:spacing w:after="0" w:line="9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FDA is authorized to expedite the review of applications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40"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35" w:lineRule="exact"/>
        <w:rPr>
          <w:sz w:val="20"/>
          <w:szCs w:val="20"/>
          <w:color w:val="auto"/>
        </w:rPr>
      </w:pPr>
    </w:p>
    <w:p>
      <w:pPr>
        <w:ind w:left="760" w:hanging="246"/>
        <w:spacing w:after="0" w:line="265"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Breakthrough therapy designation. </w:t>
      </w:r>
      <w:r>
        <w:rPr>
          <w:rFonts w:ascii="Arial" w:cs="Arial" w:eastAsia="Arial" w:hAnsi="Arial"/>
          <w:sz w:val="14"/>
          <w:szCs w:val="14"/>
          <w:color w:val="auto"/>
        </w:rPr>
        <w:t>To qualify for the breakthrough therapy program, product candidates must be intended to treat a serious or life-threatening disease or</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intensive involvement of senior managers and experienced staff on a proactive, collaborative and cross-disciplinary review and rolling review.</w:t>
      </w:r>
    </w:p>
    <w:p>
      <w:pPr>
        <w:spacing w:after="0" w:line="52" w:lineRule="exact"/>
        <w:rPr>
          <w:rFonts w:ascii="Arial" w:cs="Arial" w:eastAsia="Arial" w:hAnsi="Arial"/>
          <w:sz w:val="14"/>
          <w:szCs w:val="14"/>
          <w:color w:val="auto"/>
        </w:rPr>
      </w:pPr>
    </w:p>
    <w:p>
      <w:pPr>
        <w:ind w:left="760" w:right="20" w:hanging="246"/>
        <w:spacing w:after="0" w:line="27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Priority review. </w:t>
      </w:r>
      <w:r>
        <w:rPr>
          <w:rFonts w:ascii="Arial" w:cs="Arial" w:eastAsia="Arial" w:hAnsi="Arial"/>
          <w:sz w:val="14"/>
          <w:szCs w:val="14"/>
          <w:color w:val="auto"/>
        </w:rPr>
        <w:t>A product candidate is eligible for priority review if it treats a serious condition and, if approved, it would be a significant improvement in the safety or</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effectiveness of the treatment, diagnosis or prevention compared to marketed products. FDA aims to complete its review of priority review applications within six months as opposed to 10 months for standard review.</w:t>
      </w:r>
    </w:p>
    <w:p>
      <w:pPr>
        <w:spacing w:after="0" w:line="48" w:lineRule="exact"/>
        <w:rPr>
          <w:rFonts w:ascii="Arial" w:cs="Arial" w:eastAsia="Arial" w:hAnsi="Arial"/>
          <w:sz w:val="14"/>
          <w:szCs w:val="14"/>
          <w:color w:val="auto"/>
        </w:rPr>
      </w:pPr>
    </w:p>
    <w:p>
      <w:pPr>
        <w:jc w:val="both"/>
        <w:ind w:left="760" w:right="240" w:hanging="246"/>
        <w:spacing w:after="0" w:line="27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Accelerated approval. </w:t>
      </w:r>
      <w:r>
        <w:rPr>
          <w:rFonts w:ascii="Arial" w:cs="Arial" w:eastAsia="Arial" w:hAnsi="Arial"/>
          <w:sz w:val="14"/>
          <w:szCs w:val="14"/>
          <w:color w:val="auto"/>
        </w:rPr>
        <w:t>Drug products studied for their safety and effectiveness in treating serious or life-threatening illnesses and that provide meaningful therapeutic</w:t>
      </w:r>
      <w:r>
        <w:rPr>
          <w:rFonts w:ascii="Arial" w:cs="Arial" w:eastAsia="Arial" w:hAnsi="Arial"/>
          <w:sz w:val="14"/>
          <w:szCs w:val="14"/>
          <w:i w:val="1"/>
          <w:iCs w:val="1"/>
          <w:color w:val="auto"/>
        </w:rPr>
        <w:t xml:space="preserve"> </w:t>
      </w:r>
      <w:r>
        <w:rPr>
          <w:rFonts w:ascii="Arial" w:cs="Arial" w:eastAsia="Arial" w:hAnsi="Arial"/>
          <w:sz w:val="14"/>
          <w:szCs w:val="14"/>
          <w:color w:val="auto"/>
        </w:rPr>
        <w:t>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3" w:name="page44"/>
    <w:bookmarkEnd w:id="43"/>
    <w:p>
      <w:pPr>
        <w:jc w:val="both"/>
        <w:ind w:left="760" w:right="160"/>
        <w:spacing w:after="0" w:line="265" w:lineRule="auto"/>
        <w:rPr>
          <w:sz w:val="20"/>
          <w:szCs w:val="20"/>
          <w:color w:val="auto"/>
        </w:rPr>
      </w:pPr>
      <w:r>
        <w:rPr>
          <w:rFonts w:ascii="Arial" w:cs="Arial" w:eastAsia="Arial" w:hAnsi="Arial"/>
          <w:sz w:val="14"/>
          <w:szCs w:val="14"/>
          <w:color w:val="auto"/>
        </w:rPr>
        <w:t>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product candidate receiving accelerated approval perform adequate and well controlled post-marketing clinical trials. In addition, the FDA currently requires as a condition for accelerated approval pre-approval of promotional materials.</w:t>
      </w:r>
    </w:p>
    <w:p>
      <w:pPr>
        <w:spacing w:after="0" w:line="53" w:lineRule="exact"/>
        <w:rPr>
          <w:sz w:val="20"/>
          <w:szCs w:val="20"/>
          <w:color w:val="auto"/>
        </w:rPr>
      </w:pPr>
    </w:p>
    <w:p>
      <w:pPr>
        <w:ind w:left="760" w:right="60" w:hanging="246"/>
        <w:spacing w:after="0" w:line="260"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an NDA or biologics license application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56" w:lineRule="exact"/>
        <w:rPr>
          <w:rFonts w:ascii="Arial" w:cs="Arial" w:eastAsia="Arial" w:hAnsi="Arial"/>
          <w:sz w:val="14"/>
          <w:szCs w:val="14"/>
          <w:color w:val="auto"/>
        </w:rPr>
      </w:pPr>
    </w:p>
    <w:p>
      <w:pPr>
        <w:ind w:left="760" w:right="40" w:hanging="246"/>
        <w:spacing w:after="0" w:line="259"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the FDA issued additional draft guidance relating to accelerated approval. While these guidance documents are currently only in draft form and will ultimately not be legally binding even when finalized, sponsors typically observe the FDA’s guidance closely to ensure that their investigational products qualify for accelerated approval and comport with FDA’s current thinking.</w:t>
      </w:r>
    </w:p>
    <w:p>
      <w:pPr>
        <w:spacing w:after="0" w:line="57" w:lineRule="exact"/>
        <w:rPr>
          <w:rFonts w:ascii="Arial" w:cs="Arial" w:eastAsia="Arial" w:hAnsi="Arial"/>
          <w:sz w:val="14"/>
          <w:szCs w:val="14"/>
          <w:color w:val="auto"/>
        </w:rPr>
      </w:pPr>
    </w:p>
    <w:p>
      <w:pPr>
        <w:ind w:left="760" w:right="20" w:hanging="246"/>
        <w:spacing w:after="0" w:line="258"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Commissioner’s National Priority Voucher Program</w:t>
      </w:r>
      <w:r>
        <w:rPr>
          <w:rFonts w:ascii="Arial" w:cs="Arial" w:eastAsia="Arial" w:hAnsi="Arial"/>
          <w:sz w:val="14"/>
          <w:szCs w:val="14"/>
          <w:color w:val="auto"/>
        </w:rPr>
        <w:t>. On June 17, 2025, the FDA announced the creation of a new voucher program to expedite the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approval of new drug products. Vouchers issued under the new program, which is known as the Commissioner’s National Priority Voucher, or CNPV, Program, may reportedly be redeemed by sponsors to shorten the review time of an NDA from approximately 10-12 months to 1-2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1-day meeting. Vouchers under this program will reportedly be given to companies aligned with U.S. national priorities. As with the FDA’s other programs for expediting review and approval of new drug products, there is no guarantee it would result in approval of our marketing applications or that such approval, if granted, would be on an expedited basis.</w:t>
      </w:r>
    </w:p>
    <w:p>
      <w:pPr>
        <w:spacing w:after="0" w:line="58" w:lineRule="exact"/>
        <w:rPr>
          <w:rFonts w:ascii="Arial" w:cs="Arial" w:eastAsia="Arial" w:hAnsi="Arial"/>
          <w:sz w:val="14"/>
          <w:szCs w:val="14"/>
          <w:color w:val="auto"/>
        </w:rPr>
      </w:pPr>
    </w:p>
    <w:p>
      <w:pPr>
        <w:ind w:left="760" w:hanging="246"/>
        <w:spacing w:after="0" w:line="265"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Rare Disease Evidence Principles</w:t>
      </w:r>
      <w:r>
        <w:rPr>
          <w:rFonts w:ascii="Arial" w:cs="Arial" w:eastAsia="Arial" w:hAnsi="Arial"/>
          <w:sz w:val="14"/>
          <w:szCs w:val="14"/>
          <w:color w:val="auto"/>
        </w:rPr>
        <w:t>. In September 2025, the FDA introduced a framework intended to streamline the approval of new therapies for ultrarare diseases.</w:t>
      </w:r>
      <w:r>
        <w:rPr>
          <w:rFonts w:ascii="Arial" w:cs="Arial" w:eastAsia="Arial" w:hAnsi="Arial"/>
          <w:sz w:val="14"/>
          <w:szCs w:val="14"/>
          <w:i w:val="1"/>
          <w:iCs w:val="1"/>
          <w:color w:val="auto"/>
        </w:rPr>
        <w:t xml:space="preserve"> </w:t>
      </w:r>
      <w:r>
        <w:rPr>
          <w:rFonts w:ascii="Arial" w:cs="Arial" w:eastAsia="Arial" w:hAnsi="Arial"/>
          <w:sz w:val="14"/>
          <w:szCs w:val="14"/>
          <w:color w:val="auto"/>
        </w:rPr>
        <w:t>The Rare Disease Evidence Principles, or RDEP, are intended to allow sponsors to rely on a single-arm trial in support of approval of drugs and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 of these expedited programs changes the standards for approval but they may help expedite the development or approval process of product candidates.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Review and Approval of an NDA</w:t>
      </w:r>
    </w:p>
    <w:p>
      <w:pPr>
        <w:spacing w:after="0" w:line="94"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In order to obtain approval to market a drug product in the United States, an NDA must be submitted to the FDA that provides sufficient data establishing the safety and efficacy of the proposed drug product for its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4" w:name="page45"/>
    <w:bookmarkEnd w:id="44"/>
    <w:p>
      <w:pPr>
        <w:ind w:right="20"/>
        <w:spacing w:after="0" w:line="265" w:lineRule="auto"/>
        <w:rPr>
          <w:sz w:val="20"/>
          <w:szCs w:val="20"/>
          <w:color w:val="auto"/>
        </w:rPr>
      </w:pPr>
      <w:r>
        <w:rPr>
          <w:rFonts w:ascii="Arial" w:cs="Arial" w:eastAsia="Arial" w:hAnsi="Arial"/>
          <w:sz w:val="14"/>
          <w:szCs w:val="14"/>
          <w:color w:val="auto"/>
        </w:rPr>
        <w:t>intended indication. The application includes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efficacy of the drug product to the satisfaction of the FDA.</w:t>
      </w:r>
    </w:p>
    <w:p>
      <w:pPr>
        <w:spacing w:after="0" w:line="138"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NDA is a vehicle through which sponsors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2026 is $4,682,003 million for an application requiring clinical data. The sponsor of an approved NDA is also subject to an annual prescription drug product program fee, which for federal fiscal year 2026 is approximately $442,213.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52"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Following submission of an NDA, the FDA conducts a preliminary review of the application within 60 calendar days of its receipt and it must inform the sponsor by that time or before whether the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additional information. The resubmitted application is also subject to review before the FDA accepts it for filing. In October 2025, the FDA issued internal</w:t>
      </w:r>
    </w:p>
    <w:p>
      <w:pPr>
        <w:ind w:right="100"/>
        <w:spacing w:after="0" w:line="255" w:lineRule="auto"/>
        <w:rPr>
          <w:sz w:val="20"/>
          <w:szCs w:val="20"/>
          <w:color w:val="auto"/>
        </w:rPr>
      </w:pPr>
      <w:r>
        <w:rPr>
          <w:rFonts w:ascii="Arial" w:cs="Arial" w:eastAsia="Arial" w:hAnsi="Arial"/>
          <w:sz w:val="14"/>
          <w:szCs w:val="14"/>
          <w:color w:val="auto"/>
        </w:rPr>
        <w:t>guidance clarifying that “materially incomplete or inadequately organized” applications that would not permit timely, efficient and complete review will be the subject of an RTF. The internal guidance also provides that the agency will issue an RTF for an application that relies on a single adequate and well-controlled investigation to support approval if prior communications with the FDA determined the need for more than one clinical study and any justification for a single investigation is inadequate.</w:t>
      </w:r>
    </w:p>
    <w:p>
      <w:pPr>
        <w:spacing w:after="0" w:line="13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PDUFA target action date may be extended by the FDA for three additional months to consider new information or clarification provided by the sponsor to address an outstanding deficiency identified by the FDA following the original submission.</w:t>
      </w:r>
    </w:p>
    <w:p>
      <w:pPr>
        <w:spacing w:after="0" w:line="142" w:lineRule="exact"/>
        <w:rPr>
          <w:sz w:val="20"/>
          <w:szCs w:val="20"/>
          <w:color w:val="auto"/>
        </w:rPr>
      </w:pPr>
    </w:p>
    <w:p>
      <w:pPr>
        <w:ind w:right="220" w:firstLine="509"/>
        <w:spacing w:after="0" w:line="265" w:lineRule="auto"/>
        <w:rPr>
          <w:sz w:val="20"/>
          <w:szCs w:val="20"/>
          <w:color w:val="auto"/>
        </w:rPr>
      </w:pPr>
      <w:r>
        <w:rPr>
          <w:rFonts w:ascii="Arial" w:cs="Arial" w:eastAsia="Arial" w:hAnsi="Arial"/>
          <w:sz w:val="14"/>
          <w:szCs w:val="14"/>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38"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 Moreover,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40"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In addition, as a condition of approval, the FDA may require a sponsor to develop a Risk Evaluation Mitigation Strategies, or REMS. REMS use risk minimization strategies beyond the professional labeling to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5" w:name="page46"/>
    <w:bookmarkEnd w:id="45"/>
    <w:p>
      <w:pPr>
        <w:ind w:right="40"/>
        <w:spacing w:after="0" w:line="271" w:lineRule="auto"/>
        <w:rPr>
          <w:sz w:val="20"/>
          <w:szCs w:val="20"/>
          <w:color w:val="auto"/>
        </w:rPr>
      </w:pPr>
      <w:r>
        <w:rPr>
          <w:rFonts w:ascii="Arial" w:cs="Arial" w:eastAsia="Arial" w:hAnsi="Arial"/>
          <w:sz w:val="14"/>
          <w:szCs w:val="14"/>
          <w:color w:val="auto"/>
        </w:rPr>
        <w:t>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34"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FDA’s Decision on an NDA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After evaluating the application and all related information, including the advisory committee recommendations, if any, and inspection reports of manufacturing facilities and</w:t>
      </w:r>
    </w:p>
    <w:p>
      <w:pPr>
        <w:spacing w:after="0" w:line="41"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clinical trial sites, the FDA will issue either a Complete Response Letter, or CRL, or an approval letter. To reach this determination, the FDA must determine that the drug is safe and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whether risk management tools are necessary to manage specific risks. In connection with this assessment, the FDA review team will assemble all individual reviews and other documents into an “action package,” which becomes the record for FDA review. The review team then issues a recommendation, and a senior FDA official makes a decision. In connection with this assessment, the FDA review team will assemble all individual reviews and other documents into an “action package,” which becomes the record for FDA review. The review team then issues a recommendation, and a senior FDA official makes a decision.</w:t>
      </w:r>
    </w:p>
    <w:p>
      <w:pPr>
        <w:spacing w:after="0" w:line="148" w:lineRule="exact"/>
        <w:rPr>
          <w:sz w:val="20"/>
          <w:szCs w:val="20"/>
          <w:color w:val="auto"/>
        </w:rPr>
      </w:pPr>
    </w:p>
    <w:p>
      <w:pPr>
        <w:ind w:right="20" w:firstLine="347"/>
        <w:spacing w:after="0" w:line="249" w:lineRule="auto"/>
        <w:rPr>
          <w:sz w:val="20"/>
          <w:szCs w:val="20"/>
          <w:color w:val="auto"/>
        </w:rPr>
      </w:pPr>
      <w:r>
        <w:rPr>
          <w:rFonts w:ascii="Arial" w:cs="Arial" w:eastAsia="Arial" w:hAnsi="Arial"/>
          <w:sz w:val="14"/>
          <w:szCs w:val="14"/>
          <w:color w:val="auto"/>
        </w:rPr>
        <w:t>The FDA reviews an application to determine, among other things, whether the product is safe and whether it is effective for its intended use(s), with the latter determination being made on the basis of substantial evidence. The FDA has historically interpreted this evidentiary standard to require at least two adequate and well-controlled clinical investigations to establish effectiveness of a new product. In February 2026, however, the Commissioner of FDA and the Director of Center for Biologics Evaluation and Research published an editorial in the New England Journal of Medicine in which they declared that, in most cases, the new default requirement for FDA approval of a new product will be one</w:t>
      </w:r>
    </w:p>
    <w:p>
      <w:pPr>
        <w:ind w:right="100"/>
        <w:spacing w:after="0" w:line="260" w:lineRule="auto"/>
        <w:rPr>
          <w:sz w:val="20"/>
          <w:szCs w:val="20"/>
          <w:color w:val="auto"/>
        </w:rPr>
      </w:pPr>
      <w:r>
        <w:rPr>
          <w:rFonts w:ascii="Arial" w:cs="Arial" w:eastAsia="Arial" w:hAnsi="Arial"/>
          <w:sz w:val="14"/>
          <w:szCs w:val="14"/>
          <w:color w:val="auto"/>
        </w:rPr>
        <w:t>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w:t>
      </w:r>
    </w:p>
    <w:p>
      <w:pPr>
        <w:spacing w:after="0" w:line="155"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4"/>
          <w:szCs w:val="14"/>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additional pivotal Phase 3 clinical trial(s) and/or other significant and time-consuming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w:t>
      </w:r>
    </w:p>
    <w:p>
      <w:pPr>
        <w:spacing w:after="0" w:line="6"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an additional six month extension to respond. The FDA has committed to reviewing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 For those seeking to challenge the FDA’s CRL decision, the agency has indicated that sponsors may request a formal hearing on the CRL or they may file a request for reconsideration or a request for a formal dispute resolution. The FDA has taken the position that a CRL is not final agency action making the determination subject to judicial review.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6" w:name="page47"/>
    <w:bookmarkEnd w:id="46"/>
    <w:p>
      <w:pPr>
        <w:ind w:firstLine="509"/>
        <w:spacing w:after="0" w:line="259" w:lineRule="auto"/>
        <w:rPr>
          <w:sz w:val="20"/>
          <w:szCs w:val="20"/>
          <w:color w:val="auto"/>
        </w:rPr>
      </w:pPr>
      <w:r>
        <w:rPr>
          <w:rFonts w:ascii="Arial" w:cs="Arial" w:eastAsia="Arial" w:hAnsi="Arial"/>
          <w:sz w:val="14"/>
          <w:szCs w:val="14"/>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Post-Approval Regulation</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43" w:lineRule="exact"/>
        <w:rPr>
          <w:sz w:val="20"/>
          <w:szCs w:val="20"/>
          <w:color w:val="auto"/>
        </w:rPr>
      </w:pPr>
    </w:p>
    <w:p>
      <w:pPr>
        <w:ind w:right="260" w:firstLine="509"/>
        <w:spacing w:after="0" w:line="265" w:lineRule="auto"/>
        <w:rPr>
          <w:sz w:val="20"/>
          <w:szCs w:val="20"/>
          <w:color w:val="auto"/>
        </w:rPr>
      </w:pPr>
      <w:r>
        <w:rPr>
          <w:rFonts w:ascii="Arial" w:cs="Arial" w:eastAsia="Arial" w:hAnsi="Arial"/>
          <w:sz w:val="14"/>
          <w:szCs w:val="14"/>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53"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refusal of the FDA to approve pending applications or supplements to approved applications, or withdrawal of product approvals;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79"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an approved drug product for any off-label uses. In September 2021, the FDA published final regulations which describe the types of evidence that the agency will consider in determining the intended use of a drug product.</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63" w:right="379" w:bottom="1440" w:gutter="0" w:footer="0" w:header="0"/>
        </w:sectPr>
      </w:pPr>
    </w:p>
    <w:bookmarkStart w:id="47" w:name="page48"/>
    <w:bookmarkEnd w:id="47"/>
    <w:p>
      <w:pPr>
        <w:ind w:right="240" w:firstLine="509"/>
        <w:spacing w:after="0" w:line="243" w:lineRule="auto"/>
        <w:rPr>
          <w:sz w:val="20"/>
          <w:szCs w:val="20"/>
          <w:color w:val="auto"/>
        </w:rPr>
      </w:pPr>
      <w:r>
        <w:rPr>
          <w:rFonts w:ascii="Arial" w:cs="Arial" w:eastAsia="Arial" w:hAnsi="Arial"/>
          <w:sz w:val="14"/>
          <w:szCs w:val="14"/>
          <w:color w:val="auto"/>
        </w:rPr>
        <w:t>On September 9, 2025, the President issued a Memorandum directing the Department of Health and Human Services, or HHS, to “ensure transparency and accuracy in direct-to-consumer, or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153" w:lineRule="exact"/>
        <w:rPr>
          <w:sz w:val="20"/>
          <w:szCs w:val="20"/>
          <w:color w:val="auto"/>
        </w:rPr>
      </w:pPr>
    </w:p>
    <w:p>
      <w:pPr>
        <w:ind w:right="80" w:firstLine="509"/>
        <w:spacing w:after="0" w:line="242" w:lineRule="auto"/>
        <w:rPr>
          <w:sz w:val="20"/>
          <w:szCs w:val="20"/>
          <w:color w:val="auto"/>
        </w:rPr>
      </w:pPr>
      <w:r>
        <w:rPr>
          <w:rFonts w:ascii="Arial" w:cs="Arial" w:eastAsia="Arial" w:hAnsi="Arial"/>
          <w:sz w:val="14"/>
          <w:szCs w:val="14"/>
          <w:color w:val="auto"/>
        </w:rPr>
        <w:t>It may be permissible, under very specific, narrow conditions, for a manufacturer to engage in nonpromotional, non-misleading communication regarding off-label information, such as distributing scientific or medical journal information.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January 2025, the FDA published final guidance outlining the agency’s non-binding policies governing the distribution of scientific information on unapproved uses of approved products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155"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52" w:lineRule="exact"/>
        <w:rPr>
          <w:sz w:val="20"/>
          <w:szCs w:val="20"/>
          <w:color w:val="auto"/>
        </w:rPr>
      </w:pPr>
    </w:p>
    <w:p>
      <w:pPr>
        <w:ind w:right="100" w:firstLine="509"/>
        <w:spacing w:after="0" w:line="242" w:lineRule="auto"/>
        <w:rPr>
          <w:sz w:val="20"/>
          <w:szCs w:val="20"/>
          <w:color w:val="auto"/>
        </w:rPr>
      </w:pPr>
      <w:r>
        <w:rPr>
          <w:rFonts w:ascii="Arial" w:cs="Arial" w:eastAsia="Arial" w:hAnsi="Arial"/>
          <w:sz w:val="14"/>
          <w:szCs w:val="14"/>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enacted the Drug Supply Chain Security Act, or DSCSA, which made</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w:t>
      </w:r>
    </w:p>
    <w:p>
      <w:pPr>
        <w:ind w:right="20"/>
        <w:spacing w:after="0" w:line="253" w:lineRule="auto"/>
        <w:rPr>
          <w:sz w:val="20"/>
          <w:szCs w:val="20"/>
          <w:color w:val="auto"/>
        </w:rPr>
      </w:pPr>
      <w:r>
        <w:rPr>
          <w:rFonts w:ascii="Arial" w:cs="Arial" w:eastAsia="Arial" w:hAnsi="Arial"/>
          <w:sz w:val="14"/>
          <w:szCs w:val="14"/>
          <w:color w:val="auto"/>
        </w:rPr>
        <w:t>preemption of certain state laws in the areas of licensure and prescription drug traceability. For wholesale drug distributors, the final DSCSA deadline was August 27, 2025, marking the date for mandatory transition to a fully electronic, interoperable system for tracking prescription drugs at the package level throughout the United States.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2"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4"/>
          <w:szCs w:val="14"/>
          <w:b w:val="1"/>
          <w:bCs w:val="1"/>
          <w:color w:val="auto"/>
        </w:rPr>
        <w:t>Section 505(b)(2) NDAs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NDAs for most new drug products are based on two full clinical studies which must contain substantial evidence of the safety and efficacy of the new product for the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proposed use. These applications are submitted under Section 505(b)(1) of the FDCA. The FDA is, however, authorized to approve an alternative type of NDA under Section 505(b)</w:t>
      </w:r>
    </w:p>
    <w:p>
      <w:pPr>
        <w:spacing w:after="0" w:line="9" w:lineRule="exact"/>
        <w:rPr>
          <w:sz w:val="20"/>
          <w:szCs w:val="20"/>
          <w:color w:val="auto"/>
        </w:rPr>
      </w:pPr>
    </w:p>
    <w:p>
      <w:pPr>
        <w:ind w:right="180" w:firstLine="5"/>
        <w:spacing w:after="0" w:line="258" w:lineRule="auto"/>
        <w:tabs>
          <w:tab w:leader="none" w:pos="2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Section 505(b)(2) authorizes the FDA to approve an NDA based on safety and effectiveness data that were not developed by the sponsor. NDAs filed under Section 505(b)</w:t>
      </w:r>
    </w:p>
    <w:p>
      <w:pPr>
        <w:spacing w:after="0" w:line="23" w:lineRule="exact"/>
        <w:rPr>
          <w:sz w:val="20"/>
          <w:szCs w:val="20"/>
          <w:color w:val="auto"/>
        </w:rPr>
      </w:pPr>
    </w:p>
    <w:p>
      <w:pPr>
        <w:ind w:right="40" w:firstLine="5"/>
        <w:spacing w:after="0" w:line="257" w:lineRule="auto"/>
        <w:tabs>
          <w:tab w:leader="none" w:pos="2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Abbreviated New Drug Applications for Generic Drugs</w:t>
      </w:r>
    </w:p>
    <w:p>
      <w:pPr>
        <w:spacing w:after="0" w:line="94"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 sponsor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42"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42"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or NCE. For the purposes of this provision, a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9" w:name="page50"/>
    <w:bookmarkEnd w:id="49"/>
    <w:p>
      <w:pPr>
        <w:ind w:firstLine="509"/>
        <w:spacing w:after="0" w:line="260" w:lineRule="auto"/>
        <w:rPr>
          <w:sz w:val="20"/>
          <w:szCs w:val="20"/>
          <w:color w:val="auto"/>
        </w:rPr>
      </w:pPr>
      <w:r>
        <w:rPr>
          <w:rFonts w:ascii="Arial" w:cs="Arial" w:eastAsia="Arial" w:hAnsi="Arial"/>
          <w:sz w:val="14"/>
          <w:szCs w:val="14"/>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42" w:lineRule="exact"/>
        <w:rPr>
          <w:sz w:val="20"/>
          <w:szCs w:val="20"/>
          <w:color w:val="auto"/>
        </w:rPr>
      </w:pPr>
    </w:p>
    <w:p>
      <w:pPr>
        <w:ind w:right="140" w:firstLine="509"/>
        <w:spacing w:after="0" w:line="265" w:lineRule="auto"/>
        <w:rPr>
          <w:sz w:val="20"/>
          <w:szCs w:val="20"/>
          <w:color w:val="auto"/>
        </w:rPr>
      </w:pPr>
      <w:r>
        <w:rPr>
          <w:rFonts w:ascii="Arial" w:cs="Arial" w:eastAsia="Arial" w:hAnsi="Arial"/>
          <w:sz w:val="14"/>
          <w:szCs w:val="14"/>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48" w:lineRule="exact"/>
        <w:rPr>
          <w:sz w:val="20"/>
          <w:szCs w:val="20"/>
          <w:color w:val="auto"/>
        </w:rPr>
      </w:pPr>
    </w:p>
    <w:p>
      <w:pPr>
        <w:jc w:val="both"/>
        <w:ind w:right="80" w:firstLine="509"/>
        <w:spacing w:after="0" w:line="255" w:lineRule="auto"/>
        <w:rPr>
          <w:sz w:val="20"/>
          <w:szCs w:val="20"/>
          <w:color w:val="auto"/>
        </w:rPr>
      </w:pPr>
      <w:r>
        <w:rPr>
          <w:rFonts w:ascii="Arial" w:cs="Arial" w:eastAsia="Arial" w:hAnsi="Arial"/>
          <w:sz w:val="14"/>
          <w:szCs w:val="14"/>
          <w:color w:val="auto"/>
        </w:rPr>
        <w:t>In October 2025, the FDA introduced a new program to expedite review of ANDAs and approval of generic drug products. Under this new initiative, a sponsor of an ANDA would qualify for faster review and approval if it conducts bioequivalence studies in the U.S., exclusively sources the active pharmaceutical ingredient in the U.S. and manufactures the finished drug product within the country, as well.</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Hatch-Waxman Patent Certification and the 30-Month Stay</w:t>
      </w:r>
    </w:p>
    <w:p>
      <w:pPr>
        <w:spacing w:after="0" w:line="94"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4"/>
          <w:szCs w:val="14"/>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w:t>
      </w:r>
    </w:p>
    <w:p>
      <w:pPr>
        <w:spacing w:after="0" w:line="13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Specifically, the sponsor must certify with respect to each patent that:</w:t>
      </w:r>
    </w:p>
    <w:p>
      <w:pPr>
        <w:spacing w:after="0" w:line="94" w:lineRule="exact"/>
        <w:rPr>
          <w:sz w:val="20"/>
          <w:szCs w:val="20"/>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required patent information has not been filed;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listed patent has expired;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listed patent has not expired, but will expire on a particular date and approval is sought after patent expiration;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listed patent is invalid, unenforceable or will not be infringed by the new product.</w:t>
      </w:r>
    </w:p>
    <w:p>
      <w:pPr>
        <w:spacing w:after="0" w:line="179"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sponsor is not seeking approval).</w:t>
      </w:r>
    </w:p>
    <w:p>
      <w:pPr>
        <w:spacing w:after="0" w:line="13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sponsor.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0" w:name="page51"/>
    <w:bookmarkEnd w:id="50"/>
    <w:p>
      <w:pPr>
        <w:ind w:right="220" w:firstLine="509"/>
        <w:spacing w:after="0" w:line="262" w:lineRule="auto"/>
        <w:rPr>
          <w:sz w:val="20"/>
          <w:szCs w:val="20"/>
          <w:color w:val="auto"/>
        </w:rPr>
      </w:pPr>
      <w:r>
        <w:rPr>
          <w:rFonts w:ascii="Arial" w:cs="Arial" w:eastAsia="Arial" w:hAnsi="Arial"/>
          <w:sz w:val="14"/>
          <w:szCs w:val="14"/>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Pediatric Exclusivity</w:t>
      </w:r>
    </w:p>
    <w:p>
      <w:pPr>
        <w:spacing w:after="0" w:line="94"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While we do not currently conduct any pediatric studies. pediatric exclusivity is another type of non-patent marketing exclusivity in the United States and, if granted, provides for the attachment of an additional six months of regulatory exclusivity to the term of any patent or existing regulatory exclusivity, including orphan exclusivity.</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Orphan Drug Designation and Exclusivity</w:t>
      </w:r>
    </w:p>
    <w:p>
      <w:pPr>
        <w:spacing w:after="0" w:line="9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4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4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The period of market exclusivity begins on the date that the marketing application is approved by the FDA and applies only to the disease or condition for which the product has been designated. Orphan drug exclusivity will not bar approval of another product under certain circumstances, including if the company with orphan drug exclusivity is not able to meet market demand or the subsequent product is shown to be clinically superior to the approved product on the basis of greater efficacy or safety, or providing a major contribution to patient care. This is the case despite an earlier court opinion holding that the Orphan Drug Act unambiguously required the FDA to recognize orphan drug exclusivity regardless of a showing of clinical superiority. Under Omnibus legislation signed by the President on December 27, 2020, the requirement for a product to show clinical superiority applies to drug products that received orphan drug designation before enactment of amendments to the FDCA in 2017 but have not yet been approved by FDA.</w:t>
      </w:r>
    </w:p>
    <w:p>
      <w:pPr>
        <w:spacing w:after="0" w:line="1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4"/>
          <w:szCs w:val="14"/>
          <w:color w:val="auto"/>
        </w:rPr>
        <w:t>The FDA and the U.S.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different sub-indications and subpopulations, such as adult and pediatric patients or multiple variations of the same disease that are caused by different genetic variants.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Patent Term Restoration and Extension</w:t>
      </w:r>
    </w:p>
    <w:p>
      <w:pPr>
        <w:spacing w:after="0" w:line="94"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A patent claiming a new drug product, its method of use or its method of manufacture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the IND for the clinical investigation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Federal and State Data Privacy and Security Laws</w:t>
      </w:r>
    </w:p>
    <w:p>
      <w:pPr>
        <w:spacing w:after="0" w:line="200" w:lineRule="exact"/>
        <w:rPr>
          <w:sz w:val="20"/>
          <w:szCs w:val="20"/>
          <w:color w:val="auto"/>
        </w:rPr>
      </w:pPr>
    </w:p>
    <w:p>
      <w:pPr>
        <w:ind w:right="20" w:firstLine="509"/>
        <w:spacing w:after="0" w:line="256" w:lineRule="auto"/>
        <w:rPr>
          <w:sz w:val="20"/>
          <w:szCs w:val="20"/>
          <w:color w:val="auto"/>
        </w:rPr>
      </w:pPr>
      <w:r>
        <w:rPr>
          <w:rFonts w:ascii="Arial" w:cs="Arial" w:eastAsia="Arial" w:hAnsi="Arial"/>
          <w:sz w:val="14"/>
          <w:szCs w:val="14"/>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67"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At the state level, California has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2" w:name="page53"/>
    <w:bookmarkEnd w:id="52"/>
    <w:p>
      <w:pPr>
        <w:ind w:right="20" w:firstLine="509"/>
        <w:spacing w:after="0" w:line="257" w:lineRule="auto"/>
        <w:rPr>
          <w:sz w:val="20"/>
          <w:szCs w:val="20"/>
          <w:color w:val="auto"/>
        </w:rPr>
      </w:pPr>
      <w:r>
        <w:rPr>
          <w:rFonts w:ascii="Arial" w:cs="Arial" w:eastAsia="Arial" w:hAnsi="Arial"/>
          <w:sz w:val="14"/>
          <w:szCs w:val="14"/>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that could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6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15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Health Care Law and Regulation</w:t>
      </w:r>
    </w:p>
    <w:p>
      <w:pPr>
        <w:spacing w:after="0" w:line="9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state and federal fraud and abuse laws and regulations (including anti-kickback and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53" w:lineRule="exact"/>
        <w:rPr>
          <w:sz w:val="20"/>
          <w:szCs w:val="20"/>
          <w:color w:val="auto"/>
        </w:rPr>
      </w:pPr>
    </w:p>
    <w:p>
      <w:pPr>
        <w:ind w:left="760" w:right="220" w:hanging="246"/>
        <w:spacing w:after="0" w:line="265"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paying, or receiving remuneration, directly or indirectly, in cash or in kind, to induce or reward either the referral of an individual for, or the purchasing, ordering, leasing, arranging for, or recommending the purchasing, ordering, or leasing of, any good or service for which payment may be made, in whole or in part, under a federal health care program such as Medicare and Medicaid;</w:t>
      </w:r>
    </w:p>
    <w:p>
      <w:pPr>
        <w:spacing w:after="0" w:line="52" w:lineRule="exact"/>
        <w:rPr>
          <w:rFonts w:ascii="Arial" w:cs="Arial" w:eastAsia="Arial" w:hAnsi="Arial"/>
          <w:sz w:val="14"/>
          <w:szCs w:val="14"/>
          <w:color w:val="auto"/>
        </w:rPr>
      </w:pPr>
    </w:p>
    <w:p>
      <w:pPr>
        <w:ind w:left="760" w:right="40" w:hanging="246"/>
        <w:spacing w:after="0" w:line="265"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federal civil and criminal false claims laws, including the civil False Claims Act, and Civil Monetary Penalties Law, which prohibit individuals or entities from, among other things, 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53" w:name="page54"/>
    <w:bookmarkEnd w:id="53"/>
    <w:p>
      <w:pPr>
        <w:ind w:left="760" w:right="340" w:hanging="246"/>
        <w:spacing w:after="0" w:line="27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48" w:lineRule="exact"/>
        <w:rPr>
          <w:rFonts w:ascii="Arial" w:cs="Arial" w:eastAsia="Arial" w:hAnsi="Arial"/>
          <w:sz w:val="14"/>
          <w:szCs w:val="14"/>
          <w:color w:val="auto"/>
        </w:rPr>
      </w:pPr>
    </w:p>
    <w:p>
      <w:pPr>
        <w:ind w:left="760" w:right="60" w:hanging="246"/>
        <w:spacing w:after="0" w:line="290"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the regulations promulgated thereunder, including 45 C.F.R. Parts 160 and 164, imposing rules regarding privacy, security, and data breach notifications;</w:t>
      </w:r>
    </w:p>
    <w:p>
      <w:pPr>
        <w:spacing w:after="0" w:line="35"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35" w:lineRule="exact"/>
        <w:rPr>
          <w:rFonts w:ascii="Arial" w:cs="Arial" w:eastAsia="Arial" w:hAnsi="Arial"/>
          <w:sz w:val="14"/>
          <w:szCs w:val="14"/>
          <w:color w:val="auto"/>
        </w:rPr>
      </w:pPr>
    </w:p>
    <w:p>
      <w:pPr>
        <w:ind w:left="760" w:hanging="246"/>
        <w:spacing w:after="0" w:line="262"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federal physician transparency requirements known as the Physician Payments Sunshine Act, under the Patient Protection and Affordable Care Act, as amended by the Health Care Education Reconciliation Act, or the Affordable Care Act, or the ACA, which requires manufacturers of drugs, medical devices, biological and medical supplies covered by Medicare, Medicaid, or State Children’s Health Insurance Program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54" w:lineRule="exact"/>
        <w:rPr>
          <w:rFonts w:ascii="Arial" w:cs="Arial" w:eastAsia="Arial" w:hAnsi="Arial"/>
          <w:sz w:val="14"/>
          <w:szCs w:val="14"/>
          <w:color w:val="auto"/>
        </w:rPr>
      </w:pPr>
    </w:p>
    <w:p>
      <w:pPr>
        <w:ind w:left="760" w:right="640" w:hanging="246"/>
        <w:spacing w:after="0" w:line="290"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2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Pharmaceutical Insurance Coverage and Health Care Reform</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the United States and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43"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4" w:name="page55"/>
    <w:bookmarkEnd w:id="54"/>
    <w:p>
      <w:pPr>
        <w:ind w:right="100" w:firstLine="509"/>
        <w:spacing w:after="0" w:line="260" w:lineRule="auto"/>
        <w:rPr>
          <w:sz w:val="20"/>
          <w:szCs w:val="20"/>
          <w:color w:val="auto"/>
        </w:rPr>
      </w:pPr>
      <w:r>
        <w:rPr>
          <w:rFonts w:ascii="Arial" w:cs="Arial" w:eastAsia="Arial" w:hAnsi="Arial"/>
          <w:sz w:val="14"/>
          <w:szCs w:val="14"/>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42" w:lineRule="exact"/>
        <w:rPr>
          <w:sz w:val="20"/>
          <w:szCs w:val="20"/>
          <w:color w:val="auto"/>
        </w:rPr>
      </w:pPr>
    </w:p>
    <w:p>
      <w:pPr>
        <w:ind w:right="520" w:firstLine="509"/>
        <w:spacing w:after="0" w:line="290" w:lineRule="auto"/>
        <w:rPr>
          <w:sz w:val="20"/>
          <w:szCs w:val="20"/>
          <w:color w:val="auto"/>
        </w:rPr>
      </w:pPr>
      <w:r>
        <w:rPr>
          <w:rFonts w:ascii="Arial" w:cs="Arial" w:eastAsia="Arial" w:hAnsi="Arial"/>
          <w:sz w:val="14"/>
          <w:szCs w:val="14"/>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311"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In March 2010, the ACA was signed into law.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of Medicare payments to providers of up to 2% per fiscal year, which went into effect in April 2013 and will remain in effect through 2030 under the Coronavirus Aid, Relief, and Economic Security Act, or the CARES Act.</w:t>
      </w:r>
    </w:p>
    <w:p>
      <w:pPr>
        <w:spacing w:after="0" w:line="140"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12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Consolidated Appropriations Act, which was signed into law in December 2022,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150" w:lineRule="exact"/>
        <w:rPr>
          <w:sz w:val="20"/>
          <w:szCs w:val="20"/>
          <w:color w:val="auto"/>
        </w:rPr>
      </w:pPr>
    </w:p>
    <w:p>
      <w:pPr>
        <w:ind w:right="40" w:firstLine="509"/>
        <w:spacing w:after="0" w:line="253" w:lineRule="auto"/>
        <w:rPr>
          <w:sz w:val="20"/>
          <w:szCs w:val="20"/>
          <w:color w:val="auto"/>
        </w:rPr>
      </w:pPr>
      <w:r>
        <w:rPr>
          <w:rFonts w:ascii="Arial" w:cs="Arial" w:eastAsia="Arial" w:hAnsi="Arial"/>
          <w:sz w:val="14"/>
          <w:szCs w:val="14"/>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The U.S. Supreme Court, on June 17, 2021, dismissed an</w:t>
      </w:r>
    </w:p>
    <w:p>
      <w:pPr>
        <w:ind w:right="100"/>
        <w:spacing w:after="0" w:line="249" w:lineRule="auto"/>
        <w:rPr>
          <w:sz w:val="20"/>
          <w:szCs w:val="20"/>
          <w:color w:val="auto"/>
        </w:rPr>
      </w:pPr>
      <w:r>
        <w:rPr>
          <w:rFonts w:ascii="Arial" w:cs="Arial" w:eastAsia="Arial" w:hAnsi="Arial"/>
          <w:sz w:val="14"/>
          <w:szCs w:val="14"/>
          <w:color w:val="auto"/>
        </w:rPr>
        <w:t>action challenging the constitutionality of the ACA after finding that the plaintiffs do not have standing to bring the action. Litigation and legislation over the ACA are likely to continue, with unpredictable and uncertain results. Further, with adoption of the One Big Beautiful Bill Act, or OBBB Act, in July 2025, Congress further restricted certain provisions in the ACA by eliminating enhanced premium tax credits, halting provisional coverage, removing repayment caps, reducing subsidies for lawfully present migrants, and tightening enrollment verification requirements.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Pharmaceutical Price Reforms</w:t>
      </w:r>
    </w:p>
    <w:p>
      <w:pPr>
        <w:spacing w:after="0" w:line="94" w:lineRule="exact"/>
        <w:rPr>
          <w:sz w:val="20"/>
          <w:szCs w:val="20"/>
          <w:color w:val="auto"/>
        </w:rPr>
      </w:pPr>
    </w:p>
    <w:p>
      <w:pPr>
        <w:ind w:right="60" w:firstLine="509"/>
        <w:spacing w:after="0" w:line="276" w:lineRule="auto"/>
        <w:rPr>
          <w:sz w:val="20"/>
          <w:szCs w:val="20"/>
          <w:color w:val="auto"/>
        </w:rPr>
      </w:pPr>
      <w:r>
        <w:rPr>
          <w:rFonts w:ascii="Arial" w:cs="Arial" w:eastAsia="Arial" w:hAnsi="Arial"/>
          <w:sz w:val="14"/>
          <w:szCs w:val="14"/>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between pricing and manufacturer patient programs, and reduce the costs of pharmaceuticals under Medicare and Medicaid. In 2020, the President issued several executive orders</w:t>
      </w:r>
    </w:p>
    <w:p>
      <w:pPr>
        <w:spacing w:after="0" w:line="5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intended to lower the costs of prescription products and certain provisions in these orders have been incorporated into regulations. These regulations include an interim final rule implementing a most favored nation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55" w:name="page56"/>
    <w:bookmarkEnd w:id="55"/>
    <w:p>
      <w:pPr>
        <w:ind w:right="320"/>
        <w:spacing w:after="0" w:line="265" w:lineRule="auto"/>
        <w:rPr>
          <w:sz w:val="20"/>
          <w:szCs w:val="20"/>
          <w:color w:val="auto"/>
        </w:rPr>
      </w:pPr>
      <w:r>
        <w:rPr>
          <w:rFonts w:ascii="Arial" w:cs="Arial" w:eastAsia="Arial" w:hAnsi="Arial"/>
          <w:sz w:val="14"/>
          <w:szCs w:val="14"/>
          <w:color w:val="auto"/>
        </w:rPr>
        <w:t>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48" w:lineRule="exact"/>
        <w:rPr>
          <w:sz w:val="20"/>
          <w:szCs w:val="20"/>
          <w:color w:val="auto"/>
        </w:rPr>
      </w:pPr>
    </w:p>
    <w:p>
      <w:pPr>
        <w:ind w:right="20" w:firstLine="509"/>
        <w:spacing w:after="0"/>
        <w:rPr>
          <w:sz w:val="20"/>
          <w:szCs w:val="20"/>
          <w:color w:val="auto"/>
        </w:rPr>
      </w:pPr>
      <w:r>
        <w:rPr>
          <w:rFonts w:ascii="Arial" w:cs="Arial" w:eastAsia="Arial" w:hAnsi="Arial"/>
          <w:sz w:val="14"/>
          <w:szCs w:val="14"/>
          <w:color w:val="auto"/>
        </w:rPr>
        <w:t>In addition, in October 2020, HHS and the FDA published a final rule allowing states and other entities to develop a Section 804 Importation Program to import certain prescription products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products from Canada.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 On May 21,</w:t>
      </w:r>
    </w:p>
    <w:p>
      <w:pPr>
        <w:spacing w:after="0" w:line="3" w:lineRule="exact"/>
        <w:rPr>
          <w:sz w:val="20"/>
          <w:szCs w:val="20"/>
          <w:color w:val="auto"/>
        </w:rPr>
      </w:pPr>
    </w:p>
    <w:p>
      <w:pPr>
        <w:ind w:right="180"/>
        <w:spacing w:after="0" w:line="229" w:lineRule="auto"/>
        <w:rPr>
          <w:sz w:val="20"/>
          <w:szCs w:val="20"/>
          <w:color w:val="auto"/>
        </w:rPr>
      </w:pPr>
      <w:r>
        <w:rPr>
          <w:rFonts w:ascii="Arial" w:cs="Arial" w:eastAsia="Arial" w:hAnsi="Arial"/>
          <w:sz w:val="14"/>
          <w:szCs w:val="14"/>
          <w:color w:val="auto"/>
        </w:rPr>
        <w:t>2025, the FDA announced that it would offer individual states the opportunity to submit a draft proposal for pre-review and meet with the agency to obtain initial feedback from the FDA prior to formally submitting their section 804 importation program, or</w:t>
      </w:r>
    </w:p>
    <w:p>
      <w:pPr>
        <w:ind w:right="260"/>
        <w:spacing w:after="0" w:line="253" w:lineRule="auto"/>
        <w:rPr>
          <w:sz w:val="20"/>
          <w:szCs w:val="20"/>
          <w:color w:val="auto"/>
        </w:rPr>
      </w:pPr>
      <w:r>
        <w:rPr>
          <w:rFonts w:ascii="Arial" w:cs="Arial" w:eastAsia="Arial" w:hAnsi="Arial"/>
          <w:sz w:val="14"/>
          <w:szCs w:val="14"/>
          <w:color w:val="auto"/>
        </w:rPr>
        <w:t>SIP, proposal. The intent of these meetings is to assist states in developing their proposals by further clarifying requirements, enhancing the quality of proposals submitted to the agency and ultimately shortening the review timeline.</w:t>
      </w:r>
    </w:p>
    <w:p>
      <w:pPr>
        <w:spacing w:after="0" w:line="145"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Further,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IRA, has been delayed by Congress to January 1, 2032.</w:t>
      </w:r>
    </w:p>
    <w:p>
      <w:pPr>
        <w:spacing w:after="0" w:line="138"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color w:val="auto"/>
        </w:rPr>
        <w:t>On August 16, 2022, the IRA was signed into law. The new legislation has implications for Medicare Part D, which is a program available to individuals who are entitled to Medicare Part A or enrolled in Medicare Part B to give them the option of enrolling in a plan providing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52" w:lineRule="exact"/>
        <w:rPr>
          <w:sz w:val="20"/>
          <w:szCs w:val="20"/>
          <w:color w:val="auto"/>
        </w:rPr>
      </w:pPr>
    </w:p>
    <w:p>
      <w:pPr>
        <w:ind w:firstLine="509"/>
        <w:spacing w:after="0" w:line="241" w:lineRule="auto"/>
        <w:rPr>
          <w:sz w:val="20"/>
          <w:szCs w:val="20"/>
          <w:color w:val="auto"/>
        </w:rPr>
      </w:pPr>
      <w:r>
        <w:rPr>
          <w:rFonts w:ascii="Arial" w:cs="Arial" w:eastAsia="Arial" w:hAnsi="Arial"/>
          <w:sz w:val="14"/>
          <w:szCs w:val="14"/>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additional Part D drugs in 2027, 15 additional Part B or Part D drugs in 2028, and 20 additional Part B or Part D drugs in 2029 and beyond. Drugs and biologics that have been approved for a single rare disease or condition were originally categorically excluded from price negotiation. With passage of the One Big Beautiful Bill Act on July 3, 2025, which was signed into law on July 4, 2025, Congress extended this exemption to drugs and biologics with multiple orphan drug designations.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beneficiaries' out-of-pocket drug costs at an estimated $4,000 a year in 2024 and, thereafter beginning in 2025, at $2,000 a year.</w:t>
      </w:r>
    </w:p>
    <w:p>
      <w:pPr>
        <w:spacing w:after="0" w:line="158"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the selection of 15 additional drugs covered by Part D for the second cycle of negotiations.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6" w:name="page57"/>
    <w:bookmarkEnd w:id="56"/>
    <w:p>
      <w:pPr>
        <w:spacing w:after="0" w:line="290" w:lineRule="auto"/>
        <w:rPr>
          <w:sz w:val="20"/>
          <w:szCs w:val="20"/>
          <w:color w:val="auto"/>
        </w:rPr>
      </w:pPr>
      <w:r>
        <w:rPr>
          <w:rFonts w:ascii="Arial" w:cs="Arial" w:eastAsia="Arial" w:hAnsi="Arial"/>
          <w:sz w:val="14"/>
          <w:szCs w:val="14"/>
          <w:color w:val="auto"/>
        </w:rPr>
        <w:t>This second cycle of negotiations with participating drug companies will occur during 2025, and any negotiated prices for this second set of drugs will be effective starting January 1, 2027.</w:t>
      </w:r>
    </w:p>
    <w:p>
      <w:pPr>
        <w:spacing w:after="0" w:line="131" w:lineRule="exact"/>
        <w:rPr>
          <w:sz w:val="20"/>
          <w:szCs w:val="20"/>
          <w:color w:val="auto"/>
        </w:rPr>
      </w:pPr>
    </w:p>
    <w:p>
      <w:pPr>
        <w:ind w:firstLine="509"/>
        <w:spacing w:after="0"/>
        <w:rPr>
          <w:sz w:val="20"/>
          <w:szCs w:val="20"/>
          <w:color w:val="auto"/>
        </w:rPr>
      </w:pPr>
      <w:r>
        <w:rPr>
          <w:rFonts w:ascii="Arial" w:cs="Arial" w:eastAsia="Arial" w:hAnsi="Arial"/>
          <w:sz w:val="14"/>
          <w:szCs w:val="14"/>
          <w:color w:val="auto"/>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of Appeals for the Third Circuit heard arguments in an additional three cases. On May 8, 2025, the U.S. Court of Appeals for the Third Circuit rejected AstraZeneca L.P.’s challenge to the Medicare price negotiation program, finding that the program did not violate the company’s due process rights under the Constitution since there is no protected property</w:t>
      </w:r>
    </w:p>
    <w:p>
      <w:pPr>
        <w:spacing w:after="0" w:line="253" w:lineRule="auto"/>
        <w:rPr>
          <w:sz w:val="20"/>
          <w:szCs w:val="20"/>
          <w:color w:val="auto"/>
        </w:rPr>
      </w:pPr>
      <w:r>
        <w:rPr>
          <w:rFonts w:ascii="Arial" w:cs="Arial" w:eastAsia="Arial" w:hAnsi="Arial"/>
          <w:sz w:val="14"/>
          <w:szCs w:val="14"/>
          <w:color w:val="auto"/>
        </w:rPr>
        <w:t>interest in selling goods to Medicare beneficiaries at a price higher than what the government is willing to pay in reimbursement. Litigation involving these and other provisions of the IRA will continue with unpredictable and uncertain results.</w:t>
      </w:r>
    </w:p>
    <w:p>
      <w:pPr>
        <w:spacing w:after="0" w:line="156" w:lineRule="exact"/>
        <w:rPr>
          <w:sz w:val="20"/>
          <w:szCs w:val="20"/>
          <w:color w:val="auto"/>
        </w:rPr>
      </w:pPr>
    </w:p>
    <w:p>
      <w:pPr>
        <w:ind w:right="20" w:firstLine="509"/>
        <w:spacing w:after="0" w:line="242" w:lineRule="auto"/>
        <w:rPr>
          <w:sz w:val="20"/>
          <w:szCs w:val="20"/>
          <w:color w:val="auto"/>
        </w:rPr>
      </w:pPr>
      <w:r>
        <w:rPr>
          <w:rFonts w:ascii="Arial" w:cs="Arial" w:eastAsia="Arial" w:hAnsi="Arial"/>
          <w:sz w:val="14"/>
          <w:szCs w:val="14"/>
          <w:color w:val="auto"/>
        </w:rPr>
        <w:t>On April 15, 2025, the President issued an executive order that directs HHS to take steps to reduce the prices of pharmaceutical products. The new executive order repeats many of the proposals advanced during the current President’s first term,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Further, on May 12, 2025, the President issued an additional executive order calling on pharmaceutical manufacturers to voluntarily reduce the prices of medicines in the</w:t>
      </w:r>
    </w:p>
    <w:p>
      <w:pPr>
        <w:spacing w:after="0" w:line="12"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United States. The executive order directs the Secretary of HHS to communicate most-favored-nation, or MFN, price targets to pharmaceutical manufacturers to bring prices in line with comparably developed nations. The executive order further provides that if such actions do not lower the costs of pharmaceuticals, the Secretary of HHS would pursue other</w:t>
      </w:r>
    </w:p>
    <w:p>
      <w:pPr>
        <w:ind w:right="40"/>
        <w:spacing w:after="0"/>
        <w:rPr>
          <w:sz w:val="20"/>
          <w:szCs w:val="20"/>
          <w:color w:val="auto"/>
        </w:rPr>
      </w:pPr>
      <w:r>
        <w:rPr>
          <w:rFonts w:ascii="Arial" w:cs="Arial" w:eastAsia="Arial" w:hAnsi="Arial"/>
          <w:sz w:val="14"/>
          <w:szCs w:val="14"/>
          <w:color w:val="auto"/>
        </w:rPr>
        <w:t>actions, including proposing a rulemaking that imposes MFN pricing in the United States. Subsequently, on May 20, 2025, HHS indicated that the proposed MFN pricing will apply only to brand products without generic or biosimilar competition and the reference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 The implications of these actions remain unclear and are likely to result in litigation if the administration pursues an MFN regulatory pricing requirement.</w:t>
      </w:r>
    </w:p>
    <w:p>
      <w:pPr>
        <w:spacing w:after="0" w:line="166" w:lineRule="exact"/>
        <w:rPr>
          <w:sz w:val="20"/>
          <w:szCs w:val="20"/>
          <w:color w:val="auto"/>
        </w:rPr>
      </w:pPr>
    </w:p>
    <w:p>
      <w:pPr>
        <w:ind w:right="20" w:firstLine="509"/>
        <w:spacing w:after="0" w:line="241" w:lineRule="auto"/>
        <w:rPr>
          <w:sz w:val="20"/>
          <w:szCs w:val="20"/>
          <w:color w:val="auto"/>
        </w:rPr>
      </w:pPr>
      <w:r>
        <w:rPr>
          <w:rFonts w:ascii="Arial" w:cs="Arial" w:eastAsia="Arial" w:hAnsi="Arial"/>
          <w:sz w:val="14"/>
          <w:szCs w:val="14"/>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 Virtually all of these pharmaceutical companies have entered into</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14"/>
          <w:szCs w:val="14"/>
          <w:color w:val="auto"/>
        </w:rPr>
        <w:t>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57" w:name="page58"/>
    <w:bookmarkEnd w:id="57"/>
    <w:p>
      <w:pPr>
        <w:ind w:firstLine="509"/>
        <w:spacing w:after="0" w:line="243" w:lineRule="auto"/>
        <w:rPr>
          <w:sz w:val="20"/>
          <w:szCs w:val="20"/>
          <w:color w:val="auto"/>
        </w:rPr>
      </w:pPr>
      <w:r>
        <w:rPr>
          <w:rFonts w:ascii="Arial" w:cs="Arial" w:eastAsia="Arial" w:hAnsi="Arial"/>
          <w:sz w:val="14"/>
          <w:szCs w:val="14"/>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 for GLOBE and January 1, 2027 for GUARD.</w:t>
      </w:r>
    </w:p>
    <w:p>
      <w:pPr>
        <w:spacing w:after="0" w:line="143" w:lineRule="exact"/>
        <w:rPr>
          <w:sz w:val="20"/>
          <w:szCs w:val="20"/>
          <w:color w:val="auto"/>
        </w:rPr>
      </w:pPr>
    </w:p>
    <w:p>
      <w:pPr>
        <w:ind w:right="340" w:firstLine="509"/>
        <w:spacing w:after="0" w:line="276"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cases, designed to encourage importation from other countries and bulk purchasing. A number of states, for example, require drug manufacturers and other entities in the drug</w:t>
      </w:r>
    </w:p>
    <w:p>
      <w:pPr>
        <w:spacing w:after="0" w:line="5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supply chain, including health carriers, pharmacy benefit managers, wholesale distributors, to disclose information about pricing of pharmaceuticals. 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Review and Approval of Medicinal Products in the EU</w:t>
      </w:r>
    </w:p>
    <w:p>
      <w:pPr>
        <w:spacing w:after="0" w:line="200"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In order to market any product outside of the United States, a sponsor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The EU/European Economic Area, or EEA, applies harmonized regulatory rules for medicinal products, for the approval process and requirements governing the conduct of clinical trials, and for the regulatory approval of medicinal products. However, pricing and reimbursement for medicinal products varies greatly between countries and jurisdictions and can involve additional testing for health technology assessments.</w:t>
      </w:r>
    </w:p>
    <w:p>
      <w:pPr>
        <w:spacing w:after="0" w:line="143"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 generally follows the same lines as in the United States, as further detailed below.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Non-clinical Studies</w:t>
      </w:r>
    </w:p>
    <w:p>
      <w:pPr>
        <w:spacing w:after="0" w:line="92" w:lineRule="exact"/>
        <w:rPr>
          <w:sz w:val="20"/>
          <w:szCs w:val="20"/>
          <w:color w:val="auto"/>
        </w:rPr>
      </w:pPr>
    </w:p>
    <w:p>
      <w:pPr>
        <w:ind w:right="60" w:firstLine="509"/>
        <w:spacing w:after="0" w:line="268" w:lineRule="auto"/>
        <w:rPr>
          <w:sz w:val="20"/>
          <w:szCs w:val="20"/>
          <w:color w:val="auto"/>
        </w:rPr>
      </w:pPr>
      <w:r>
        <w:rPr>
          <w:rFonts w:ascii="Arial" w:cs="Arial" w:eastAsia="Arial" w:hAnsi="Arial"/>
          <w:sz w:val="14"/>
          <w:szCs w:val="14"/>
          <w:color w:val="auto"/>
        </w:rPr>
        <w:t xml:space="preserve">Non-clinical studies are performed to demonstrate the health or environmental safety of new chemical or biological substances. Non-clinical (pharmaco-toxicological) studies must be conducted in compliance with the GLP principles as set forth in EU Directive 2004/10/EC (unless otherwise justified for certain particular medicinal products – e.g., radio-pharmaceutical precursors for radio-labeling purposes). In particular, non-clinical studies, both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must be planned, performed, monitored, recorded, reported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archived in accordance with the GLP principles, which define a set of rules and criteria for a quality system for the organizational process and the conditions for non-clinical studies.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GLP standards reflect the Organization for Economic Co-operation and Development requirements.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Clinical Trial Approval</w:t>
      </w:r>
    </w:p>
    <w:p>
      <w:pPr>
        <w:spacing w:after="0" w:line="9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On January 31, 2022, the Clinical Trials Regulation (EU) No 536/2014, or CTR, became effective in the EU and replaced the prior Clinical Trials Directive 2001/20/EC, or CTD. The CTR aims at simplifying and streamlining the authorization, conduct and transparency of clinical trials in the EU. Under the new coordinated procedure for the approval of clinical trials, the sponsor of a clinical trial to be conducted in more than one Member State of the European Union, or EU Member State, is only required to submit a single application for approval. The submission is made through the Clinical Trials Information System, a new clinical trials portal overseen by the European Medicines Agency, or EMA, and available to clinical trial sponsors, competent authorities of the EU Member States and the public.</w:t>
      </w:r>
    </w:p>
    <w:p>
      <w:pPr>
        <w:spacing w:after="0" w:line="140"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main characteristics of the CTR include: a streamlined application procedure via a single entry point, the "EU Portal ad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CTR.</w:t>
      </w:r>
    </w:p>
    <w:p>
      <w:pPr>
        <w:spacing w:after="0" w:line="142"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38" w:lineRule="exact"/>
        <w:rPr>
          <w:sz w:val="20"/>
          <w:szCs w:val="20"/>
          <w:color w:val="auto"/>
        </w:rPr>
      </w:pPr>
    </w:p>
    <w:p>
      <w:pPr>
        <w:ind w:right="340" w:firstLine="509"/>
        <w:spacing w:after="0" w:line="265" w:lineRule="auto"/>
        <w:rPr>
          <w:sz w:val="20"/>
          <w:szCs w:val="20"/>
          <w:color w:val="auto"/>
        </w:rPr>
      </w:pPr>
      <w:r>
        <w:rPr>
          <w:rFonts w:ascii="Arial" w:cs="Arial" w:eastAsia="Arial" w:hAnsi="Arial"/>
          <w:sz w:val="14"/>
          <w:szCs w:val="14"/>
          <w:color w:val="auto"/>
        </w:rPr>
        <w:t>The CTR foresees a three-year transition period. The extent to which ongoing and new clinical trials will be governed by the CTR varies. Clinical trials for which an application was submitted (i) prior to January 31, 2022 under the CTD, or (ii) between January 31, 2022 and January 31, 2023 and for which the sponsor has opted for the application of the CTD remain governed by said Directive until January 31, 2025. After this date, all clinical trials (including those which are ongoing) will become subject to the provisions of the CTR.</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Parties conducting certain clinical trials must, as in the United States, post clinical trial information in the EU at the EU Clinical Trials Register.</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PRIME Designation in the EU</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EMA's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59" w:name="page60"/>
    <w:bookmarkEnd w:id="59"/>
    <w:p>
      <w:pPr>
        <w:ind w:left="520"/>
        <w:spacing w:after="0"/>
        <w:rPr>
          <w:sz w:val="20"/>
          <w:szCs w:val="20"/>
          <w:color w:val="auto"/>
        </w:rPr>
      </w:pPr>
      <w:r>
        <w:rPr>
          <w:rFonts w:ascii="Arial" w:cs="Arial" w:eastAsia="Arial" w:hAnsi="Arial"/>
          <w:sz w:val="14"/>
          <w:szCs w:val="14"/>
          <w:b w:val="1"/>
          <w:bCs w:val="1"/>
          <w:color w:val="auto"/>
        </w:rPr>
        <w:t>Pediatric Studies</w:t>
      </w:r>
    </w:p>
    <w:p>
      <w:pPr>
        <w:spacing w:after="0" w:line="94"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We do not currently conduct any pediatric studies. In the event that we ever do conduct pediatric studies, additional regulation will apply. For example, prior to obtaining a marketing authorization in the European Union, sponsors must demonstrate compliance with all measures included in an EMA-approved Paediatric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Marketing Authorization</w:t>
      </w:r>
    </w:p>
    <w:p>
      <w:pPr>
        <w:spacing w:after="0" w:line="9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To obtain marketing authorization for a product under EU regulatory systems, a sponsor must submit an MAA either under a centralized procedure administered by the EMA, or one of the procedures administered by competent authorities in the EU Member States (decentralized procedure or mutual recognition procedure, or MRP). A marketing authorization may be granted only to a sponsor established in the EU. Regulation (EC) No 1901/2006 provides that prior to obtaining a marketing authorization in the EU, sponsors have to demonstrate compliance with all measures included in an EMA-approved PIP covering all subsets of the pediatric population, unless the EMA has granted (1) a product-specific waiver, (2) a class waiver or (3) a deferral for one or more of the measures included in the PIP.</w:t>
      </w:r>
    </w:p>
    <w:p>
      <w:pPr>
        <w:spacing w:after="0" w:line="14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centralized procedure provides for the grant of a single marketing authorization by the European Commission that is valid across the EEA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w:t>
      </w:r>
    </w:p>
    <w:p>
      <w:pPr>
        <w:spacing w:after="0" w:line="142"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w:t>
      </w:r>
    </w:p>
    <w:p>
      <w:pPr>
        <w:spacing w:after="0" w:line="14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38"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4"/>
          <w:szCs w:val="14"/>
          <w:color w:val="auto"/>
        </w:rPr>
        <w:t>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Member State, or RMS, prepares a draft assessment and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6" w:right="359" w:bottom="1440" w:gutter="0" w:footer="0" w:header="0"/>
        </w:sectPr>
      </w:pPr>
    </w:p>
    <w:bookmarkStart w:id="60" w:name="page61"/>
    <w:bookmarkEnd w:id="60"/>
    <w:p>
      <w:pPr>
        <w:jc w:val="both"/>
        <w:ind w:right="60"/>
        <w:spacing w:after="0" w:line="265" w:lineRule="auto"/>
        <w:rPr>
          <w:sz w:val="20"/>
          <w:szCs w:val="20"/>
          <w:color w:val="auto"/>
        </w:rPr>
      </w:pPr>
      <w:r>
        <w:rPr>
          <w:rFonts w:ascii="Arial" w:cs="Arial" w:eastAsia="Arial" w:hAnsi="Arial"/>
          <w:sz w:val="14"/>
          <w:szCs w:val="14"/>
          <w:color w:val="auto"/>
        </w:rPr>
        <w:t>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RMS's assessment report and related materials due to concerns relating to a potential serious risk to public health, disputed elements may be referred to the European Commission, whose decision is binding on all EU Member States.</w:t>
      </w:r>
    </w:p>
    <w:p>
      <w:pPr>
        <w:spacing w:after="0" w:line="138" w:lineRule="exact"/>
        <w:rPr>
          <w:sz w:val="20"/>
          <w:szCs w:val="20"/>
          <w:color w:val="auto"/>
        </w:rPr>
      </w:pPr>
    </w:p>
    <w:p>
      <w:pPr>
        <w:ind w:right="220" w:firstLine="509"/>
        <w:spacing w:after="0" w:line="271" w:lineRule="auto"/>
        <w:rPr>
          <w:sz w:val="20"/>
          <w:szCs w:val="20"/>
          <w:color w:val="auto"/>
        </w:rPr>
      </w:pPr>
      <w:r>
        <w:rPr>
          <w:rFonts w:ascii="Arial" w:cs="Arial" w:eastAsia="Arial" w:hAnsi="Arial"/>
          <w:sz w:val="14"/>
          <w:szCs w:val="14"/>
          <w:color w:val="auto"/>
        </w:rPr>
        <w:t>The MRP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Marketing Authorization under Exceptional Circumstances</w:t>
      </w:r>
    </w:p>
    <w:p>
      <w:pPr>
        <w:spacing w:after="0" w:line="9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European Commission may grant a so-called “marketing authorization under exceptional circumstances” under Article 14(8) of Regulation (EC) No 726/2004. Such authorization is intended for products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57" w:lineRule="exact"/>
        <w:rPr>
          <w:sz w:val="20"/>
          <w:szCs w:val="20"/>
          <w:color w:val="auto"/>
        </w:rPr>
      </w:pPr>
    </w:p>
    <w:p>
      <w:pPr>
        <w:ind w:left="760" w:right="740" w:hanging="246"/>
        <w:spacing w:after="0" w:line="290"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sponsor must complete an identified program of studies within a time period specified by the competent authority, the results of which form the basis of a reassessment of the benefit/risk profile;</w:t>
      </w:r>
    </w:p>
    <w:p>
      <w:pPr>
        <w:spacing w:after="0" w:line="35"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5" w:lineRule="exact"/>
        <w:rPr>
          <w:rFonts w:ascii="Arial" w:cs="Arial" w:eastAsia="Arial" w:hAnsi="Arial"/>
          <w:sz w:val="14"/>
          <w:szCs w:val="14"/>
          <w:color w:val="auto"/>
        </w:rPr>
      </w:pPr>
    </w:p>
    <w:p>
      <w:pPr>
        <w:ind w:left="760" w:right="260" w:hanging="246"/>
        <w:spacing w:after="0" w:line="290"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2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Conditional Marketing Authorization</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The European Commission may also grant a so-called “conditional marketing authorization” prior to obtaining the comprehensive clinical data required for an application for a full marketing authorization under Article 14-a of Regulation (EC) No 726/2004.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auto"/>
        </w:rPr>
        <w:t>obligations. The timelines for the centralized procedure described above also apply with respect to the review by the CHMP of applications for a conditional marketing authorization.</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Regulatory Data Protection in the EU</w:t>
      </w:r>
    </w:p>
    <w:p>
      <w:pPr>
        <w:spacing w:after="0" w:line="94"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54" w:lineRule="exact"/>
        <w:rPr>
          <w:sz w:val="20"/>
          <w:szCs w:val="20"/>
          <w:color w:val="auto"/>
        </w:rPr>
      </w:pPr>
    </w:p>
    <w:p>
      <w:pPr>
        <w:ind w:firstLine="509"/>
        <w:spacing w:after="0"/>
        <w:rPr>
          <w:sz w:val="20"/>
          <w:szCs w:val="20"/>
          <w:color w:val="auto"/>
        </w:rPr>
      </w:pPr>
      <w:r>
        <w:rPr>
          <w:rFonts w:ascii="Arial" w:cs="Arial" w:eastAsia="Arial" w:hAnsi="Arial"/>
          <w:sz w:val="14"/>
          <w:szCs w:val="14"/>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On December 11. 2025, the European Parliament and Council reached a provisional political agreement on the legislation which is expected to be adopted by mid-2026. Key changes include updating regulatory data exclusivity to a new system with 8 years data exclusivity and reduced market exclusivity period to 1 year which can be extended if specific conditions are fulfilled, adding launch/supply obligations, incentivizing antibiotic innovation with transferable vouchers,</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and streamlining approval procedures in the EU. This measure, and others, are expected to be adopted by mid-2026 and, following a transition period of 24 months, will likely take effect in mid-2028.</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Periods of Authorization and Renewals</w:t>
      </w:r>
    </w:p>
    <w:p>
      <w:pPr>
        <w:spacing w:after="0" w:line="94"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or if initially placed on the market, is no longer actually present on the market for three consecutive years, ceases to be valid (the so-called sunset clause).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Pediatric Exclusivity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do not currently conduct any pediatric studies, and therefore regulations related to pediatric exclusivity do not currently apply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Orphan Drug Designation and Exclusivity</w:t>
      </w:r>
    </w:p>
    <w:p>
      <w:pPr>
        <w:spacing w:after="0" w:line="94"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Regulation (EC) No. 141/2000, as implemented by Regulation (EC) No. 847/2000 provides that a drug can be designated as an orphan drug by the European Commission if its sponsor can establish: that the product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2" w:name="page63"/>
    <w:bookmarkEnd w:id="62"/>
    <w:p>
      <w:pPr>
        <w:spacing w:after="0" w:line="262" w:lineRule="auto"/>
        <w:rPr>
          <w:sz w:val="20"/>
          <w:szCs w:val="20"/>
          <w:color w:val="auto"/>
        </w:rPr>
      </w:pPr>
      <w:r>
        <w:rPr>
          <w:rFonts w:ascii="Arial" w:cs="Arial" w:eastAsia="Arial" w:hAnsi="Arial"/>
          <w:sz w:val="14"/>
          <w:szCs w:val="14"/>
          <w:color w:val="auto"/>
        </w:rPr>
        <w:t>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40"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Patent Term Extensions in the EU and Other Jurisdictions</w:t>
      </w:r>
    </w:p>
    <w:p>
      <w:pPr>
        <w:spacing w:after="0" w:line="9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The EU also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above. Although SPCs are available throughout the European Union, sponsors must apply on a country-by-country basis, and SPCs are valid. Similar patent term extension rights exist in certain other foreign jurisdictions outside the EU.</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Regulatory Requirements after a Marketing Authorization has been Obtained</w:t>
      </w:r>
    </w:p>
    <w:p>
      <w:pPr>
        <w:spacing w:after="0" w:line="94" w:lineRule="exact"/>
        <w:rPr>
          <w:sz w:val="20"/>
          <w:szCs w:val="20"/>
          <w:color w:val="auto"/>
        </w:rPr>
      </w:pPr>
    </w:p>
    <w:p>
      <w:pPr>
        <w:ind w:right="640" w:firstLine="509"/>
        <w:spacing w:after="0" w:line="290" w:lineRule="auto"/>
        <w:rPr>
          <w:sz w:val="20"/>
          <w:szCs w:val="20"/>
          <w:color w:val="auto"/>
        </w:rPr>
      </w:pPr>
      <w:r>
        <w:rPr>
          <w:rFonts w:ascii="Arial" w:cs="Arial" w:eastAsia="Arial" w:hAnsi="Arial"/>
          <w:sz w:val="14"/>
          <w:szCs w:val="14"/>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35" w:lineRule="exact"/>
        <w:rPr>
          <w:sz w:val="20"/>
          <w:szCs w:val="20"/>
          <w:color w:val="auto"/>
        </w:rPr>
      </w:pPr>
    </w:p>
    <w:p>
      <w:pPr>
        <w:ind w:left="760" w:right="320" w:hanging="246"/>
        <w:spacing w:after="0" w:line="290"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Compliance with the EU’s stringent pharmacovigilance or safety reporting rules must be ensured. These rules can impose post-authorization studies and additional monitoring obligations.</w:t>
      </w:r>
    </w:p>
    <w:p>
      <w:pPr>
        <w:spacing w:after="0" w:line="35" w:lineRule="exact"/>
        <w:rPr>
          <w:rFonts w:ascii="Arial" w:cs="Arial" w:eastAsia="Arial" w:hAnsi="Arial"/>
          <w:sz w:val="14"/>
          <w:szCs w:val="14"/>
          <w:color w:val="auto"/>
        </w:rPr>
      </w:pPr>
    </w:p>
    <w:p>
      <w:pPr>
        <w:jc w:val="both"/>
        <w:ind w:left="760" w:right="260" w:hanging="246"/>
        <w:spacing w:after="0" w:line="262"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54" w:lineRule="exact"/>
        <w:rPr>
          <w:rFonts w:ascii="Arial" w:cs="Arial" w:eastAsia="Arial" w:hAnsi="Arial"/>
          <w:sz w:val="14"/>
          <w:szCs w:val="14"/>
          <w:color w:val="auto"/>
        </w:rPr>
      </w:pPr>
    </w:p>
    <w:p>
      <w:pPr>
        <w:ind w:left="760" w:right="120" w:hanging="246"/>
        <w:spacing w:after="0" w:line="271"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Pricing Decisions for Approved Products</w:t>
      </w:r>
    </w:p>
    <w:p>
      <w:pPr>
        <w:spacing w:after="0" w:line="94"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3" w:name="page64"/>
    <w:bookmarkEnd w:id="63"/>
    <w:p>
      <w:pPr>
        <w:ind w:right="60"/>
        <w:spacing w:after="0" w:line="257" w:lineRule="auto"/>
        <w:rPr>
          <w:sz w:val="20"/>
          <w:szCs w:val="20"/>
          <w:color w:val="auto"/>
        </w:rPr>
      </w:pPr>
      <w:r>
        <w:rPr>
          <w:rFonts w:ascii="Arial" w:cs="Arial" w:eastAsia="Arial" w:hAnsi="Arial"/>
          <w:sz w:val="14"/>
          <w:szCs w:val="14"/>
          <w:color w:val="auto"/>
        </w:rPr>
        <w:t>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Brexit and the Regulatory Framework in the United Kingdom</w:t>
      </w:r>
    </w:p>
    <w:p>
      <w:pPr>
        <w:spacing w:after="0" w:line="200"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As of January 1, 2025, the Medicines and Healthcare Products Regulatory Agency, or the MHRA, is responsible for approving all medicinal products destined for the UK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domestic law the body of EU law instruments governing medicinal products that pre-existed prior to the United Kingdom’s withdrawal from the EU.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EU level.</w:t>
      </w:r>
    </w:p>
    <w:p>
      <w:pPr>
        <w:spacing w:after="0" w:line="163"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As of January 1, 2024, a new international recognition procedure, or the IRP, applies which intends to facilitate approval of pharmaceutical products in the United Kingdom. The IRP is open to applicants that have already received an authorization for the same product from one of the MHRA’s specified Reference Regulators, or RRs. The RRs notably include EMA and regulators in the EEA member states for approvals in the EU centralized procedure and MRP as well as the FDA (for product approvals granted in the United States). The RR assessment must have undergone a full and standalone review. RR assessments based on reliance or recognition cannot be used to support an IRP application. A CHMP positive opinion or a mutual recognition and decentralized procedure positive end of procedure outcome is an RR authorization for the purposes of IRP.</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General Data Protection Regulation</w:t>
      </w:r>
    </w:p>
    <w:p>
      <w:pPr>
        <w:spacing w:after="0" w:line="94"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subject to the EU’s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64" w:name="page65"/>
    <w:bookmarkEnd w:id="64"/>
    <w:p>
      <w:pPr>
        <w:jc w:val="both"/>
        <w:ind w:right="40"/>
        <w:spacing w:after="0" w:line="290" w:lineRule="auto"/>
        <w:rPr>
          <w:sz w:val="20"/>
          <w:szCs w:val="20"/>
          <w:color w:val="auto"/>
        </w:rPr>
      </w:pPr>
      <w:r>
        <w:rPr>
          <w:rFonts w:ascii="Arial" w:cs="Arial" w:eastAsia="Arial" w:hAnsi="Arial"/>
          <w:sz w:val="14"/>
          <w:szCs w:val="14"/>
          <w:color w:val="auto"/>
        </w:rPr>
        <w:t>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31" w:lineRule="exact"/>
        <w:rPr>
          <w:sz w:val="20"/>
          <w:szCs w:val="20"/>
          <w:color w:val="auto"/>
        </w:rPr>
      </w:pPr>
    </w:p>
    <w:p>
      <w:pPr>
        <w:ind w:right="80" w:firstLine="509"/>
        <w:spacing w:after="0" w:line="244" w:lineRule="auto"/>
        <w:rPr>
          <w:sz w:val="20"/>
          <w:szCs w:val="20"/>
          <w:color w:val="auto"/>
        </w:rPr>
      </w:pPr>
      <w:r>
        <w:rPr>
          <w:rFonts w:ascii="Arial" w:cs="Arial" w:eastAsia="Arial" w:hAnsi="Arial"/>
          <w:sz w:val="14"/>
          <w:szCs w:val="14"/>
          <w:color w:val="auto"/>
        </w:rPr>
        <w:t>Following the July 2020 Court of Justice of the European Union judgment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 xml:space="preserve">Court of Justice of the European Union, or the CJEU, C-703/25 P – </w:t>
      </w:r>
      <w:r>
        <w:rPr>
          <w:rFonts w:ascii="Arial" w:cs="Arial" w:eastAsia="Arial" w:hAnsi="Arial"/>
          <w:sz w:val="14"/>
          <w:szCs w:val="14"/>
          <w:i w:val="1"/>
          <w:iCs w:val="1"/>
          <w:color w:val="auto"/>
        </w:rPr>
        <w:t>Latombe v. Commission</w:t>
      </w:r>
      <w:r>
        <w:rPr>
          <w:rFonts w:ascii="Arial" w:cs="Arial" w:eastAsia="Arial" w:hAnsi="Arial"/>
          <w:sz w:val="16"/>
          <w:szCs w:val="16"/>
          <w:i w:val="1"/>
          <w:iCs w:val="1"/>
          <w:color w:val="auto"/>
        </w:rPr>
        <w:t>.</w:t>
      </w:r>
      <w:r>
        <w:rPr>
          <w:rFonts w:ascii="Arial" w:cs="Arial" w:eastAsia="Arial" w:hAnsi="Arial"/>
          <w:sz w:val="14"/>
          <w:szCs w:val="14"/>
          <w:color w:val="auto"/>
        </w:rPr>
        <w:t xml:space="preserve"> If these challenges are successful, they may not only impact the EU-U.S. Data Privacy Framework, but also further limit the viability of the so-called standard contractual clauses and other data transfer mechanisms. The uncertainty around this issue has the potential to impact our business.</w:t>
      </w:r>
    </w:p>
    <w:p>
      <w:pPr>
        <w:spacing w:after="0" w:line="151" w:lineRule="exact"/>
        <w:rPr>
          <w:sz w:val="20"/>
          <w:szCs w:val="20"/>
          <w:color w:val="auto"/>
        </w:rPr>
      </w:pPr>
    </w:p>
    <w:p>
      <w:pPr>
        <w:ind w:right="40" w:firstLine="509"/>
        <w:spacing w:after="0" w:line="241" w:lineRule="auto"/>
        <w:rPr>
          <w:sz w:val="20"/>
          <w:szCs w:val="20"/>
          <w:color w:val="auto"/>
        </w:rPr>
      </w:pPr>
      <w:r>
        <w:rPr>
          <w:rFonts w:ascii="Arial" w:cs="Arial" w:eastAsia="Arial" w:hAnsi="Arial"/>
          <w:sz w:val="14"/>
          <w:szCs w:val="14"/>
          <w:color w:val="auto"/>
        </w:rPr>
        <w:t>On June 23, 2016, the electorate in the United Kingdom voted in favor of leaving the EU, commonly referred to as Brexit. Following the withdrawal of the United Kingdom from the EU, the U.K. Data Protection Act 2018 applies to the processing of personal data that takes place in the United Kingdom and includes parallel obligations to those set forth by GDPR. The United Kingdom government has already determined that it considers all European Union 27 and EEA member states to be adequate for the purposes of data protection, ensuring that data flows from the United Kingdom to the EU/EEA remain unaffected. The European Commission decided in June 2021 that the level of data protection in the United Kingdom is “essentially adequate” for purposes of data transfer from the EU to the United Kingdom. On December 19, 2025, the European Commission renewed this decision until December 27, 2031. The United Kingdom and the U.S. have also agreed to a U.S.- United Kingdom “Data Bridge,” which functions similarly to the EU-U.S. Data Privacy Framework and provides an additional legal mechanism for companies to transfer personal data from the United Kingdom to the U.S. Switzerland has also taken an adequacy decision in relation to the Swiss-U.S. Data Privacy Framework (which functions similarly to the EU-U.S. Data Privacy Framework and the U.S.-UK Data Bridge in relation to data transfers from Switzerland to the U.S.). Any changes or updates to these developments have the potential to impact our business.</w:t>
      </w:r>
    </w:p>
    <w:p>
      <w:pPr>
        <w:spacing w:after="0" w:line="158"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Employees and Human Capital Management</w:t>
      </w:r>
    </w:p>
    <w:p>
      <w:pPr>
        <w:spacing w:after="0" w:line="9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As of December 31, 2025, we had approximately 246 full-time employees. Of these full-time employees, 188 employees were engaged in research and development activities, with over 167 employees possessing advanced degrees, and approximately 50 employees were engaged in general and administrative activities. None of our employees is represented by a labor union or covered by a collective bargaining agreement. We believe that we maintain good relations with our employees.</w:t>
      </w:r>
    </w:p>
    <w:p>
      <w:pPr>
        <w:spacing w:after="0" w:line="13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We recognize that identifying, attracting, incentivizing, integrating, retaining and promoting talented employees is vital to our success. We aim to create an equitable, inclusive and empowering environment in which our employees can grow and advance their careers, with the overall goal of developing and retaining our workforce to support our current pipeline and future business goals. Our efforts to recruit and retain a talented, passionate and inclusive workforce with different experiences, perspectives, and backgrounds include providing competitive compensation, including equity incentive compensation, and comprehensive benefits that provide resources to help employees and covered dependents manage their health, finances and life outside of work. Our aspiration and efforts to represent the communities we serve also extend to the leadership of the Company, including the board of directors and our senior leaders.</w:t>
      </w:r>
    </w:p>
    <w:p>
      <w:pPr>
        <w:spacing w:after="0" w:line="142"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Training and educating our employees is key to our organizational success. We endeavor to provide in person and virtual trainings, as well as experiential learning through cross-functional exposure via presentations or shadowing opportunities. In addition, we value our employee's opinions and thoughts and provide virtual and onsite forums where our employees can provide feedback on corporate initiatives, recognize each other’s contributions and accomplishments, and provide other suggestions for improving our evolving workplace. We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5" w:name="page66"/>
    <w:bookmarkEnd w:id="65"/>
    <w:p>
      <w:pPr>
        <w:ind w:right="200"/>
        <w:spacing w:after="0" w:line="290" w:lineRule="auto"/>
        <w:rPr>
          <w:sz w:val="20"/>
          <w:szCs w:val="20"/>
          <w:color w:val="auto"/>
        </w:rPr>
      </w:pPr>
      <w:r>
        <w:rPr>
          <w:rFonts w:ascii="Arial" w:cs="Arial" w:eastAsia="Arial" w:hAnsi="Arial"/>
          <w:sz w:val="14"/>
          <w:szCs w:val="14"/>
          <w:color w:val="auto"/>
        </w:rPr>
        <w:t>prioritize employee feedback, and conduct an employee survey to measure employee engagement and to inform future talent initiatives. Similarly, we have introduced technology that enables employees to provide anonymous real-time feedback.</w:t>
      </w:r>
    </w:p>
    <w:p>
      <w:pPr>
        <w:spacing w:after="0" w:line="12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 addition, we are committed to our employees’ health, safety and well-being. In March 2020, initially in response to the COVID-19 pandemic, we adjusted our workplace policies to allow employees to work from home and we remodeled our work paradigm to one that is flexible and designed to accommodate a range of work profiles from office based to hybrid to fully remote, allowing us to maximize productivity and performance. We have, and plan to continue to, leverage remote hiring supported by virtual processes through which we provided a high level of interpersonal engagement and continued to expand our robust onboarding program to ensure all new hires are grounded in our business and culture.</w:t>
      </w:r>
    </w:p>
    <w:p>
      <w:pPr>
        <w:spacing w:after="0" w:line="140"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With the goal of ensuring every employee is included, supported, and treated equitably, our employees have formed various employee resource groups which help to support and guide us as an inclusive, and culturally intelligent workplace. These groups are comprised of a mix of employees from various functions and positions and have worked to identify areas for growth and education in order for the company to develop processes, systems and actions that will enable us to continue to build an inclusive and welcoming workplace.</w:t>
      </w:r>
    </w:p>
    <w:p>
      <w:pPr>
        <w:spacing w:after="0" w:line="138"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We also believe in the importance of our employees engaging in our community. In past years, we have hosted an IMPACT day, a company-wide community service day benefiting organizations in the Greater New Haven area and beyond. Giving back to the communities in which we work and live is an integral part of our corporate values and over half of our employees participated in person or virtually. The activities selected supported important priorities for Arvinas, including science, technology, engineering, and math, or STEM, initiatives, and the Greater New Haven and patient communities. We plan to continue IMPACT day in future years.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Available Information</w:t>
      </w:r>
    </w:p>
    <w:p>
      <w:pPr>
        <w:spacing w:after="0" w:line="94" w:lineRule="exact"/>
        <w:rPr>
          <w:sz w:val="20"/>
          <w:szCs w:val="20"/>
          <w:color w:val="auto"/>
        </w:rPr>
      </w:pPr>
    </w:p>
    <w:p>
      <w:pPr>
        <w:ind w:right="780" w:firstLine="509"/>
        <w:spacing w:after="0" w:line="290" w:lineRule="auto"/>
        <w:rPr>
          <w:sz w:val="20"/>
          <w:szCs w:val="20"/>
          <w:color w:val="auto"/>
        </w:rPr>
      </w:pPr>
      <w:r>
        <w:rPr>
          <w:rFonts w:ascii="Arial" w:cs="Arial" w:eastAsia="Arial" w:hAnsi="Arial"/>
          <w:sz w:val="14"/>
          <w:szCs w:val="14"/>
          <w:color w:val="auto"/>
        </w:rPr>
        <w:t>Our principal executive offices are located at 5 Science Park, New Haven, Connecticut 06511. Our telephone number is (203) 535-1456. Our website address is www.arvinas.com.</w:t>
      </w:r>
    </w:p>
    <w:p>
      <w:pPr>
        <w:spacing w:after="0" w:line="12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We make available, through our website and free of charge, our Annual Reports on Form 10-K, Quarterly Reports on Form 10-Q, Current Reports on Form 8-K and any amendments to those reports filed or furnished pursuant to Sections 13(a) and 15(d) of the Exchange Act of 1934, as amended, or the Exchange Act, as soon as reasonably practicable after we electronically file such reports with, or furnish such reports to, the U.S. Securities and Exchange Commission, or the SEC. In addition, we regularly use our website to post information regarding our business, product development programs and governance, and we encourage investors to use our website, particularly the information in the section entitled “Investors and Media,” as a source of information about us. The information on our website is not incorporated by reference into this Annual Report on Form 10-K and should not be considered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Item 1A. Risk Factors.</w:t>
      </w:r>
    </w:p>
    <w:p>
      <w:pPr>
        <w:spacing w:after="0" w:line="96" w:lineRule="exact"/>
        <w:rPr>
          <w:sz w:val="20"/>
          <w:szCs w:val="20"/>
          <w:color w:val="auto"/>
        </w:rPr>
      </w:pPr>
    </w:p>
    <w:p>
      <w:pPr>
        <w:ind w:firstLine="509"/>
        <w:spacing w:after="0" w:line="261" w:lineRule="auto"/>
        <w:rPr>
          <w:sz w:val="20"/>
          <w:szCs w:val="20"/>
          <w:color w:val="auto"/>
        </w:rPr>
      </w:pPr>
      <w:r>
        <w:rPr>
          <w:rFonts w:ascii="Arial" w:cs="Arial" w:eastAsia="Arial" w:hAnsi="Arial"/>
          <w:sz w:val="14"/>
          <w:szCs w:val="14"/>
          <w:i w:val="1"/>
          <w:iCs w:val="1"/>
          <w:color w:val="auto"/>
        </w:rPr>
        <w:t>We face a variety of risks and uncertainties in our business and 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before deciding to invest in our common stock. Additional risks and uncertainties not presently known to us or that we currently believe to be immaterial may also become important factors that affect our business.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26"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26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We have incurred significant losses since our inception. We expect to incur expenses and operating losses over at least the next several years and may never achieve or maintain profitability.</w:t>
      </w:r>
    </w:p>
    <w:p>
      <w:pPr>
        <w:spacing w:after="0" w:line="2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net losses totaled $80.8 million, $198.9 million and $367.3 million for the years ended December 31, 2025, 2024, and 2023, respectively. As of December 31, 2025, we had an accumulated deficit of $1,612.4 million. We have historically incurred losses, and expect to continue to incur losses in the future. To date, we have not generated any revenue from product sales and have financed our operations primarily through sales of our equity, proceeds from our collaborations, grant funding and debt financing. We are still developing our product candidates, and we have not completed development of any product candidates. We expect to continue to incur significant expenses and operating losses for at least the next several years if and as we:</w:t>
      </w:r>
    </w:p>
    <w:p>
      <w:pPr>
        <w:spacing w:after="0" w:line="55" w:lineRule="exact"/>
        <w:rPr>
          <w:sz w:val="20"/>
          <w:szCs w:val="20"/>
          <w:color w:val="auto"/>
        </w:rPr>
      </w:pPr>
    </w:p>
    <w:p>
      <w:pPr>
        <w:ind w:left="760" w:right="200" w:hanging="246"/>
        <w:spacing w:after="0" w:line="265"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continue our ongoing and planned clinical trials of our product candidates, including ARV-102, our PROTAC protein degrader designed to target the LRRK2 protein, ARV-806, our PROTAC protein degrader designed to target KRAS G12D for mutated cancers, ARV-393, our PROTAC protein degrader designed to target the BCL6 protein, ARV-027, our PROTAC protein degrader designed to target the polyQ-AR protein, and vepdegestrant, for the treatment of patients with locally advanced or metastatic ER+/HER2- breast cancer;</w:t>
      </w:r>
    </w:p>
    <w:p>
      <w:pPr>
        <w:spacing w:after="0" w:line="52"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progress our preclinical programs, including ARV-6723 and our pan-KRAS degrader program;</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progress additional PROTAC protein degrader programs into IND- or CTA-enabling studies;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apply our PROTAC Discovery Engine to advance additional product candidates into preclinical and clinical development;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expand the capabilities of our PROTAC Discovery Engine;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seek marketing approvals for any product candidates that successfully complete clinical trials;</w:t>
      </w:r>
    </w:p>
    <w:p>
      <w:pPr>
        <w:spacing w:after="0" w:line="93" w:lineRule="exact"/>
        <w:rPr>
          <w:rFonts w:ascii="Arial" w:cs="Arial" w:eastAsia="Arial" w:hAnsi="Arial"/>
          <w:sz w:val="14"/>
          <w:szCs w:val="14"/>
          <w:color w:val="auto"/>
        </w:rPr>
      </w:pPr>
    </w:p>
    <w:p>
      <w:pPr>
        <w:ind w:left="760" w:right="440" w:hanging="246"/>
        <w:spacing w:after="0" w:line="290"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spacing w:after="0" w:line="35" w:lineRule="exact"/>
        <w:rPr>
          <w:rFonts w:ascii="Arial" w:cs="Arial" w:eastAsia="Arial" w:hAnsi="Arial"/>
          <w:sz w:val="14"/>
          <w:szCs w:val="14"/>
          <w:color w:val="auto"/>
        </w:rPr>
      </w:pPr>
    </w:p>
    <w:p>
      <w:pPr>
        <w:ind w:left="760" w:right="40" w:hanging="246"/>
        <w:spacing w:after="0" w:line="290"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decisions with respect to our infrastructure and capabilities, including to support our operations as a public company and our research, product development and future commercialization efforts;</w:t>
      </w:r>
    </w:p>
    <w:p>
      <w:pPr>
        <w:spacing w:after="0" w:line="35" w:lineRule="exact"/>
        <w:rPr>
          <w:rFonts w:ascii="Arial" w:cs="Arial" w:eastAsia="Arial" w:hAnsi="Arial"/>
          <w:sz w:val="14"/>
          <w:szCs w:val="14"/>
          <w:color w:val="auto"/>
        </w:rPr>
      </w:pPr>
    </w:p>
    <w:p>
      <w:pPr>
        <w:ind w:left="760" w:right="540" w:hanging="246"/>
        <w:spacing w:after="0" w:line="290"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or maintain arrangements with third-party manufacturers, or establish manufacturing capabilities, for both clinical and commercial supplies of our product candidates; and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expand, maintain and protect our intellectual property portfolio.</w:t>
      </w:r>
    </w:p>
    <w:p>
      <w:pPr>
        <w:spacing w:after="0" w:line="179"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4"/>
          <w:szCs w:val="14"/>
          <w:color w:val="auto"/>
        </w:rPr>
        <w:t>Our expenses could increase beyond our expectations if we are required by the FDA, the EMA, or other regulatory authorities to perform trials in addition to those that we currently expect or anticipate, or if there are any delays in establishing appropriate manufacturing arrangements for or in completing our clinical trials or the development of any of our current or future product candidates.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6" w:right="379" w:bottom="1440" w:gutter="0" w:footer="0" w:header="0"/>
        </w:sectPr>
      </w:pPr>
    </w:p>
    <w:bookmarkStart w:id="67" w:name="page68"/>
    <w:bookmarkEnd w:id="67"/>
    <w:p>
      <w:pPr>
        <w:ind w:right="60" w:firstLine="509"/>
        <w:spacing w:after="0" w:line="262" w:lineRule="auto"/>
        <w:rPr>
          <w:sz w:val="20"/>
          <w:szCs w:val="20"/>
          <w:color w:val="auto"/>
        </w:rPr>
      </w:pPr>
      <w:r>
        <w:rPr>
          <w:rFonts w:ascii="Arial" w:cs="Arial" w:eastAsia="Arial" w:hAnsi="Arial"/>
          <w:sz w:val="14"/>
          <w:szCs w:val="14"/>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our stockholders to lose all or part of their investment.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never generated revenue from product sales and may never be profitable.</w:t>
      </w:r>
    </w:p>
    <w:p>
      <w:pPr>
        <w:spacing w:after="0" w:line="9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have never generated revenue from product sales. Our ability to generate revenue from product sales and achieve profitability depends on our ability, alone or with collaboration partners, to successfully complete the development of, and obtain the regulatory approvals necessary to commercialize, product candidates we may identify for development. We do not anticipate generating revenues from product sales for the next several years, if ever. We may never succeed in these activities and, even if we do, may never generate revenues that are significant enough to achieve profitability. To become and remain profitable, we must succeed in developing, obtaining marketing approval for and commercializing, either alone or with collaboration partners, products that generate significant revenue. This will require us to be successful in a range of challenging activities, including completing preclinical testing and clinical trials of our product candidates, discovering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either alone or with collaboration partners.</w:t>
      </w:r>
    </w:p>
    <w:p>
      <w:pPr>
        <w:spacing w:after="0" w:line="143"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If one or more of the product candidates that we develop is approved for commercial sale and we decide to commercialize such products ourselves,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221" w:lineRule="exact"/>
        <w:rPr>
          <w:sz w:val="20"/>
          <w:szCs w:val="20"/>
          <w:color w:val="auto"/>
        </w:rPr>
      </w:pPr>
    </w:p>
    <w:p>
      <w:pPr>
        <w:ind w:right="360"/>
        <w:spacing w:after="0" w:line="299" w:lineRule="auto"/>
        <w:rPr>
          <w:sz w:val="20"/>
          <w:szCs w:val="20"/>
          <w:color w:val="auto"/>
        </w:rPr>
      </w:pPr>
      <w:r>
        <w:rPr>
          <w:rFonts w:ascii="Arial" w:cs="Arial" w:eastAsia="Arial" w:hAnsi="Arial"/>
          <w:sz w:val="14"/>
          <w:szCs w:val="14"/>
          <w:b w:val="1"/>
          <w:bCs w:val="1"/>
          <w:i w:val="1"/>
          <w:iCs w:val="1"/>
          <w:color w:val="auto"/>
        </w:rPr>
        <w:t>We will need substantial additional funding to continue our operations. If we are unable to raise capital when needed, we may be required to delay, limit, reduce or terminate our research or product development programs or future commercialization efforts.</w:t>
      </w:r>
    </w:p>
    <w:p>
      <w:pPr>
        <w:spacing w:after="0" w:line="21"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We expect to continue to incur significant expenses in connection with our ongoing activities, particularly as we continue our ongoing and initiate our planned clinical trials of ARV-102, ARV-806, ARV-393, ARV-027 and vepdegestrant, advance our other oncology programs and neurodegenerative programs and other preclinical programs, including ARV-6723 and our pan-KRAS degrader program, continue research and development and initiate additional clinical trials of and potentially seek marketing approval for our lead programs and our other product candidates and decide to commercialize such products ourselves. In the third quarter of 2025, we announced that we and Pfizer have agreed to jointly select a third party for the commercialization and potential future development of vepdegestrant. However, if we decide to commercialize any other product candidates ourselves, and obtain marketing approval for any of these product candidates, we expect to incur significant commercialization expenses related to product manufacturing, marketing, sales and distribution. We continue to incur significant costs associated with operating as a public company. Accordingly, we will need to obtain substantial additional funding in connection with our continuing operations. If we are unable to raise capital when needed or on acceptable terms or not at all,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43"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We had cash, cash equivalents and marketable securities of approximately $685.4 million as of December 31, 2025. Based on our current operating plan, we believe that our cash, cash equivalents and marketable securities as of December 31, 2025 will enable us to fund our planned operating expenses and capital expenditure requirements into the second half of 2028. We have based this estimate on assumptions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that may prove to be wrong, and we could use our capital resources sooner than we currently expect. Our future capital requirements will depend on many factors, including:</w:t>
      </w:r>
    </w:p>
    <w:p>
      <w:pPr>
        <w:spacing w:after="0" w:line="94" w:lineRule="exact"/>
        <w:rPr>
          <w:sz w:val="20"/>
          <w:szCs w:val="20"/>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progress, scope, costs and results of our ongoing and planned clinical trials of ARV-102, ARV-806, ARV-393, ARV-027 and vepdegestrant;</w:t>
      </w:r>
    </w:p>
    <w:p>
      <w:pPr>
        <w:spacing w:after="0" w:line="93"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progress, scope, costs and results of preclinical and clinical development for our other product candidates and development programs, including ARV-6723 and our pan-KRAS degrader program;</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 of, and development requirements for, other product candidates that we pursue, including our other oncology and neurology research programs;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success of our collaborations, including with Pfizer and Genentech;</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w:t>
      </w:r>
    </w:p>
    <w:p>
      <w:pPr>
        <w:spacing w:after="0" w:line="93"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product manufacturing, marketing, sales and distribution, for any of our product candidates for which we receive marketing approval and which we choose to commercialize ourselves;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93" w:lineRule="exact"/>
        <w:rPr>
          <w:rFonts w:ascii="Arial" w:cs="Arial" w:eastAsia="Arial" w:hAnsi="Arial"/>
          <w:sz w:val="14"/>
          <w:szCs w:val="14"/>
          <w:color w:val="auto"/>
        </w:rPr>
      </w:pPr>
    </w:p>
    <w:p>
      <w:pPr>
        <w:ind w:left="760" w:right="320" w:hanging="246"/>
        <w:spacing w:after="0" w:line="290"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and enforcing our intellectual property rights and defending any intellectual property-related claims; and</w:t>
      </w:r>
    </w:p>
    <w:p>
      <w:pPr>
        <w:spacing w:after="0" w:line="35" w:lineRule="exact"/>
        <w:rPr>
          <w:rFonts w:ascii="Arial" w:cs="Arial" w:eastAsia="Arial" w:hAnsi="Arial"/>
          <w:sz w:val="14"/>
          <w:szCs w:val="14"/>
          <w:color w:val="auto"/>
        </w:rPr>
      </w:pPr>
    </w:p>
    <w:p>
      <w:pPr>
        <w:ind w:left="760" w:right="260" w:hanging="246"/>
        <w:spacing w:after="0" w:line="290"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spacing w:after="0" w:line="12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92"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4"/>
          <w:szCs w:val="14"/>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Pfizer and Genentech and our out-license of luxdegalutamide to Novartis, we do not currently have any committed external source of funds.</w:t>
      </w:r>
    </w:p>
    <w:p>
      <w:pPr>
        <w:spacing w:after="0" w:line="13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equity financing, if available, may involve agreements that include covenants limiting or restricting our ability to take specific actions, such as incurring additional debt, making acquisitions or capital expenditures or declaring dividends.</w:t>
      </w:r>
    </w:p>
    <w:p>
      <w:pPr>
        <w:spacing w:after="0" w:line="138" w:lineRule="exact"/>
        <w:rPr>
          <w:sz w:val="20"/>
          <w:szCs w:val="20"/>
          <w:color w:val="auto"/>
        </w:rPr>
      </w:pPr>
    </w:p>
    <w:p>
      <w:pPr>
        <w:ind w:right="360" w:firstLine="509"/>
        <w:spacing w:after="0" w:line="290"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acceptable or favorable to us.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our stockholders to evaluate the success of our business to date and to assess our future viability.</w:t>
      </w:r>
    </w:p>
    <w:p>
      <w:pPr>
        <w:spacing w:after="0" w:line="92"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undertaking preclinical studies, establishing arrangements with third parties for the manufacture of initial quantities of our product candidates, conducting Phase 1, Phase 2 and Phase 3 clinical trials for our product candidates, and preparing for commercialization. However, we have not yet demonstrated our ability to successfully complete any clinical trials, obtain marketing approvals, manufacture a commercial scale product, or arrange for a third party to do so on our behalf, or conduct sales, marketing and distribution activities necessary for successful product commercialization, or arrange for a third party to do so on our behalf. Consequently, any predictions stockholders make about our future success or viability may not be as accurate as they could be if we had a longer operating history.</w:t>
      </w:r>
    </w:p>
    <w:p>
      <w:pPr>
        <w:spacing w:after="0" w:line="142"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In addition, as a business with limited operating experience and no history of revenue-generating commercial activity, we may encounter unforeseen expenses, difficulties, complications, delays and other known and unknown factors. If we choose to commercialize any of our approved products ourselves, we will need to transition at some point from a company with a research and development focus to a company capable of supporting commercial activities.</w:t>
      </w:r>
    </w:p>
    <w:p>
      <w:pPr>
        <w:spacing w:after="0" w:line="134"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We expect our financial condition and operating results to continue to fluctuate significantly from quarter to quarter and year to year due to a variety of factors, many of which are beyond our control. Accordingly, stockholders should not rely upon the results of any quarterly or annual periods as indications of future operating performance.</w:t>
      </w:r>
    </w:p>
    <w:p>
      <w:pPr>
        <w:spacing w:after="0" w:line="122"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cost savings plan and the associated workforce reductions implemented in April 2025 and September 2025 may not result in anticipated savings, could result in total costs and expenses that are greater than expected and could disrupt our business.</w:t>
      </w:r>
    </w:p>
    <w:p>
      <w:pPr>
        <w:spacing w:after="0" w:line="106"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In April 2025, we committed to and approved a reduction in our workforce by approximately 33% across all areas of our company, as part of our decision to streamline operations across the organization and enable the efficient progression of our portfolio. In addition, in September 2025, we announced further reductions to our workforce by an additional 15% to streamline operations, with the most significant reductions being roles related to vepdegestrant commercialization. We may not realize, in full or in part, the anticipated benefits, savings and improvements in our cost structure from our cost savings plan and associated workforce reductions due to unforeseen difficulties, delays or unexpected costs. If we are unable to realize the expected operational efficiencies and cost savings from our cost savings plan and associated workforce reductions, our operating results and financial condition would be adversely affected. We also cannot guarantee that we will not have to undertake additional workforce reductions or restructuring activities in the future. Furthermore, our cost savings plan may be disruptive to our operations, including conducting clinical trials and potentially commercializing our product candidates, including vepdegestrant, which could affect our ability to generate product revenue. In addition, our reductions in workforce could yield unanticipated consequences, such as attrition beyond planned staff reductions, or disruptions in our day-to-day operations. Our workforce reductions could also harm our ability to attract and retain qualified management, scientific, clinical, manufacturing and sales and marketing personnel who are critical to our business. Any failure to attract or retain qualified personnel could prevent us from successfully developing and commercializing, if approved, our product candidates, including ARV-102, ARV-806, ARV-393, ARV-027 and vepdegestrant, in the future.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or in their implementation or interpretation may adversely affect our business and financial condition.</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sales, use or other tax laws, statutes, rules, or regulations could be enacted or amended at any</w:t>
      </w:r>
    </w:p>
    <w:p>
      <w:pPr>
        <w:spacing w:after="0" w:line="23"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time, which could affect our business or financial condition, including causing potentially adverse impacts to our effective tax rate, tax liabilities, and cash tax obligations. For example, the Inflation Reduction Act, or IRA, was signed into law in August 2022, and the One Big Beautiful Bill Act, or OBBB Act, was signed into law in July 2025. The IRA introduced new tax provisions, including a 1% excise tax imposed on certain stock repurchases by publicly traded corporations. The 1% excise tax generally applies to any acquisition by the publicly traded corporation (or certain of its affiliates) of stock of the publicly traded corporation in exchange for money or other property (other than stock of the corporation itself), subject to certain exceptions. Thus, the excise tax could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70" w:name="page71"/>
    <w:bookmarkEnd w:id="70"/>
    <w:p>
      <w:pPr>
        <w:ind w:right="40"/>
        <w:spacing w:after="0" w:line="251" w:lineRule="auto"/>
        <w:rPr>
          <w:sz w:val="20"/>
          <w:szCs w:val="20"/>
          <w:color w:val="auto"/>
        </w:rPr>
      </w:pPr>
      <w:r>
        <w:rPr>
          <w:rFonts w:ascii="Arial" w:cs="Arial" w:eastAsia="Arial" w:hAnsi="Arial"/>
          <w:sz w:val="14"/>
          <w:szCs w:val="14"/>
          <w:color w:val="auto"/>
        </w:rPr>
        <w:t>apply to certain transactions that are not traditional stock repurchases. The OBBB Act is not expected to have a material impact on our business or financial condition, however, this could change in the future and we will continue to assess the impact of the OBBB Act on subsequent periods. The recent changes under the OBBB Act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 Act, and other tax-related legislation is and continues to be forthcoming, and such guidance could ultimately increase or lessen the impact of these laws on our business and financial condition. In addition, it is uncertain if and to what extent various states will conform to the IRA, the OBBB Act and additional tax legislation.</w:t>
      </w:r>
    </w:p>
    <w:p>
      <w:pPr>
        <w:spacing w:after="0" w:line="223"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In the future, we might not be able to utilize a significant portion of any net operating loss carryforwards and research and development tax credit carryforwards we may have.</w:t>
      </w:r>
    </w:p>
    <w:p>
      <w:pPr>
        <w:spacing w:after="0" w:line="21"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As of December 31, 2025, we had $533.6 million of federal net operating loss carryforwards, $563.2 million of state and local net operating loss carryforwards, $44.7 million federal tax credit carryforwards and $22.3 million of state tax credit carryforwards. To the extent they expire unused, these net operating loss and tax credit carryforwards arising after 2017 will not be available to offset our future income tax liabilities. Federal net operating loss carryforwards may be carried forward indefinitely, but the deductibility of such carryforwards is limited to 80% of our taxable income in the year in which carryforwards are used.</w:t>
      </w:r>
    </w:p>
    <w:p>
      <w:pPr>
        <w:spacing w:after="0" w:line="13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addition, under Sections 382 and 383 of the Code, and corresponding provisions of state law, if a corporation undergoes an “ownership change,” which is generally defined as a greater than 50% change, by value, in its equity ownership by certain stockholders over a three-year period, the corporation’s ability to use its pre-change net operating loss carryforwards and other pre-change tax attributes to offset its post-change income may be limited. We may experience ownership changes in the future as a result of subsequent changes in our stock ownership, some of which may be outside of our control. If we determine that an ownership change has occurred and our ability to use our historical net operating loss and research and development tax credit carryforwards is materially limited, it would harm our future operating results by effectively increasing our future tax obligations.</w:t>
      </w:r>
    </w:p>
    <w:p>
      <w:pPr>
        <w:spacing w:after="0" w:line="142"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There is also a risk that due to regulatory changes, such as suspensions on the use of net operating losses, or other unforeseen reasons, our existing and any future net operating losses could expire or otherwise become unavailable to offset future income tax liabilities.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223"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Risks Related to the Discovery and Development of Our Product Candidates</w:t>
      </w:r>
    </w:p>
    <w:p>
      <w:pPr>
        <w:spacing w:after="0" w:line="265"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2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PROTAC technology platform is still a relatively new technology. Our future success depends on the successful development of this novel therapeutic approach. Prior to the initiation of our Phase 1 clinical trial for bavdegalutamide in 2019, no product candidates that use a chimeric small molecule approach to protein degradation, such as our PROTAC targeted protein degraders, had been tested in humans. No product candidates of this type have been approved in the United States or Europe, and the data underlying the feasibility of developing chimeric small molecule-based therapeutic products is both preliminary and limited. We have not yet succeeded and may not succeed in obtaining marketing approvals of our product candidates. There may be adverse effects from treatment with any of our current or future product candidates that we cannot predict at this time.</w:t>
      </w:r>
    </w:p>
    <w:p>
      <w:pPr>
        <w:spacing w:after="0" w:line="140"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As a result of these factors, it is more difficult for us to predict the time and cost of product candidate development, and we cannot predict whether the application of our PROTAC Discovery Engine, or any similar or competitive protein degradation platforms, will result in the development, and marketing approval of any products. Any development problems we experience in the future related to our PROTAC Discovery Engine or any of our research programs may cause significant delays or unanticipated costs or may prevent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1" w:name="page72"/>
    <w:bookmarkEnd w:id="71"/>
    <w:p>
      <w:pPr>
        <w:ind w:right="80"/>
        <w:spacing w:after="0" w:line="290" w:lineRule="auto"/>
        <w:rPr>
          <w:sz w:val="20"/>
          <w:szCs w:val="20"/>
          <w:color w:val="auto"/>
        </w:rPr>
      </w:pPr>
      <w:r>
        <w:rPr>
          <w:rFonts w:ascii="Arial" w:cs="Arial" w:eastAsia="Arial" w:hAnsi="Arial"/>
          <w:sz w:val="14"/>
          <w:szCs w:val="14"/>
          <w:color w:val="auto"/>
        </w:rPr>
        <w:t>development of a commercially viable product. Any of these factors may prevent us from completing our current or future preclinical studies or clinical trials or from commercializing any product candidates we may develop on a timely or profitable basis, if at all.</w:t>
      </w:r>
    </w:p>
    <w:p>
      <w:pPr>
        <w:spacing w:after="0" w:line="207" w:lineRule="exact"/>
        <w:rPr>
          <w:sz w:val="20"/>
          <w:szCs w:val="20"/>
          <w:color w:val="auto"/>
        </w:rPr>
      </w:pPr>
    </w:p>
    <w:p>
      <w:pPr>
        <w:ind w:right="500"/>
        <w:spacing w:after="0" w:line="299" w:lineRule="auto"/>
        <w:rPr>
          <w:sz w:val="20"/>
          <w:szCs w:val="20"/>
          <w:color w:val="auto"/>
        </w:rPr>
      </w:pPr>
      <w:r>
        <w:rPr>
          <w:rFonts w:ascii="Arial" w:cs="Arial" w:eastAsia="Arial" w:hAnsi="Arial"/>
          <w:sz w:val="14"/>
          <w:szCs w:val="14"/>
          <w:b w:val="1"/>
          <w:bCs w:val="1"/>
          <w:i w:val="1"/>
          <w:iCs w:val="1"/>
          <w:color w:val="auto"/>
        </w:rPr>
        <w:t>We do not have any product candidates that have been approved for commercialization. If we are unable to commercialize our product candidates or experience significant delays in doing so, our business will be materially harmed.</w:t>
      </w:r>
    </w:p>
    <w:p>
      <w:pPr>
        <w:spacing w:after="0" w:line="21"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All of our product candidates are in clinical or preclinical development. We are developing ARV-102, an investigational PROTAC designed to degrade the LRRK2 protein, ARV-806, designed to degrade the KRAS G12D, ARV-393, designed to degrade the BCL6 protein, ARV-027, designed to degrade the poly-Q AR protein, and vepdegestrant, designed to degrade the ER protein. In the second quarter of 2025, we and Pfizer submitted an NDA to the FDA for vepdegestrant for the treatment of patients with ER+/HER2-ESR1-mutated advanced or metastatic breast cancer previously treated with endocrine-based therapy. In the third quarter of 2025, we announced that the FDA accepted the NDA for vepdegestrant and assigned a PDUFA date of June 5, 2026. We also announced in the third quarter of 2025, that we and Pfizer have agreed to jointly select a third party for the commercialization and potential future development of vepdegestrant.</w:t>
      </w:r>
    </w:p>
    <w:p>
      <w:pPr>
        <w:spacing w:after="0" w:line="57" w:lineRule="exact"/>
        <w:rPr>
          <w:sz w:val="20"/>
          <w:szCs w:val="20"/>
          <w:color w:val="auto"/>
        </w:rPr>
      </w:pPr>
    </w:p>
    <w:p>
      <w:pPr>
        <w:ind w:right="400" w:firstLine="509"/>
        <w:spacing w:after="0" w:line="290" w:lineRule="auto"/>
        <w:rPr>
          <w:sz w:val="20"/>
          <w:szCs w:val="20"/>
          <w:color w:val="auto"/>
        </w:rPr>
      </w:pPr>
      <w:r>
        <w:rPr>
          <w:rFonts w:ascii="Arial" w:cs="Arial" w:eastAsia="Arial" w:hAnsi="Arial"/>
          <w:sz w:val="14"/>
          <w:szCs w:val="14"/>
          <w:color w:val="auto"/>
        </w:rPr>
        <w:t>Our ability to generate revenue from product 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w:t>
      </w:r>
    </w:p>
    <w:p>
      <w:pPr>
        <w:spacing w:after="0" w:line="35" w:lineRule="exact"/>
        <w:rPr>
          <w:sz w:val="20"/>
          <w:szCs w:val="20"/>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successfully completing preclinical studies and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receipt and related terms of marketing approvals from applicable regulatory authorities;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for our product candidates;</w:t>
      </w:r>
    </w:p>
    <w:p>
      <w:pPr>
        <w:spacing w:after="0" w:line="93" w:lineRule="exact"/>
        <w:rPr>
          <w:rFonts w:ascii="Arial" w:cs="Arial" w:eastAsia="Arial" w:hAnsi="Arial"/>
          <w:sz w:val="14"/>
          <w:szCs w:val="14"/>
          <w:color w:val="auto"/>
        </w:rPr>
      </w:pPr>
    </w:p>
    <w:p>
      <w:pPr>
        <w:ind w:left="760" w:right="120" w:hanging="246"/>
        <w:spacing w:after="0" w:line="290"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making or maintaining arrangements with third-party manufacturers, or establishing manufacturing capabilities, for both clinical and commercial supplies of our product candidates;</w:t>
      </w:r>
    </w:p>
    <w:p>
      <w:pPr>
        <w:spacing w:after="0" w:line="35" w:lineRule="exact"/>
        <w:rPr>
          <w:rFonts w:ascii="Arial" w:cs="Arial" w:eastAsia="Arial" w:hAnsi="Arial"/>
          <w:sz w:val="14"/>
          <w:szCs w:val="14"/>
          <w:color w:val="auto"/>
        </w:rPr>
      </w:pPr>
    </w:p>
    <w:p>
      <w:pPr>
        <w:ind w:left="760" w:right="240" w:hanging="246"/>
        <w:spacing w:after="0" w:line="290"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products we choose to commercialize ourselves, establishing sales, marketing, market access and distribution capabilities and launching commercial sales of our products, if and when approved, whether alone or in collaboration with others;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acceptance of our products, if and when approved, by patients, the medical community and third-party payors;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obtaining and maintaining third-party coverage and adequate reimbursement;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the products following approval;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effectively competing with other therapies.</w:t>
      </w:r>
    </w:p>
    <w:p>
      <w:pPr>
        <w:spacing w:after="0" w:line="179"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With respect to vepdegestrant, success will depend on our and Pfizer's ability to identify and successfully execute a commercialization arrangement with a third party and on the terms of any such deal.</w:t>
      </w:r>
    </w:p>
    <w:p>
      <w:pPr>
        <w:spacing w:after="0" w:line="120" w:lineRule="exact"/>
        <w:rPr>
          <w:sz w:val="20"/>
          <w:szCs w:val="20"/>
          <w:color w:val="auto"/>
        </w:rPr>
      </w:pPr>
    </w:p>
    <w:p>
      <w:pPr>
        <w:ind w:right="500" w:firstLine="509"/>
        <w:spacing w:after="0" w:line="290"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07"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b w:val="1"/>
          <w:bCs w:val="1"/>
          <w:i w:val="1"/>
          <w:iCs w:val="1"/>
          <w:color w:val="auto"/>
        </w:rPr>
        <w:t>Drug development involves a lengthy and expensive process, with an uncertain outcome. We may incur unexpected costs or experience delays in completing, or ultimately be unable to complete, the development and commercialization of our product candidates.</w:t>
      </w:r>
    </w:p>
    <w:p>
      <w:pPr>
        <w:spacing w:after="0" w:line="21"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We have product candidates in clinical development and preclinical development. The risk of failure for each of our product candidates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2" w:name="page73"/>
    <w:bookmarkEnd w:id="72"/>
    <w:p>
      <w:pPr>
        <w:ind w:right="40"/>
        <w:spacing w:after="0" w:line="271" w:lineRule="auto"/>
        <w:rPr>
          <w:sz w:val="20"/>
          <w:szCs w:val="20"/>
          <w:color w:val="auto"/>
        </w:rPr>
      </w:pPr>
      <w:r>
        <w:rPr>
          <w:rFonts w:ascii="Arial" w:cs="Arial" w:eastAsia="Arial" w:hAnsi="Arial"/>
          <w:sz w:val="14"/>
          <w:szCs w:val="14"/>
          <w:color w:val="auto"/>
        </w:rPr>
        <w:t>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will ultimately support the further development of our programs.</w:t>
      </w:r>
    </w:p>
    <w:p>
      <w:pPr>
        <w:spacing w:after="0" w:line="134"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Clinical testing is expensive, difficult to design and implement, can take many years to complete and is uncertain as to the outcome. A failure of one or more clinical trials can occur at any stage of testing. We may experience numerous unforeseen events during, or as a result of, clinical trials that could delay or prevent our ability to receive marketing approval or commercialize our product candidates, including:</w:t>
      </w:r>
    </w:p>
    <w:p>
      <w:pPr>
        <w:spacing w:after="0" w:line="49"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regulators or IRBs may not authorize us or our investigators to commence a clinical trial or conduct a clinical trial at a prospective trial site;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clinical trial contracts or clinical trial protocols with prospective trial sites;</w:t>
      </w:r>
    </w:p>
    <w:p>
      <w:pPr>
        <w:spacing w:after="0" w:line="93" w:lineRule="exact"/>
        <w:rPr>
          <w:rFonts w:ascii="Arial" w:cs="Arial" w:eastAsia="Arial" w:hAnsi="Arial"/>
          <w:sz w:val="14"/>
          <w:szCs w:val="14"/>
          <w:color w:val="auto"/>
        </w:rPr>
      </w:pPr>
    </w:p>
    <w:p>
      <w:pPr>
        <w:ind w:left="760" w:right="24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clinical trials of our product candidates may produce negative or inconclusive results, and we may decide, or regulators may require us, to conduct additional clinical trials or abandon product development programs;</w:t>
      </w:r>
    </w:p>
    <w:p>
      <w:pPr>
        <w:spacing w:after="0" w:line="35" w:lineRule="exact"/>
        <w:rPr>
          <w:rFonts w:ascii="Arial" w:cs="Arial" w:eastAsia="Arial" w:hAnsi="Arial"/>
          <w:sz w:val="14"/>
          <w:szCs w:val="14"/>
          <w:color w:val="auto"/>
        </w:rPr>
      </w:pPr>
    </w:p>
    <w:p>
      <w:pPr>
        <w:ind w:left="760" w:right="22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w:t>
      </w:r>
    </w:p>
    <w:p>
      <w:pPr>
        <w:spacing w:after="0" w:line="93" w:lineRule="exact"/>
        <w:rPr>
          <w:rFonts w:ascii="Arial" w:cs="Arial" w:eastAsia="Arial" w:hAnsi="Arial"/>
          <w:sz w:val="14"/>
          <w:szCs w:val="14"/>
          <w:color w:val="auto"/>
        </w:rPr>
      </w:pPr>
    </w:p>
    <w:p>
      <w:pPr>
        <w:ind w:left="760" w:right="60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have to suspend or terminate clinical trials of our product candidates for various reasons, including a finding that the participants are being exposed to unacceptable health risks;</w:t>
      </w:r>
    </w:p>
    <w:p>
      <w:pPr>
        <w:spacing w:after="0" w:line="35" w:lineRule="exact"/>
        <w:rPr>
          <w:rFonts w:ascii="Arial" w:cs="Arial" w:eastAsia="Arial" w:hAnsi="Arial"/>
          <w:sz w:val="14"/>
          <w:szCs w:val="14"/>
          <w:color w:val="auto"/>
        </w:rPr>
      </w:pPr>
    </w:p>
    <w:p>
      <w:pPr>
        <w:ind w:left="760" w:right="16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regulators or institutional review boards may require that we or our investigators suspend or terminate clinical trials for various reasons, including noncompliance with regulatory requirements;</w:t>
      </w:r>
    </w:p>
    <w:p>
      <w:pPr>
        <w:spacing w:after="0" w:line="35" w:lineRule="exact"/>
        <w:rPr>
          <w:rFonts w:ascii="Arial" w:cs="Arial" w:eastAsia="Arial" w:hAnsi="Arial"/>
          <w:sz w:val="14"/>
          <w:szCs w:val="14"/>
          <w:color w:val="auto"/>
        </w:rPr>
      </w:pPr>
    </w:p>
    <w:p>
      <w:pPr>
        <w:ind w:left="760" w:right="52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product candidates may have undesirable side effects or other unexpected characteristics, causing us or our investigators, regulators or IRBs to suspend or terminate the trials;</w:t>
      </w:r>
    </w:p>
    <w:p>
      <w:pPr>
        <w:spacing w:after="0" w:line="35" w:lineRule="exact"/>
        <w:rPr>
          <w:rFonts w:ascii="Arial" w:cs="Arial" w:eastAsia="Arial" w:hAnsi="Arial"/>
          <w:sz w:val="14"/>
          <w:szCs w:val="14"/>
          <w:color w:val="auto"/>
        </w:rPr>
      </w:pPr>
    </w:p>
    <w:p>
      <w:pPr>
        <w:ind w:left="760" w:right="36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timing of completion of our clinical trials;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may be greater than we anticipate and could be exacerbated by macroeconomic conditions such as inflation; and</w:t>
      </w:r>
    </w:p>
    <w:p>
      <w:pPr>
        <w:spacing w:after="0" w:line="93"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 or their cost could increase dramatically making them financially infeasible.</w:t>
      </w:r>
    </w:p>
    <w:p>
      <w:pPr>
        <w:spacing w:after="0" w:line="12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49" w:lineRule="exact"/>
        <w:rPr>
          <w:sz w:val="20"/>
          <w:szCs w:val="20"/>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or safety warnings;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73" w:name="page74"/>
    <w:bookmarkEnd w:id="73"/>
    <w:p>
      <w:pPr>
        <w:ind w:right="40" w:firstLine="509"/>
        <w:spacing w:after="0" w:line="265" w:lineRule="auto"/>
        <w:rPr>
          <w:sz w:val="20"/>
          <w:szCs w:val="20"/>
          <w:color w:val="auto"/>
        </w:rPr>
      </w:pPr>
      <w:r>
        <w:rPr>
          <w:rFonts w:ascii="Arial" w:cs="Arial" w:eastAsia="Arial" w:hAnsi="Arial"/>
          <w:sz w:val="14"/>
          <w:szCs w:val="14"/>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3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Further, cancer therapies are sometimes characterized as first-line, second-line, or third-line, and the FDA often approves new therapies initially only for third-line use. When cancer is detected early enough, first-line therapy, usually hormone therapy, surgery, radiation therapy or a combination of these, is sometimes adequate to cure the cancer or prolong life without a cure. Second- and third-line therapies are administered to patients when prior therapy is not effective. Our current clinical trials for ARV-393 and ARV-806 are in both first- and second-line settings.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152" w:lineRule="exact"/>
        <w:rPr>
          <w:sz w:val="20"/>
          <w:szCs w:val="20"/>
          <w:color w:val="auto"/>
        </w:rPr>
      </w:pPr>
    </w:p>
    <w:p>
      <w:pPr>
        <w:ind w:right="20" w:firstLine="509"/>
        <w:spacing w:after="0"/>
        <w:rPr>
          <w:sz w:val="20"/>
          <w:szCs w:val="20"/>
          <w:color w:val="auto"/>
        </w:rPr>
      </w:pPr>
      <w:r>
        <w:rPr>
          <w:rFonts w:ascii="Arial" w:cs="Arial" w:eastAsia="Arial" w:hAnsi="Arial"/>
          <w:sz w:val="14"/>
          <w:szCs w:val="14"/>
          <w:color w:val="auto"/>
        </w:rPr>
        <w:t>Further, we do not know whether clinical trials will begin as planned, will need to be restructured or will be completed on schedule, or at all. In addition, 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response to an Executive Order issued by the President on January 21, 2025, on Diversity, Equity and Inclusion programs, the FDA removed this draft guidance from its website; however, they have since been restored with a note that they could in the future be modified or removed. In light of these ongoing actions, there is considerable uncertainty. This</w:t>
      </w:r>
    </w:p>
    <w:p>
      <w:pPr>
        <w:spacing w:after="0"/>
        <w:rPr>
          <w:sz w:val="20"/>
          <w:szCs w:val="20"/>
          <w:color w:val="auto"/>
        </w:rPr>
      </w:pPr>
      <w:r>
        <w:rPr>
          <w:rFonts w:ascii="Arial" w:cs="Arial" w:eastAsia="Arial" w:hAnsi="Arial"/>
          <w:sz w:val="14"/>
          <w:szCs w:val="14"/>
          <w:color w:val="auto"/>
        </w:rPr>
        <w:t>action raises questions about the applicability of statutory obligations to submit DAPs and the agency’s current thinking on best practices for clinical development.</w:t>
      </w:r>
    </w:p>
    <w:p>
      <w:pPr>
        <w:spacing w:after="0" w:line="165" w:lineRule="exact"/>
        <w:rPr>
          <w:sz w:val="20"/>
          <w:szCs w:val="20"/>
          <w:color w:val="auto"/>
        </w:rPr>
      </w:pPr>
    </w:p>
    <w:p>
      <w:pPr>
        <w:ind w:right="80" w:firstLine="347"/>
        <w:spacing w:after="0" w:line="265" w:lineRule="auto"/>
        <w:rPr>
          <w:sz w:val="20"/>
          <w:szCs w:val="20"/>
          <w:color w:val="auto"/>
        </w:rPr>
      </w:pPr>
      <w:r>
        <w:rPr>
          <w:rFonts w:ascii="Arial" w:cs="Arial" w:eastAsia="Arial" w:hAnsi="Arial"/>
          <w:sz w:val="14"/>
          <w:szCs w:val="14"/>
          <w:color w:val="auto"/>
        </w:rPr>
        <w:t>Similarly, the regulatory landscape related to clinical trials in the EU evolved. The CTR, which was adopted in April 2014 and repeals the EU Clinical Trials Directive, became applicable on January 31, 2022. While the Clinical Trials Directive required a separate clinical trial application to be submitted in each member state, to both the competent national health authority and an independent ethics committee, the CTR introduces a centralized process and only requires the submission of a single application to all member states concerned. If we are not able to fulfill these new requirements, our ability to conduct clinical trials may be delayed or halted.</w:t>
      </w:r>
    </w:p>
    <w:p>
      <w:pPr>
        <w:spacing w:after="0" w:line="138"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Any of these events could prevent us or our collaborators from achieving or maintaining market acceptance of the affected product candidate, if approved, or could substantially increase costs and expenses of development or commercialization, which could delay or prevent us from generating sufficient revenue from the sale of our products and harm our business and results of operations. Significant clinical trial delays also could shorten any periods during which we may have the exclusive right to commercialize our products, allow our competitors to bring products to market before we do or impair our ability to successfully commercialize our products, which would harm our business and results of operations. In addition, many of the factors that cause, or lead to, clinical trial delays may ultimately lead to the denial of regulatory approval of our product candidates.</w:t>
      </w:r>
    </w:p>
    <w:p>
      <w:pPr>
        <w:spacing w:after="0" w:line="227"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If SAEs, undesirable side effects, or unexpected characteristics are identified during the development of any product candidates we may develop, we may need to abandon or limit our further clinical development of those product candidates.</w:t>
      </w:r>
    </w:p>
    <w:p>
      <w:pPr>
        <w:spacing w:after="0" w:line="21" w:lineRule="exact"/>
        <w:rPr>
          <w:sz w:val="20"/>
          <w:szCs w:val="20"/>
          <w:color w:val="auto"/>
        </w:rPr>
      </w:pPr>
    </w:p>
    <w:p>
      <w:pPr>
        <w:ind w:right="300" w:firstLine="509"/>
        <w:spacing w:after="0" w:line="265" w:lineRule="auto"/>
        <w:rPr>
          <w:sz w:val="20"/>
          <w:szCs w:val="20"/>
          <w:color w:val="auto"/>
        </w:rPr>
      </w:pPr>
      <w:r>
        <w:rPr>
          <w:rFonts w:ascii="Arial" w:cs="Arial" w:eastAsia="Arial" w:hAnsi="Arial"/>
          <w:sz w:val="14"/>
          <w:szCs w:val="14"/>
          <w:color w:val="auto"/>
        </w:rPr>
        <w:t>If any product candidates we develop are associated with SAEs, or undesirable side effects, or have characteristics that are unexpected, we may need to abandon their development or limit development to certain uses or subpopulations in which the AEs,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4" w:name="page75"/>
    <w:bookmarkEnd w:id="74"/>
    <w:p>
      <w:pPr>
        <w:ind w:right="60"/>
        <w:spacing w:after="0" w:line="271" w:lineRule="auto"/>
        <w:rPr>
          <w:sz w:val="20"/>
          <w:szCs w:val="20"/>
          <w:color w:val="auto"/>
        </w:rPr>
      </w:pPr>
      <w:r>
        <w:rPr>
          <w:rFonts w:ascii="Arial" w:cs="Arial" w:eastAsia="Arial" w:hAnsi="Arial"/>
          <w:sz w:val="14"/>
          <w:szCs w:val="14"/>
          <w:color w:val="auto"/>
        </w:rPr>
        <w:t>initially showed promise in early-stage testing for treating cancer or other diseases have later been found to cause side effects that prevented further clinical development of the product candidates or limited their competitiveness in the market. It is impossible to predict when or if any product candidates we may develop will prove safe in humans. There can be no assurance that our PROTAC technology will not cause undesirable side effects.</w:t>
      </w:r>
    </w:p>
    <w:p>
      <w:pPr>
        <w:spacing w:after="0" w:line="134"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PROTAC technology in any of our ongoing, planned or future clinical studies. There is also the potential risk of delayed AEs following treatment using our PROTAC technology.</w:t>
      </w:r>
    </w:p>
    <w:p>
      <w:pPr>
        <w:spacing w:after="0" w:line="225" w:lineRule="exact"/>
        <w:rPr>
          <w:sz w:val="20"/>
          <w:szCs w:val="20"/>
          <w:color w:val="auto"/>
        </w:rPr>
      </w:pPr>
    </w:p>
    <w:p>
      <w:pPr>
        <w:jc w:val="both"/>
        <w:ind w:right="340"/>
        <w:spacing w:after="0" w:line="276" w:lineRule="auto"/>
        <w:rPr>
          <w:sz w:val="20"/>
          <w:szCs w:val="20"/>
          <w:color w:val="auto"/>
        </w:rPr>
      </w:pPr>
      <w:r>
        <w:rPr>
          <w:rFonts w:ascii="Arial" w:cs="Arial" w:eastAsia="Arial" w:hAnsi="Arial"/>
          <w:sz w:val="14"/>
          <w:szCs w:val="14"/>
          <w:b w:val="1"/>
          <w:bCs w:val="1"/>
          <w:i w:val="1"/>
          <w:iCs w:val="1"/>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37"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The results of preclinical studies may not be predictive of the results of clinical trials, and the results of early-stage clinical trials may not be predictive of the results of the later-stage clinical trials. In addition, initial success in clinical trials may not be indicative of results obtained when such trials are completed. In particular, the small number of patients in our ongoing early clinical trials may make the results of these trials less predictive of the outcome of later clinical trials. For example, even if successful, the results of the ongoing and planned clinical trials of ARV-102, ARV-806, ARV-393, ARV-027 and vepdegestrant, may not be predictive of the results of any future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current or future preclinical studies and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200" w:lineRule="exact"/>
        <w:rPr>
          <w:sz w:val="20"/>
          <w:szCs w:val="20"/>
          <w:color w:val="auto"/>
        </w:rPr>
      </w:pPr>
    </w:p>
    <w:p>
      <w:pPr>
        <w:spacing w:after="0" w:line="203"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1"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From time to time, we have published and may in the future publish interim top-line or preliminary data from our clinical trials. Interim data from clinical trials are subject to the risk that one or more of the clinical outcomes may materially change as patient enrollment continues and more patient data become available. For example, the initial safety, tolerability, PK and efficacy data that we have disclosed in connection with our ongoing clinical trials of ARV-102, ARV-806, ARV-393, and vepdegestrant may not be indicative of the full results of those trials obtained upon completion.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marketing approvals could be delayed or prevented.</w:t>
      </w:r>
    </w:p>
    <w:p>
      <w:pPr>
        <w:spacing w:after="0" w:line="92"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conducting and planning several clinical trials of ARV-102, ARV-806, ARV-393, ARV-027 and vepdegestrant. We cannot predict how difficult it will be to enroll patients for trials in these indications. Therefore, our ability to identify and enroll eligible patients for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5" w:name="page76"/>
    <w:bookmarkEnd w:id="75"/>
    <w:p>
      <w:pPr>
        <w:spacing w:after="0" w:line="271" w:lineRule="auto"/>
        <w:rPr>
          <w:sz w:val="20"/>
          <w:szCs w:val="20"/>
          <w:color w:val="auto"/>
        </w:rPr>
      </w:pPr>
      <w:r>
        <w:rPr>
          <w:rFonts w:ascii="Arial" w:cs="Arial" w:eastAsia="Arial" w:hAnsi="Arial"/>
          <w:sz w:val="14"/>
          <w:szCs w:val="14"/>
          <w:color w:val="auto"/>
        </w:rPr>
        <w:t>our clinical trials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49" w:lineRule="exact"/>
        <w:rPr>
          <w:sz w:val="20"/>
          <w:szCs w:val="20"/>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prevalence and severity of the disease under investigation;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eligibility criteria for the trial in question;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requirements of the trial protocols;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perceived risks and benefits of the product candidates under study;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efforts to facilitate timely enrollment in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availability of competing therapies;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patient referral practices of physicians;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burden on patients due to inconvenient procedures;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to monitor patients adequately during and after treatment;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proximity and availability of clinical trial sites for prospective patients.</w:t>
      </w:r>
    </w:p>
    <w:p>
      <w:pPr>
        <w:spacing w:after="0" w:line="17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For example, in April 2020, we announced that, as a result of the COVID-19 pandemic, two trial sites for our ongoing Phase 1/2 clinical trial of bavdegalutamide had publicly announced pauses in patient enrollment for clinical trials, including our trials. In addition, one trial site for our ongoing Phase 1/2 clinical trial of vepdegestrant had a pause in patient enrollment for clinical trials, including our trial. We also experienced a short delay in the enrollment for one cohort of one of our vepdegestrant trials as a result of screening slowdowns attributable to COVID-19. In addition, we may engage in conversations with regulators regarding clinical trial protocols, which could result in delays to our anticipated timing to enroll patients in our studies.</w:t>
      </w:r>
    </w:p>
    <w:p>
      <w:pPr>
        <w:spacing w:after="0" w:line="140"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221" w:lineRule="exact"/>
        <w:rPr>
          <w:sz w:val="20"/>
          <w:szCs w:val="20"/>
          <w:color w:val="auto"/>
        </w:rPr>
      </w:pPr>
    </w:p>
    <w:p>
      <w:pPr>
        <w:ind w:right="340"/>
        <w:spacing w:after="0" w:line="299"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0" w:lineRule="exact"/>
        <w:rPr>
          <w:sz w:val="20"/>
          <w:szCs w:val="20"/>
          <w:color w:val="auto"/>
        </w:rPr>
      </w:pPr>
    </w:p>
    <w:p>
      <w:pPr>
        <w:ind w:right="80" w:firstLine="509"/>
        <w:spacing w:after="0" w:line="246" w:lineRule="auto"/>
        <w:rPr>
          <w:sz w:val="20"/>
          <w:szCs w:val="20"/>
          <w:color w:val="auto"/>
        </w:rPr>
      </w:pPr>
      <w:r>
        <w:rPr>
          <w:rFonts w:ascii="Arial" w:cs="Arial" w:eastAsia="Arial" w:hAnsi="Arial"/>
          <w:sz w:val="14"/>
          <w:szCs w:val="14"/>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In addition, our resource allocation decisions may cause us to fail to capitalize on viable commercial products or profitable market opportunities. For example, in September 2025, we announced that, with Pfizer, we have agreed to jointly select a third party for the commercialization and potential further development of vepdegestrant instead of commercializing ourselves. Furthermore, our April 2025 and September 2025 workforce reductions may cause us to reprioritize our portfolio and evaluate future strategic decisions.</w:t>
      </w:r>
    </w:p>
    <w:p>
      <w:pPr>
        <w:spacing w:after="0" w:line="66"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marketing or other royalty arrangements or similar transactions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6" w:name="page77"/>
    <w:bookmarkEnd w:id="76"/>
    <w:p>
      <w:pPr>
        <w:jc w:val="both"/>
        <w:ind w:right="160"/>
        <w:spacing w:after="0" w:line="276" w:lineRule="auto"/>
        <w:rPr>
          <w:sz w:val="20"/>
          <w:szCs w:val="20"/>
          <w:color w:val="auto"/>
        </w:rPr>
      </w:pPr>
      <w:r>
        <w:rPr>
          <w:rFonts w:ascii="Arial" w:cs="Arial" w:eastAsia="Arial" w:hAnsi="Arial"/>
          <w:sz w:val="14"/>
          <w:szCs w:val="14"/>
          <w:b w:val="1"/>
          <w:bCs w:val="1"/>
          <w:i w:val="1"/>
          <w:iCs w:val="1"/>
          <w:color w:val="auto"/>
        </w:rPr>
        <w:t>We are developing and plan to continue to develop our product candidates in combination with other drugs. If the FDA or similar regulatory authorities outside of the United States do not approve these other drugs, or revoke their approval of such drugs, or if safety, efficacy, manufacturing or supply issues arise with the drugs we choose to evaluate in combination with our product candidates, we may be unable to obtain approval of or market our products.</w:t>
      </w:r>
    </w:p>
    <w:p>
      <w:pPr>
        <w:spacing w:after="0" w:line="37" w:lineRule="exact"/>
        <w:rPr>
          <w:sz w:val="20"/>
          <w:szCs w:val="20"/>
          <w:color w:val="auto"/>
        </w:rPr>
      </w:pPr>
    </w:p>
    <w:p>
      <w:pPr>
        <w:ind w:right="80" w:firstLine="509"/>
        <w:spacing w:after="0" w:line="259" w:lineRule="auto"/>
        <w:rPr>
          <w:sz w:val="20"/>
          <w:szCs w:val="20"/>
          <w:color w:val="auto"/>
        </w:rPr>
      </w:pPr>
      <w:r>
        <w:rPr>
          <w:rFonts w:ascii="Arial" w:cs="Arial" w:eastAsia="Arial" w:hAnsi="Arial"/>
          <w:sz w:val="14"/>
          <w:szCs w:val="14"/>
          <w:color w:val="auto"/>
        </w:rPr>
        <w:t>We are currently conducting clinical trials of ARV-102, ARV-393, ARV-806, ARV-027 and vepdegestrant and intend to conduct other clinical trials for each of these and potentially other product candidates. We may conduct clinical trials in combination with other therapies, and have conducted combination clinical trials of vepdegestrant and preclinical combination studies of ARV-393. We are planning to initiate enrollment of a combination cohort of ARV-393 with glofitamab in patients with DLBCL in the ongoing Phase 1 clinical trial in the first half of 2026. We did not develop or obtain marketing approval for, nor do we manufacture or sell, any of the currently approved drugs or therapies that we are or may study in combination with our product candidates. If the FDA or similar regulatory authorities outside of the United States revoke their approval of the drug or drugs in combination with which we determine to develop with our product candidates, including ARV-102, ARV-806, ARV-393, ARV-027 or vepdegestrant, we will not be able to market our product candidates, including ARV-102, ARV-806, ARV-393, ARV-027 or vepdegestrant, in combination with such revoked drugs.</w:t>
      </w:r>
    </w:p>
    <w:p>
      <w:pPr>
        <w:spacing w:after="0" w:line="14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If safety or efficacy issues arise with any of these drugs, we could experience significant regulatory delays, and the FDA or similar regulatory authorities outside of the United States may require us to redesign or terminate the applicable clinical trials. If the drugs we use are replaced as the SOC for the indications we choose for ARV-393, ARV-102, ARV-806 or vepdegestrant, the FDA or similar regulatory authorities outside of the United States may require us to conduct additional clinical trials. In addition, if manufacturing or other issues result in a shortage of supply of the drugs with which we determine to combine with ARV-102, ARV-806, ARV-393, ARV-027 or vepdegestrant, we may not be able to complete clinical development of ARV-102, ARV-806, ARV-393, ARV-027 or vepdegestrant on our current timeline or at all.</w:t>
      </w:r>
    </w:p>
    <w:p>
      <w:pPr>
        <w:spacing w:after="0" w:line="140"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Even if any of our product candidates, including ARV-102, ARV-806, ARV-393, ARV-027 or vepdegestrant,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our product candidates, including ARV-102, ARV-806, ARV-393, ARV-027 or vepdegestrant, or that safety, efficacy, manufacturing or supply issues could arise with these existing drugs. Combination therapies are commonly used for the treatment of cancer, and we would be subject to similar risks if we develop any of our other product candidates for use in combination with other drugs or for indications other than cancer. This could result in our own products being removed from the market or being less successful commercially.</w:t>
      </w:r>
    </w:p>
    <w:p>
      <w:pPr>
        <w:spacing w:after="0" w:line="229"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We have conducted, and may in the future conduct, clinical trials for product candidates at sites outside the United States, and the FDA may not accept data from trials conducted in such locations.</w:t>
      </w:r>
    </w:p>
    <w:p>
      <w:pPr>
        <w:spacing w:after="0" w:line="127"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We have conducted, and may in the future choose to conduct, one or more of our clinical trials outside the United States. To date, we have conducted clinical trials in the United States and Spain, Germany, France, Georgia, the United Kingdom, the Netherlands, Canada and Denmark. Although the FDA may accept data from clinical trials conducted outside the United States, acceptance of these data is subject to conditions imposed by the FDA.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52" w:lineRule="exact"/>
        <w:rPr>
          <w:sz w:val="20"/>
          <w:szCs w:val="20"/>
          <w:color w:val="auto"/>
        </w:rPr>
      </w:pPr>
    </w:p>
    <w:p>
      <w:pPr>
        <w:ind w:right="20" w:firstLine="509"/>
        <w:spacing w:after="0" w:line="246" w:lineRule="auto"/>
        <w:rPr>
          <w:sz w:val="20"/>
          <w:szCs w:val="20"/>
          <w:color w:val="auto"/>
        </w:rPr>
      </w:pPr>
      <w:r>
        <w:rPr>
          <w:rFonts w:ascii="Arial" w:cs="Arial" w:eastAsia="Arial" w:hAnsi="Arial"/>
          <w:sz w:val="14"/>
          <w:szCs w:val="14"/>
          <w:color w:val="auto"/>
        </w:rPr>
        <w:t>In addition, even where the foreign trial data are not intended to serve as the sole basis for approval, the FDA will not accept the data as support for an application for marketing approval unless the trial satisfies certain conditions.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77" w:name="page78"/>
    <w:bookmarkEnd w:id="77"/>
    <w:p>
      <w:pPr>
        <w:ind w:right="20"/>
        <w:spacing w:after="0" w:line="255" w:lineRule="auto"/>
        <w:rPr>
          <w:sz w:val="20"/>
          <w:szCs w:val="20"/>
          <w:color w:val="auto"/>
        </w:rPr>
      </w:pPr>
      <w:r>
        <w:rPr>
          <w:rFonts w:ascii="Arial" w:cs="Arial" w:eastAsia="Arial" w:hAnsi="Arial"/>
          <w:sz w:val="14"/>
          <w:szCs w:val="14"/>
          <w:color w:val="auto"/>
        </w:rPr>
        <w:t>applicable U.S. laws and regulations. If the FDA does not accept the data from any trial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Other risks inherent in conducting international clinical trials or using international trial sites include:</w:t>
      </w:r>
    </w:p>
    <w:p>
      <w:pPr>
        <w:spacing w:after="0" w:line="94" w:lineRule="exact"/>
        <w:rPr>
          <w:sz w:val="20"/>
          <w:szCs w:val="20"/>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foreign regulatory requirements, differences in healthcare services, and differences in cultural customs that could restrict or limit our ability to conduct our clinical trials;</w:t>
      </w:r>
    </w:p>
    <w:p>
      <w:pPr>
        <w:spacing w:after="0" w:line="93" w:lineRule="exact"/>
        <w:rPr>
          <w:rFonts w:ascii="Arial" w:cs="Arial" w:eastAsia="Arial" w:hAnsi="Arial"/>
          <w:sz w:val="14"/>
          <w:szCs w:val="14"/>
          <w:color w:val="auto"/>
        </w:rPr>
      </w:pPr>
    </w:p>
    <w:p>
      <w:pPr>
        <w:ind w:left="760" w:right="280" w:hanging="246"/>
        <w:spacing w:after="0" w:line="290"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administrative burden of complying with a variety of foreign laws, medical standards and regulatory requirements, including the regulation of pharmaceutical and biotechnology products and treatment;</w:t>
      </w:r>
    </w:p>
    <w:p>
      <w:pPr>
        <w:spacing w:after="0" w:line="35"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failure of enrolled patients to adhere to clinical protocols or inadequate collection and assessment of clinical data as a result of differences in healthcare services or cultural customs;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foreign exchange fluctuations;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diminished or loss of protection of intellectual property in the relevant jurisdiction;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political, economic, environmental, and health risks relevant to specific foreign countries, including risks related to natural disasters or disease outbreaks.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potential product candidates.</w:t>
      </w:r>
    </w:p>
    <w:p>
      <w:pPr>
        <w:spacing w:after="0" w:line="92"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A key element of our strategy is to apply our PROTAC Discovery Engine to address a broad array of targets and new therapeutic areas.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49" w:lineRule="exact"/>
        <w:rPr>
          <w:sz w:val="20"/>
          <w:szCs w:val="20"/>
          <w:color w:val="auto"/>
        </w:rPr>
      </w:pPr>
    </w:p>
    <w:p>
      <w:pPr>
        <w:ind w:left="760" w:right="80" w:hanging="246"/>
        <w:spacing w:after="0" w:line="290" w:lineRule="auto"/>
        <w:tabs>
          <w:tab w:leader="none" w:pos="756" w:val="left"/>
        </w:tabs>
        <w:numPr>
          <w:ilvl w:val="0"/>
          <w:numId w:val="50"/>
        </w:numPr>
        <w:rPr>
          <w:rFonts w:ascii="Arial" w:cs="Arial" w:eastAsia="Arial" w:hAnsi="Arial"/>
          <w:sz w:val="14"/>
          <w:szCs w:val="14"/>
          <w:color w:val="auto"/>
        </w:rPr>
      </w:pPr>
      <w:r>
        <w:rPr>
          <w:rFonts w:ascii="Arial" w:cs="Arial" w:eastAsia="Arial" w:hAnsi="Arial"/>
          <w:sz w:val="14"/>
          <w:szCs w:val="14"/>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potential product candidates may not be effective in treating their targeted diseases.</w:t>
      </w:r>
    </w:p>
    <w:p>
      <w:pPr>
        <w:spacing w:after="0" w:line="179"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92"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gene editing or gene therapy development platforms and from companies focused on more traditional therapeutic modalities, such as SMIs. The competition is likely to come from multiple sources, including major pharmaceutical, specialty pharmaceutical and biotechnology companies, academic institutions, government agencies and public and private research institutions.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specific information regarding competition to our product candidates, see “Item 1. Business—Competition” in this Annual Report on Form 10-K.</w:t>
      </w:r>
    </w:p>
    <w:p>
      <w:pPr>
        <w:spacing w:after="0" w:line="17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4"/>
          <w:szCs w:val="14"/>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78" w:name="page79"/>
    <w:bookmarkEnd w:id="78"/>
    <w:p>
      <w:pPr>
        <w:spacing w:after="0" w:line="256" w:lineRule="auto"/>
        <w:rPr>
          <w:sz w:val="20"/>
          <w:szCs w:val="20"/>
          <w:color w:val="auto"/>
        </w:rPr>
      </w:pPr>
      <w:r>
        <w:rPr>
          <w:rFonts w:ascii="Arial" w:cs="Arial" w:eastAsia="Arial" w:hAnsi="Arial"/>
          <w:sz w:val="14"/>
          <w:szCs w:val="14"/>
          <w:color w:val="auto"/>
        </w:rPr>
        <w:t>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33"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Risks Related to Dependence on Third Parties</w:t>
      </w:r>
    </w:p>
    <w:p>
      <w:pPr>
        <w:spacing w:after="0" w:line="265" w:lineRule="exact"/>
        <w:rPr>
          <w:sz w:val="20"/>
          <w:szCs w:val="20"/>
          <w:color w:val="auto"/>
        </w:rPr>
      </w:pPr>
    </w:p>
    <w:p>
      <w:pPr>
        <w:jc w:val="both"/>
        <w:ind w:right="560"/>
        <w:spacing w:after="0" w:line="276" w:lineRule="auto"/>
        <w:rPr>
          <w:sz w:val="20"/>
          <w:szCs w:val="20"/>
          <w:color w:val="auto"/>
        </w:rPr>
      </w:pPr>
      <w:r>
        <w:rPr>
          <w:rFonts w:ascii="Arial" w:cs="Arial" w:eastAsia="Arial" w:hAnsi="Arial"/>
          <w:sz w:val="14"/>
          <w:szCs w:val="14"/>
          <w:b w:val="1"/>
          <w:bCs w:val="1"/>
          <w:i w:val="1"/>
          <w:iCs w:val="1"/>
          <w:color w:val="auto"/>
        </w:rPr>
        <w:t>We have an ongoing collaboration with Pfizer related to vepdegestrant, but have announced that we and Pfizer have agreed to jointly select a third party for the commercialization and potential future development of vepdegestrant. If our collaboration with Pfizer or another party is not successful, we may not be able to capitalize on the market potential of vepdegestrant.</w:t>
      </w:r>
    </w:p>
    <w:p>
      <w:pPr>
        <w:spacing w:after="0" w:line="3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July 2021, we entered into a collaboration agreement with Pfizer, or the Vepdegestrant (ARV-471) Collaboration Agreement, pursuant to which we granted Pfizer worldwide co-exclusive rights to develop and commercialize products containing our proprietary compound vepdegestrant, or the Licensed Products. Although pursuant to the terms of the Vepdegestrant (ARV-471) Collaboration Agreement, we and Pfizer share equally (50/50) all development costs, including costs for conducting clinical trials, for the Licensed Products, subject to certain exceptions, our control over the amount and timing of resources that Pfizer dedicates to the development or commercialization of the Licensed Products is limited, including with respect to oversight and management of CMOs, CDMOs and CROs. Our ability to generate revenues from the Vepdegestrant (ARV-471) Collaboration Agreement will depend, in part, on Pfizer’s ability to successfully perform the functions assigned to it in such agreement.</w:t>
      </w:r>
    </w:p>
    <w:p>
      <w:pPr>
        <w:spacing w:after="0" w:line="57"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While our agreement with Pfizer is ongoing, and we, along with Pfizer, continue market preparations for vepdegestrant in advance of the June 5, 2026 PDUFA date, in the third quarter of 2025, we announced that we and Pfizer have agreed to jointly select a third party for the commercialization and potential future development of vepdegestrant.</w:t>
      </w:r>
    </w:p>
    <w:p>
      <w:pPr>
        <w:spacing w:after="0" w:line="131" w:lineRule="exact"/>
        <w:rPr>
          <w:sz w:val="20"/>
          <w:szCs w:val="20"/>
          <w:color w:val="auto"/>
        </w:rPr>
      </w:pPr>
    </w:p>
    <w:p>
      <w:pPr>
        <w:ind w:right="80" w:firstLine="509"/>
        <w:spacing w:after="0" w:line="243" w:lineRule="auto"/>
        <w:rPr>
          <w:sz w:val="20"/>
          <w:szCs w:val="20"/>
          <w:color w:val="auto"/>
        </w:rPr>
      </w:pPr>
      <w:r>
        <w:rPr>
          <w:rFonts w:ascii="Arial" w:cs="Arial" w:eastAsia="Arial" w:hAnsi="Arial"/>
          <w:sz w:val="14"/>
          <w:szCs w:val="14"/>
          <w:color w:val="auto"/>
        </w:rPr>
        <w:t>We cannot predict the success of our collaboration with Pfizer, or any efforts by Pfizer and us to engage a third party for commercialization of vepdegestrant. We cannot guarantee that our collaboration with Pfizer or the engagement of a third party commercialization partner, if we and Pfizer are successful in doing so, will lead to development or commercialization of the Licensed Products in the most efficient manner or at all. We have yet to determine how any potential transaction with a third party commercialization partner will impact us under the existing terms of the Vepdegestrant (ARV-471) Collaboration Agreement. Further, we cannot predict the potential terms of any third party arrangement with respect to the commercialization of vepdegestrant. In addition, Pfizer has a right to terminate the Vepdegestrant (ARV-471) Collaboration Agreement for convenience, subject to certain notice periods. As a result of any of the above, we may not receive any of the $1.4 billion in contingent payments based on specified regulatory and sales-based milestones for the Licensed Products under the Vepdegestrant (ARV-471) Collaboration Agreement.</w:t>
      </w:r>
    </w:p>
    <w:p>
      <w:pPr>
        <w:spacing w:after="0" w:line="230" w:lineRule="exact"/>
        <w:rPr>
          <w:sz w:val="20"/>
          <w:szCs w:val="20"/>
          <w:color w:val="auto"/>
        </w:rPr>
      </w:pPr>
    </w:p>
    <w:p>
      <w:pPr>
        <w:ind w:right="80" w:firstLine="509"/>
        <w:spacing w:after="0" w:line="276" w:lineRule="auto"/>
        <w:rPr>
          <w:sz w:val="20"/>
          <w:szCs w:val="20"/>
          <w:color w:val="auto"/>
        </w:rPr>
      </w:pPr>
      <w:r>
        <w:rPr>
          <w:rFonts w:ascii="Arial" w:cs="Arial" w:eastAsia="Arial" w:hAnsi="Arial"/>
          <w:sz w:val="14"/>
          <w:szCs w:val="14"/>
          <w:b w:val="1"/>
          <w:bCs w:val="1"/>
          <w:i w:val="1"/>
          <w:iCs w:val="1"/>
          <w:color w:val="auto"/>
        </w:rPr>
        <w:t>We currently depend, and expect to continue to depend, on collaborations, license arrangements, and other strategic alliances with third parties for the research, development, and the potential future commercialization of certain of the product candidates we may develop. If any such collaborations are not successful, we may not be able to capitalize on the market potential of those product candidates.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79" w:name="page80"/>
    <w:bookmarkEnd w:id="79"/>
    <w:p>
      <w:pPr>
        <w:ind w:right="80" w:firstLine="509"/>
        <w:spacing w:after="0" w:line="262" w:lineRule="auto"/>
        <w:rPr>
          <w:sz w:val="20"/>
          <w:szCs w:val="20"/>
          <w:color w:val="auto"/>
        </w:rPr>
      </w:pPr>
      <w:r>
        <w:rPr>
          <w:rFonts w:ascii="Arial" w:cs="Arial" w:eastAsia="Arial" w:hAnsi="Arial"/>
          <w:sz w:val="14"/>
          <w:szCs w:val="14"/>
          <w:color w:val="auto"/>
        </w:rPr>
        <w:t>We currently have, and anticipate in the future seeking additional, third-party collaborators for the research, development, and potential future commercialization of some of our PROTAC programs. For example, in September 2015 we entered into a research collaboration with Genentech, which we amended and restated in November 2017; in December 2017 we entered into a research collaboration with Pfizer; in July 2021 we entered into a development and commercialization collaboration with Pfizer; and in April 2024 we entered into an out-license agreement with Novartis. In addition, in the third quarter of 2025, we announced that we and Pfizer have agreed to jointly select a third party for the commercialization and potential future development of vepdegestrant.</w:t>
      </w:r>
    </w:p>
    <w:p>
      <w:pPr>
        <w:spacing w:after="0" w:line="55" w:lineRule="exact"/>
        <w:rPr>
          <w:sz w:val="20"/>
          <w:szCs w:val="20"/>
          <w:color w:val="auto"/>
        </w:rPr>
      </w:pPr>
    </w:p>
    <w:p>
      <w:pPr>
        <w:ind w:right="80" w:firstLine="509"/>
        <w:spacing w:after="0" w:line="258" w:lineRule="auto"/>
        <w:rPr>
          <w:sz w:val="20"/>
          <w:szCs w:val="20"/>
          <w:color w:val="auto"/>
        </w:rPr>
      </w:pPr>
      <w:r>
        <w:rPr>
          <w:rFonts w:ascii="Arial" w:cs="Arial" w:eastAsia="Arial" w:hAnsi="Arial"/>
          <w:sz w:val="14"/>
          <w:szCs w:val="14"/>
          <w:color w:val="auto"/>
        </w:rPr>
        <w:t>Our likely collaborators for any other collaboration arrangements include large and mid-size pharmaceutical companies and biotechnology companies. Any such arrangements with third parties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are unable to predict when, if ever, we will enter into any additional strategic collaborations because of the numerous risks and uncertainties associated with establishing them, and we cannot predict the success of any collaboration that we enter into. We may enter into strategic collaborations that we subsequently no longer wish to pursue, and we may not be able to negotiate strategic collaborations on acceptable terms, or at all. At the current time, we cannot predict what form any future strategic collaboration might take, and we are likely to face significant competition in seeking appropriate strategic collaborators, and strategic collaborations can be complicated and time consuming to negotiate and document.</w:t>
      </w:r>
    </w:p>
    <w:p>
      <w:pPr>
        <w:spacing w:after="0" w:line="143"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Any collaborations involving our research programs or any product candidates we may develop, including our current collaborations with Pfizer and Genentech and out-license to Novartis pose the following risks to us:</w:t>
      </w:r>
    </w:p>
    <w:p>
      <w:pPr>
        <w:spacing w:after="0" w:line="35" w:lineRule="exact"/>
        <w:rPr>
          <w:sz w:val="20"/>
          <w:szCs w:val="20"/>
          <w:color w:val="auto"/>
        </w:rPr>
      </w:pPr>
    </w:p>
    <w:p>
      <w:pPr>
        <w:ind w:left="760" w:hanging="246"/>
        <w:spacing w:after="0" w:line="262"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and licensees have significant discretion in determining the efforts and resources that they will apply to these collaborations or licenses. For example, our research collaboration with Pfizer are managed by a joint research committee composed of an equal number of representatives from us and our respective collaborative partners, with the collaborative partner having final decision-making authority. In addition, following our out-license of luxdegalutamide (ARV-766) to Novartis, Novartis is responsible for worldwide clinical development and commercialization of ARV-766 and therefore has full decision-making authority with respect to the luxdegalutamide (ARV-766) program.</w:t>
      </w:r>
    </w:p>
    <w:p>
      <w:pPr>
        <w:spacing w:after="0" w:line="54" w:lineRule="exact"/>
        <w:rPr>
          <w:rFonts w:ascii="Arial" w:cs="Arial" w:eastAsia="Arial" w:hAnsi="Arial"/>
          <w:sz w:val="14"/>
          <w:szCs w:val="14"/>
          <w:color w:val="auto"/>
        </w:rPr>
      </w:pPr>
    </w:p>
    <w:p>
      <w:pPr>
        <w:ind w:left="760" w:right="300" w:hanging="246"/>
        <w:spacing w:after="0" w:line="27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or licensees may not pursue development and commercialization of any product candidates we may develop or may elect not to continue or renew development or commercialization programs based on clinical trial results, changes in the collaborator’s or licensee's strategic focus or available funding or external factors such as an acquisition or business combination that diverts resources or creates competing priorities.</w:t>
      </w:r>
    </w:p>
    <w:p>
      <w:pPr>
        <w:spacing w:after="0" w:line="48" w:lineRule="exact"/>
        <w:rPr>
          <w:rFonts w:ascii="Arial" w:cs="Arial" w:eastAsia="Arial" w:hAnsi="Arial"/>
          <w:sz w:val="14"/>
          <w:szCs w:val="14"/>
          <w:color w:val="auto"/>
        </w:rPr>
      </w:pPr>
    </w:p>
    <w:p>
      <w:pPr>
        <w:ind w:left="760" w:right="120" w:hanging="246"/>
        <w:spacing w:after="0" w:line="290"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have broad rights to select any target for protein degradation development on an exclusive basis, even as to us, so long as not excluded by us under the terms of each collaboration and may select targets we are considering but have not taken sufficient action to exclude under the collaboration.</w:t>
      </w:r>
    </w:p>
    <w:p>
      <w:pPr>
        <w:spacing w:after="0" w:line="35" w:lineRule="exact"/>
        <w:rPr>
          <w:rFonts w:ascii="Arial" w:cs="Arial" w:eastAsia="Arial" w:hAnsi="Arial"/>
          <w:sz w:val="14"/>
          <w:szCs w:val="14"/>
          <w:color w:val="auto"/>
        </w:rPr>
      </w:pPr>
    </w:p>
    <w:p>
      <w:pPr>
        <w:ind w:left="760" w:right="40" w:hanging="246"/>
        <w:spacing w:after="0" w:line="290"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and licensees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4"/>
          <w:szCs w:val="14"/>
          <w:color w:val="auto"/>
        </w:rPr>
      </w:pPr>
    </w:p>
    <w:p>
      <w:pPr>
        <w:ind w:left="760" w:right="400" w:hanging="246"/>
        <w:spacing w:after="0" w:line="27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and licensees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8" w:lineRule="exact"/>
        <w:rPr>
          <w:rFonts w:ascii="Arial" w:cs="Arial" w:eastAsia="Arial" w:hAnsi="Arial"/>
          <w:sz w:val="14"/>
          <w:szCs w:val="14"/>
          <w:color w:val="auto"/>
        </w:rPr>
      </w:pPr>
    </w:p>
    <w:p>
      <w:pPr>
        <w:ind w:left="760" w:right="280" w:hanging="246"/>
        <w:spacing w:after="0" w:line="290"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with marketing and distribution rights to one or more products may not commit sufficient resources to the marketing and distribution of such product or products.</w:t>
      </w:r>
    </w:p>
    <w:p>
      <w:pPr>
        <w:spacing w:after="0" w:line="35" w:lineRule="exact"/>
        <w:rPr>
          <w:rFonts w:ascii="Arial" w:cs="Arial" w:eastAsia="Arial" w:hAnsi="Arial"/>
          <w:sz w:val="14"/>
          <w:szCs w:val="14"/>
          <w:color w:val="auto"/>
        </w:rPr>
      </w:pPr>
    </w:p>
    <w:p>
      <w:pPr>
        <w:ind w:left="760" w:right="60" w:hanging="246"/>
        <w:spacing w:after="0" w:line="290"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Collaborators and licensees may not properly obtain, maintain, enforce, or defend our intellectual property or proprietary rights or may use our proprietary information in such a way that could jeopardize or invalidate our proprietary information or expose us to potential litigation. For example,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0" w:name="page81"/>
    <w:bookmarkEnd w:id="80"/>
    <w:p>
      <w:pPr>
        <w:ind w:left="760" w:right="20"/>
        <w:spacing w:after="0" w:line="271" w:lineRule="auto"/>
        <w:rPr>
          <w:sz w:val="20"/>
          <w:szCs w:val="20"/>
          <w:color w:val="auto"/>
        </w:rPr>
      </w:pPr>
      <w:r>
        <w:rPr>
          <w:rFonts w:ascii="Arial" w:cs="Arial" w:eastAsia="Arial" w:hAnsi="Arial"/>
          <w:sz w:val="14"/>
          <w:szCs w:val="14"/>
          <w:color w:val="auto"/>
        </w:rPr>
        <w:t>Pfizer, Genentech and Novartis have the first right to enforce or defend certain intellectual property rights under the applicable collaboration arrangement or license agreement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49" w:lineRule="exact"/>
        <w:rPr>
          <w:sz w:val="20"/>
          <w:szCs w:val="20"/>
          <w:color w:val="auto"/>
        </w:rPr>
      </w:pPr>
    </w:p>
    <w:p>
      <w:pPr>
        <w:ind w:left="760" w:right="400" w:hanging="246"/>
        <w:spacing w:after="0" w:line="290"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Disputes may arise between the collaborators or licensees and us that result in the delay or termination of the research, development, or commercialization of our products or product candidates or that result in costly litigation or arbitration that diverts management attention and resources.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may lose certain valuable rights under circumstances identified in our collaborations and licenses, including if we undergo a change of control.</w:t>
      </w:r>
    </w:p>
    <w:p>
      <w:pPr>
        <w:spacing w:after="0" w:line="93" w:lineRule="exact"/>
        <w:rPr>
          <w:rFonts w:ascii="Arial" w:cs="Arial" w:eastAsia="Arial" w:hAnsi="Arial"/>
          <w:sz w:val="14"/>
          <w:szCs w:val="14"/>
          <w:color w:val="auto"/>
        </w:rPr>
      </w:pPr>
    </w:p>
    <w:p>
      <w:pPr>
        <w:ind w:left="760" w:right="120" w:hanging="246"/>
        <w:spacing w:after="0" w:line="262"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Collaborations and licenses may be terminated and, if terminated, may result in a need for additional capital to pursue further development or commercialization of the applicable product candidates. For example, each of Genentech and Pfizer can terminate its agreement with us in its entirety or with respect to a specific target for convenience subject to specified notice periods, in certain cases as short as 60 days, or in connection with a material breach of the agreement by us that remains uncured for a specified period of time. Novartis may terminate its agreement with us upon our material breach or for convenience or upon a safety or regulatory issue, subject to specified notice periods.</w:t>
      </w:r>
    </w:p>
    <w:p>
      <w:pPr>
        <w:spacing w:after="0" w:line="54" w:lineRule="exact"/>
        <w:rPr>
          <w:rFonts w:ascii="Arial" w:cs="Arial" w:eastAsia="Arial" w:hAnsi="Arial"/>
          <w:sz w:val="14"/>
          <w:szCs w:val="14"/>
          <w:color w:val="auto"/>
        </w:rPr>
      </w:pPr>
    </w:p>
    <w:p>
      <w:pPr>
        <w:ind w:left="760" w:right="20" w:hanging="246"/>
        <w:spacing w:after="0" w:line="27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Collaboration or license agreements may not lead to development or commercialization of product candidates in the most efficient manner or at all. If a present or future collaborator or licensee of ours were to be involved in a business combination, the continued pursuit and emphasis on our product development or commercialization program under such collaboration or license could be delayed, diminished, or terminated.</w:t>
      </w:r>
    </w:p>
    <w:p>
      <w:pPr>
        <w:spacing w:after="0" w:line="13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If our collaborations and licenses do not result in the successful development and commercialization of products, or if one of our collaborators or licensees terminates its agreement with us, we may not receive any future research funding or milestone or royalty payments under the collaboration or license, as appropriate. If we do not receive the funding we expect under these agreements, our development of product candidates could be delayed, and we may need additional resources to develop product candidates. In addition, if one of our collaborators or licensees terminates its agreement with us, we may find it more difficult to find a suitable replacement collaborator or licensee or attract new collaborators or licensees, and our development programs may be delayed or the perception of us in the business and financial communities could be adversely affected. All of the risks relating to product development, marketing approval, and commercialization described in this Annual Report on Form 10-K apply to the activities of our collaborators.</w:t>
      </w:r>
    </w:p>
    <w:p>
      <w:pPr>
        <w:spacing w:after="0" w:line="229"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We may seek to establish additional collaborations or out-license the development of our product candidates. If we are not able to establish collaborations or enter into these out-licenses on commercially reasonable terms, we may have to alter our business development plans or product development and commercialization plans.</w:t>
      </w:r>
    </w:p>
    <w:p>
      <w:pPr>
        <w:spacing w:after="0" w:line="117" w:lineRule="exact"/>
        <w:rPr>
          <w:sz w:val="20"/>
          <w:szCs w:val="20"/>
          <w:color w:val="auto"/>
        </w:rPr>
      </w:pPr>
    </w:p>
    <w:p>
      <w:pPr>
        <w:ind w:right="620" w:firstLine="509"/>
        <w:spacing w:after="0" w:line="247" w:lineRule="auto"/>
        <w:rPr>
          <w:sz w:val="20"/>
          <w:szCs w:val="20"/>
          <w:color w:val="auto"/>
        </w:rPr>
      </w:pPr>
      <w:r>
        <w:rPr>
          <w:rFonts w:ascii="Arial" w:cs="Arial" w:eastAsia="Arial" w:hAnsi="Arial"/>
          <w:sz w:val="14"/>
          <w:szCs w:val="14"/>
          <w:color w:val="auto"/>
        </w:rPr>
        <w:t>To realize the full potential of our PROTAC Discovery Engine and accelerate the development of our PROTAC programs, we plan to continue to selectively pursue collaborations with companies with particular experience, including development and commercial expertise and capabilities. For example,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in the third quarter of 2025, we announced that we and Pfizer have agreed to jointly seek a third party collaborator for the commercialization and potential future development of vepdegestrant. We face significant competition in attracting appropriate collaborators to advance the development of any product candidates for which we may seek a collaboration. We also may choose to out-license product candidates at any time. Whether we reach a definitive agreement for a collaboration or out-license will depend, among other things, upon our assessment of the potential collaborator’s or licensee's resources and expertise, the terms and conditions of the proposed collaboration or license, and the proposed</w:t>
      </w:r>
    </w:p>
    <w:p>
      <w:pPr>
        <w:spacing w:after="0" w:line="1"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collaborator’s or licensee's evaluation of a number of factors. Those factors may include the design or results of clinical trials, the likelihood of approval by the FDA or other regulatory authorities, the potential market for the subject product candidate, the costs and complexities of manufacturing and delivering such product candidate to patients, the</w:t>
      </w:r>
    </w:p>
    <w:p>
      <w:pPr>
        <w:ind w:right="60"/>
        <w:spacing w:after="0" w:line="253" w:lineRule="auto"/>
        <w:rPr>
          <w:sz w:val="20"/>
          <w:szCs w:val="20"/>
          <w:color w:val="auto"/>
        </w:rPr>
      </w:pPr>
      <w:r>
        <w:rPr>
          <w:rFonts w:ascii="Arial" w:cs="Arial" w:eastAsia="Arial" w:hAnsi="Arial"/>
          <w:sz w:val="14"/>
          <w:szCs w:val="14"/>
          <w:color w:val="auto"/>
        </w:rPr>
        <w:t>potential of competing products, the existence of uncertainty with respect to our ownership of technology, which can exist if there is a challenge to such ownership without regard to the merits of the challenge, the terms of any existing collaboration or license agreements, and industry and market conditions generally. The collaborator or licensee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1" w:name="page82"/>
    <w:bookmarkEnd w:id="81"/>
    <w:p>
      <w:pPr>
        <w:ind w:right="320"/>
        <w:spacing w:after="0" w:line="274" w:lineRule="auto"/>
        <w:rPr>
          <w:sz w:val="20"/>
          <w:szCs w:val="20"/>
          <w:color w:val="auto"/>
        </w:rPr>
      </w:pPr>
      <w:r>
        <w:rPr>
          <w:rFonts w:ascii="Arial" w:cs="Arial" w:eastAsia="Arial" w:hAnsi="Arial"/>
          <w:sz w:val="14"/>
          <w:szCs w:val="14"/>
          <w:color w:val="auto"/>
        </w:rPr>
        <w:t>may also have the opportunity to collaborate on other product candidates or technologies for similar indications and will have to evaluate whether such a collaboration could be more attractive than one with us.</w:t>
      </w:r>
    </w:p>
    <w:p>
      <w:pPr>
        <w:spacing w:after="0" w:line="131"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Collaborations and licenses are complex and time-consuming to negotiate, document and execute. In addition, consolidation among large pharmaceutical companies has reduced the number of potential future collaborators. Our existing collaboration and license agreements limit our ability to enter into future agreements on certain terms with potential collaborators. For example, we have granted exclusive rights to Genentech and Pfizer for the discovery, development and commercialization of PROTAC targeted protein degraders directed to certain protein targets, and during the terms of those agreements, we will be restricted from granting rights to other parties to use our PROTAC technology for those targets. In addition, we granted an exclusive worldwide license for the development, manufacture and commercialization of luxdegalutamide (ARV-766) to Novartis and during the term of the Novartis License Agreement, are restricted from granting rights to other parties related to luxdegalutamide (ARV-766). Any collaboration or license we enter into may limit our ability to enter into future agreements on particular terms or covering similar target indications with other potential collaborators or licensees.</w:t>
      </w:r>
    </w:p>
    <w:p>
      <w:pPr>
        <w:spacing w:after="0" w:line="142"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We may not be able to negotiate collaborations or licenses on a timely basis, on acceptable terms or at all, including the collaboration we are seeking to establish with a third party for the commercialization and potential future development of vepdegestrant. If we are unable to do so, we may have to curtail the development of the product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229"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rely and expect to continue to rely on third parties, including CROs, to conduct our clinical trials, and those third parties may not perform satisfactorily, including failing to meet deadlines for the completion of such trials.</w:t>
      </w:r>
    </w:p>
    <w:p>
      <w:pPr>
        <w:spacing w:after="0" w:line="21" w:lineRule="exact"/>
        <w:rPr>
          <w:sz w:val="20"/>
          <w:szCs w:val="20"/>
          <w:color w:val="auto"/>
        </w:rPr>
      </w:pPr>
    </w:p>
    <w:p>
      <w:pPr>
        <w:ind w:right="220" w:firstLine="509"/>
        <w:spacing w:after="0" w:line="265" w:lineRule="auto"/>
        <w:rPr>
          <w:sz w:val="20"/>
          <w:szCs w:val="20"/>
          <w:color w:val="auto"/>
        </w:rPr>
      </w:pPr>
      <w:r>
        <w:rPr>
          <w:rFonts w:ascii="Arial" w:cs="Arial" w:eastAsia="Arial" w:hAnsi="Arial"/>
          <w:sz w:val="14"/>
          <w:szCs w:val="14"/>
          <w:color w:val="auto"/>
        </w:rPr>
        <w:t>We currently rely and expect to continue to rely on third-party CROs and other third parties to conduct our ongoing and planned clinical trials. We currently do not plan to independently conduct any clinical trials of ARV-102 or ARV-806, ARV-393, ARV-027 as well as ARV-6723 and our pan-KRAS degrader program, and have not independently conducted any clinical trials of our product candidates, including vepdegestrant, to date. Agreements with these third parties might terminate for a variety of reasons, including a failure to perform by the third parties. If we need to enter into alternative arrangements, that would delay our product development activities.</w:t>
      </w:r>
    </w:p>
    <w:p>
      <w:pPr>
        <w:spacing w:after="0" w:line="138"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Our reliance on these third parties for research and development activities reduces our control over these activities but does not relieve us of our responsibilities. For example, we will remain responsible for ensuring that each of our clinical trials is conducted in accordance with the general investigational plan and protocols in the applicable IND. Moreover, the FDA requires compliance with GCPs for conducting, recording and reporting the results of clinical trials to assure that data and reported results are credible and accurate and that the rights, integrity and confidentiality of trial participants are protected.</w:t>
      </w:r>
    </w:p>
    <w:p>
      <w:pPr>
        <w:spacing w:after="0" w:line="138" w:lineRule="exact"/>
        <w:rPr>
          <w:sz w:val="20"/>
          <w:szCs w:val="20"/>
          <w:color w:val="auto"/>
        </w:rPr>
      </w:pPr>
    </w:p>
    <w:p>
      <w:pPr>
        <w:ind w:right="180" w:firstLine="509"/>
        <w:spacing w:after="0" w:line="265" w:lineRule="auto"/>
        <w:rPr>
          <w:sz w:val="20"/>
          <w:szCs w:val="20"/>
          <w:color w:val="auto"/>
        </w:rPr>
      </w:pPr>
      <w:r>
        <w:rPr>
          <w:rFonts w:ascii="Arial" w:cs="Arial" w:eastAsia="Arial" w:hAnsi="Arial"/>
          <w:sz w:val="14"/>
          <w:szCs w:val="14"/>
          <w:color w:val="auto"/>
        </w:rPr>
        <w:t>Furthermore, these third parties may have relationships with other entities, some of which may be our competitors. If these third parties do not successfully carry out their contractual duties (including those governing confidentiality and privacy),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25"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We rely on third-party CMOs or CDMOs for the manufacture and testing of both drug substance and finished drug product for our product candidates for preclinical testing and clinical trials and expect to continue to do so for commercialization. This reliance on third parties may increase the risk that we will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82" w:name="page83"/>
    <w:bookmarkEnd w:id="82"/>
    <w:p>
      <w:pPr>
        <w:ind w:right="520"/>
        <w:spacing w:after="0" w:line="299" w:lineRule="auto"/>
        <w:rPr>
          <w:sz w:val="20"/>
          <w:szCs w:val="20"/>
          <w:color w:val="auto"/>
        </w:rPr>
      </w:pPr>
      <w:r>
        <w:rPr>
          <w:rFonts w:ascii="Arial" w:cs="Arial" w:eastAsia="Arial" w:hAnsi="Arial"/>
          <w:sz w:val="14"/>
          <w:szCs w:val="14"/>
          <w:b w:val="1"/>
          <w:bCs w:val="1"/>
          <w:i w:val="1"/>
          <w:iCs w:val="1"/>
          <w:color w:val="auto"/>
        </w:rPr>
        <w:t>not have sufficient quantities of our product candidates or products or such quantities at an acceptable cost or quality, which could delay, prevent or impair our development or commercialization efforts.</w:t>
      </w:r>
    </w:p>
    <w:p>
      <w:pPr>
        <w:spacing w:after="0" w:line="21"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We do not own or operate, and currently have no plans to establish, any manufacturing facilities. We rely on and expect to continue to rely on third-party CMOs or CDMOs for both drug substance and finished drug product as well as the building blocks used to manufacture drug substance and the testing of the same.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138"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We may be unable to establish agreements with third-party manufacturers or to do so on acceptable terms. Even if we are able to establish agreements with third-party manufacturers, reliance on third-party manufacturers entails additional risks, including:</w:t>
      </w:r>
    </w:p>
    <w:p>
      <w:pPr>
        <w:spacing w:after="0" w:line="35" w:lineRule="exact"/>
        <w:rPr>
          <w:sz w:val="20"/>
          <w:szCs w:val="20"/>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reliance on the third party for regulatory, compliance and quality assurance;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possible breach of the manufacturing agreement by the third party;</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possible misappropriation of our proprietary information, including our trade secrets and know-how;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at a time that is costly or inconvenient for us.</w:t>
      </w:r>
    </w:p>
    <w:p>
      <w:pPr>
        <w:spacing w:after="0" w:line="179"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We have development and supply agreements in place with respect to our clinical product candidates, and these arrangements do not extend to commercial supply. We acquire many key materials on a purchase order basis. As a result, we do not have long term committed arrangements with respect to our product candidates and other materials. If we receive marketing approval for any of our product candidates, we will need to establish an agreement for commercial manufacture with a third party.</w:t>
      </w:r>
    </w:p>
    <w:p>
      <w:pPr>
        <w:spacing w:after="0" w:line="13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Third-party manufacturers may not be able to comply with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38"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Some of our manufacturers are based outside of the United States, including the manufacturers of the building blocks for our drug substances which are based in China and India. For example, as a result of the COVID-19 pandemic, in the first quarter of 2020, the production of certain building blocks for the drug substance used in the manufacture of vepdegestrant was delayed at one of our China-based manufacturers. While this production delay did not delay the overall clinical development of our product candidates, other delays in the manufacture of building blocks, drug substance or drug products for our product candidates could arise, which could have a material adverse effect on our clinical development.</w:t>
      </w:r>
    </w:p>
    <w:p>
      <w:pPr>
        <w:spacing w:after="0" w:line="140"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If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manufacturer or be unable to reach agreement with any alternative manufacturer.</w:t>
      </w:r>
    </w:p>
    <w:p>
      <w:pPr>
        <w:spacing w:after="0" w:line="134"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83" w:name="page84"/>
    <w:bookmarkEnd w:id="83"/>
    <w:p>
      <w:pPr>
        <w:jc w:val="both"/>
        <w:ind w:right="80"/>
        <w:spacing w:after="0" w:line="268" w:lineRule="auto"/>
        <w:rPr>
          <w:sz w:val="20"/>
          <w:szCs w:val="20"/>
          <w:color w:val="auto"/>
        </w:rPr>
      </w:pPr>
      <w:r>
        <w:rPr>
          <w:rFonts w:ascii="Arial" w:cs="Arial" w:eastAsia="Arial" w:hAnsi="Arial"/>
          <w:sz w:val="14"/>
          <w:szCs w:val="14"/>
          <w:b w:val="1"/>
          <w:bCs w:val="1"/>
          <w:i w:val="1"/>
          <w:iCs w:val="1"/>
          <w:color w:val="auto"/>
        </w:rPr>
        <w:t>Disruptions at the FDA and other government agencies from funding cuts, personnel losses, regulatory reform, government shutdowns, leadership changes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127"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4"/>
          <w:szCs w:val="14"/>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159" w:lineRule="exact"/>
        <w:rPr>
          <w:sz w:val="20"/>
          <w:szCs w:val="20"/>
          <w:color w:val="auto"/>
        </w:rPr>
      </w:pPr>
    </w:p>
    <w:p>
      <w:pPr>
        <w:ind w:right="40" w:firstLine="347"/>
        <w:spacing w:after="0" w:line="247" w:lineRule="auto"/>
        <w:rPr>
          <w:sz w:val="20"/>
          <w:szCs w:val="20"/>
          <w:color w:val="auto"/>
        </w:rPr>
      </w:pPr>
      <w:r>
        <w:rPr>
          <w:rFonts w:ascii="Arial" w:cs="Arial" w:eastAsia="Arial" w:hAnsi="Arial"/>
          <w:sz w:val="14"/>
          <w:szCs w:val="14"/>
          <w:color w:val="auto"/>
        </w:rPr>
        <w:t>For example, the recent loss, replacement and retirement of FDA leadership and personnel could lead to disruptions and delays in FDA guidance, or review and approval of our product candidates. Pursuant to an executive order, on March 27, 2025, the Secretary of HHS announced a reorganization and an approximately 24% reduction in force at HHS</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and an approximately 18% reduction in force at the FDA. Subsequently, the FDA indicated that roughly a quarter of those employees who received reduction in force notices had been reinstated. On July 14, 2025, following litigation reaching the U.S. Supreme Court, the administration began to carry out these layoffs across HHS, including the FDA. There</w:t>
      </w:r>
    </w:p>
    <w:p>
      <w:pPr>
        <w:ind w:right="120"/>
        <w:spacing w:after="0" w:line="253" w:lineRule="auto"/>
        <w:rPr>
          <w:sz w:val="20"/>
          <w:szCs w:val="20"/>
          <w:color w:val="auto"/>
        </w:rPr>
      </w:pPr>
      <w:r>
        <w:rPr>
          <w:rFonts w:ascii="Arial" w:cs="Arial" w:eastAsia="Arial" w:hAnsi="Arial"/>
          <w:sz w:val="14"/>
          <w:szCs w:val="14"/>
          <w:color w:val="auto"/>
        </w:rPr>
        <w:t>are also ongoing deliberations within the administration and Congress over potentially substantial proposed cuts to the overall budget for HHS and funding of the FDA for the 2026 federal fiscal year.</w:t>
      </w:r>
    </w:p>
    <w:p>
      <w:pPr>
        <w:spacing w:after="0" w:line="156" w:lineRule="exact"/>
        <w:rPr>
          <w:sz w:val="20"/>
          <w:szCs w:val="20"/>
          <w:color w:val="auto"/>
        </w:rPr>
      </w:pPr>
    </w:p>
    <w:p>
      <w:pPr>
        <w:ind w:right="60" w:firstLine="347"/>
        <w:spacing w:after="0" w:line="242" w:lineRule="auto"/>
        <w:rPr>
          <w:sz w:val="20"/>
          <w:szCs w:val="20"/>
          <w:color w:val="auto"/>
        </w:rPr>
      </w:pPr>
      <w:r>
        <w:rPr>
          <w:rFonts w:ascii="Arial" w:cs="Arial" w:eastAsia="Arial" w:hAnsi="Arial"/>
          <w:sz w:val="14"/>
          <w:szCs w:val="14"/>
          <w:color w:val="auto"/>
        </w:rPr>
        <w:t>Further, while the FDA’s review of marketing applications and other activities for new drugs and biologics is largely funded through the user fee program established under the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There have been several reports in which the FDA failed to meet a PDUFA goal date for approval of an NDA, or Biologics License Application due to heavy workload and limited resources. In addition, while currently unclear, there is a risk that the reduction in force and budget cutbacks could threaten the integrity of the PDUFA program itself. That is because, for the FDA to obligate user fees to be collected under PDUFA in the first place, a certain amount of non-user fee appropriations must be spent on the process for the review of applications plus certain other costs during the same fiscal year.</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also substantial uncertainty as to how regulatory reform measures and leadership changes being implemented by the current administration across the government</w:t>
      </w:r>
    </w:p>
    <w:p>
      <w:pPr>
        <w:spacing w:after="0" w:line="12"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 and in particular at the HHS and FDA — will impact the FDA and other federal agencies with jurisdiction over our activities. For example, since taking office in January 2025, the President has issued a number of executive orders that could have a significant impact on the manner in which the FDA conducts its operations and engages in regulatory and oversight activities. If these orders or executive actions impose constraints on the FDA’s ability to engage in oversight and implementation activities in the normal course, our business may be negatively impacted.</w:t>
      </w:r>
    </w:p>
    <w:p>
      <w:pPr>
        <w:spacing w:after="0" w:line="164" w:lineRule="exact"/>
        <w:rPr>
          <w:sz w:val="20"/>
          <w:szCs w:val="20"/>
          <w:color w:val="auto"/>
        </w:rPr>
      </w:pPr>
    </w:p>
    <w:p>
      <w:pPr>
        <w:ind w:right="40" w:firstLine="347"/>
        <w:spacing w:after="0" w:line="246" w:lineRule="auto"/>
        <w:rPr>
          <w:sz w:val="20"/>
          <w:szCs w:val="20"/>
          <w:color w:val="auto"/>
        </w:rPr>
      </w:pPr>
      <w:r>
        <w:rPr>
          <w:rFonts w:ascii="Arial" w:cs="Arial" w:eastAsia="Arial" w:hAnsi="Arial"/>
          <w:sz w:val="14"/>
          <w:szCs w:val="14"/>
          <w:color w:val="auto"/>
        </w:rPr>
        <w:t>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and other future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62" w:lineRule="exact"/>
        <w:rPr>
          <w:sz w:val="20"/>
          <w:szCs w:val="20"/>
          <w:color w:val="auto"/>
        </w:rPr>
      </w:pPr>
    </w:p>
    <w:p>
      <w:pPr>
        <w:ind w:firstLine="347"/>
        <w:spacing w:after="0" w:line="244" w:lineRule="auto"/>
        <w:rPr>
          <w:sz w:val="20"/>
          <w:szCs w:val="20"/>
          <w:color w:val="auto"/>
        </w:rPr>
      </w:pPr>
      <w:r>
        <w:rPr>
          <w:rFonts w:ascii="Arial" w:cs="Arial" w:eastAsia="Arial" w:hAnsi="Arial"/>
          <w:sz w:val="14"/>
          <w:szCs w:val="14"/>
          <w:color w:val="auto"/>
        </w:rPr>
        <w:t>In addition, government funding of the SEC and other government agencies on which our operations may rely, including those that fund research and development activities, is subject to the political process, which is inherently fluid and unpredictable. During the last several years, the U.S. government has shut down several times and certain regulatory agencies, such as the FDA and the SEC, have had to furlough critical FDA, SEC and other government employees and stop critical activities. If a prolonged government shutdown</w:t>
      </w:r>
    </w:p>
    <w:p>
      <w:pPr>
        <w:ind w:right="360"/>
        <w:spacing w:after="0" w:line="238" w:lineRule="auto"/>
        <w:rPr>
          <w:sz w:val="20"/>
          <w:szCs w:val="20"/>
          <w:color w:val="auto"/>
        </w:rPr>
      </w:pPr>
      <w:r>
        <w:rPr>
          <w:rFonts w:ascii="Arial" w:cs="Arial" w:eastAsia="Arial" w:hAnsi="Arial"/>
          <w:sz w:val="14"/>
          <w:szCs w:val="14"/>
          <w:color w:val="auto"/>
        </w:rPr>
        <w:t>occurs, it could significantly impact the ability of the FDA to timely review and process our regulatory submissions and could impact our ability to access the public markets and obtain necessary capital to properly capitalize and continue our operations.</w:t>
      </w:r>
    </w:p>
    <w:p>
      <w:pPr>
        <w:spacing w:after="0" w:line="165" w:lineRule="exact"/>
        <w:rPr>
          <w:sz w:val="20"/>
          <w:szCs w:val="20"/>
          <w:color w:val="auto"/>
        </w:rPr>
      </w:pPr>
    </w:p>
    <w:p>
      <w:pPr>
        <w:ind w:right="300" w:firstLine="347"/>
        <w:spacing w:after="0" w:line="274" w:lineRule="auto"/>
        <w:rPr>
          <w:sz w:val="20"/>
          <w:szCs w:val="20"/>
          <w:color w:val="auto"/>
        </w:rPr>
      </w:pPr>
      <w:r>
        <w:rPr>
          <w:rFonts w:ascii="Arial" w:cs="Arial" w:eastAsia="Arial" w:hAnsi="Arial"/>
          <w:sz w:val="14"/>
          <w:szCs w:val="14"/>
          <w:color w:val="auto"/>
        </w:rPr>
        <w:t>At the same time, disruptions at the FDA and other government agencies may result from public health events similar to the COVID-19 pandemic. For example, during the pandemic, a number of companies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84" w:name="page85"/>
    <w:bookmarkEnd w:id="84"/>
    <w:p>
      <w:pPr>
        <w:spacing w:after="0" w:line="255" w:lineRule="auto"/>
        <w:rPr>
          <w:sz w:val="20"/>
          <w:szCs w:val="20"/>
          <w:color w:val="auto"/>
        </w:rPr>
      </w:pPr>
      <w:r>
        <w:rPr>
          <w:rFonts w:ascii="Arial" w:cs="Arial" w:eastAsia="Arial" w:hAnsi="Arial"/>
          <w:sz w:val="14"/>
          <w:szCs w:val="14"/>
          <w:color w:val="auto"/>
        </w:rPr>
        <w:t>announced receipt of CRLs due to the FDA’s inability to complete required inspections for their applications. In the event of a similar public health or other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spacing w:after="0" w:line="155" w:lineRule="exact"/>
        <w:rPr>
          <w:sz w:val="20"/>
          <w:szCs w:val="20"/>
          <w:color w:val="auto"/>
        </w:rPr>
      </w:pPr>
    </w:p>
    <w:p>
      <w:pPr>
        <w:ind w:right="40" w:firstLine="347"/>
        <w:spacing w:after="0" w:line="255" w:lineRule="auto"/>
        <w:rPr>
          <w:sz w:val="20"/>
          <w:szCs w:val="20"/>
          <w:color w:val="auto"/>
        </w:rPr>
      </w:pPr>
      <w:r>
        <w:rPr>
          <w:rFonts w:ascii="Arial" w:cs="Arial" w:eastAsia="Arial" w:hAnsi="Arial"/>
          <w:sz w:val="14"/>
          <w:szCs w:val="14"/>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 our business would be negatively impacted. Further, any future government shutdown could impact our ability to access the public markets and obtain necessary capital to properly capitalize and continue our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and international trade policies, particularly with respect to China, may adversely impact our business and operating results.</w:t>
      </w:r>
    </w:p>
    <w:p>
      <w:pPr>
        <w:spacing w:after="0" w:line="19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4"/>
          <w:szCs w:val="14"/>
          <w:color w:val="auto"/>
        </w:rPr>
        <w:t>In 2025, the current administration initiated a series of tariff-related actions on U.S. trading partners, including China and India, where the building blocks of our drug substances are manufactured. The current tariff on goods from China is 20%, which may be increased in November 2026, and the current tariff on goods from India is 18%. There are certain product exemptions for pharmaceutical-related products, including an exemption relating to pharmaceutical-related products for clinical use.</w:t>
      </w:r>
    </w:p>
    <w:p>
      <w:pPr>
        <w:spacing w:after="0" w:line="155"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On September 25, 2025, the President announced that, beginning October 1, 2025, all branded or patented drugs imported in the U.S. would face a 100% tariff. The President indicated that the tariffs could be avoided by building pharmaceutical manufacturing facilities in the U.S. Thereafter, the President delayed the October 1st effective date of the tariffs and announced that the administration had begun preparing tariffs on manufacturers that do not build in the U.S. or enter into an MFN drug pricing agreement with the current administration. Certain trading partners, including the European Union, South Korea and Japan, negotiated exemptions from the Section 232 tariffs on pharmaceuticals.</w:t>
      </w:r>
    </w:p>
    <w:p>
      <w:pPr>
        <w:spacing w:after="0" w:line="159" w:lineRule="exact"/>
        <w:rPr>
          <w:sz w:val="20"/>
          <w:szCs w:val="20"/>
          <w:color w:val="auto"/>
        </w:rPr>
      </w:pPr>
    </w:p>
    <w:p>
      <w:pPr>
        <w:ind w:right="200" w:firstLine="509"/>
        <w:spacing w:after="0" w:line="255" w:lineRule="auto"/>
        <w:rPr>
          <w:sz w:val="20"/>
          <w:szCs w:val="20"/>
          <w:color w:val="auto"/>
        </w:rPr>
      </w:pPr>
      <w:r>
        <w:rPr>
          <w:rFonts w:ascii="Arial" w:cs="Arial" w:eastAsia="Arial" w:hAnsi="Arial"/>
          <w:sz w:val="14"/>
          <w:szCs w:val="14"/>
          <w:color w:val="auto"/>
        </w:rPr>
        <w:t>A host of other U.S. tariff actions remain possible, including an additional 25% tariff on products from countries that do business with Iran. In February 2026, the U.S. Supreme Court held that the International Emergency Economic Powers Act does not authorize the President to impose tariffs, invalidating both the “reciprocal” tariffs and certain country-specific tariffs. However, the President announced plans to impose new tariffs under other authorities.</w:t>
      </w:r>
    </w:p>
    <w:p>
      <w:pPr>
        <w:spacing w:after="0" w:line="166"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6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4"/>
          <w:szCs w:val="14"/>
          <w:color w:val="auto"/>
        </w:rPr>
        <w:t>Further, some of our manufacturers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the U.S. Department of Commerce’s Bureau of Industry and Security, or BIS, published an interim final rule in September 2025, referred to as the “Affiliates Rule,” which expands the scope of BIS export restrictions to include entities with 50% or greater ownership, in the aggregate, by one or more entities listed on the BIS entity list. While the Affiliates Rule has been suspended until November 10, 2026 as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5" w:name="page86"/>
    <w:bookmarkEnd w:id="85"/>
    <w:p>
      <w:pPr>
        <w:ind w:right="200"/>
        <w:spacing w:after="0" w:line="265" w:lineRule="auto"/>
        <w:rPr>
          <w:sz w:val="20"/>
          <w:szCs w:val="20"/>
          <w:color w:val="auto"/>
        </w:rPr>
      </w:pPr>
      <w:r>
        <w:rPr>
          <w:rFonts w:ascii="Arial" w:cs="Arial" w:eastAsia="Arial" w:hAnsi="Arial"/>
          <w:sz w:val="14"/>
          <w:szCs w:val="14"/>
          <w:color w:val="auto"/>
        </w:rPr>
        <w:t>part of the U.S.-China tentative framework agreement, escalating tensions between the United States and China may prevent or hinder the export of materials or technical information between us and Chinese manufacturers and suppliers, and other Chinese third parties we may interact with in the future. In addition, other third parties with which we interact may require voluntary compliance or supply chain requirements that go above and beyond potential legislation to address perceived risk of “pass through,” which could make it difficult for us to operate our business.</w:t>
      </w:r>
    </w:p>
    <w:p>
      <w:pPr>
        <w:spacing w:after="0" w:line="148" w:lineRule="exact"/>
        <w:rPr>
          <w:sz w:val="20"/>
          <w:szCs w:val="20"/>
          <w:color w:val="auto"/>
        </w:rPr>
      </w:pPr>
    </w:p>
    <w:p>
      <w:pPr>
        <w:ind w:right="40" w:firstLine="509"/>
        <w:spacing w:after="0"/>
        <w:rPr>
          <w:sz w:val="20"/>
          <w:szCs w:val="20"/>
          <w:color w:val="auto"/>
        </w:rPr>
      </w:pPr>
      <w:r>
        <w:rPr>
          <w:rFonts w:ascii="Arial" w:cs="Arial" w:eastAsia="Arial" w:hAnsi="Arial"/>
          <w:sz w:val="14"/>
          <w:szCs w:val="14"/>
          <w:color w:val="auto"/>
        </w:rPr>
        <w:t>In addition, on December 18, 2025, as part of the National Defense Authorization Act for Fiscal Year 2026, the President signed into law the BIOSECURE Act which limits U.S. government procurement from and grants to biotechnology companies of concern, or BCCs. Under the BIOSECURE Act, U.S. government agencies cannot (i) buy or obtain biotechnology equipment or services provided by a BCC; (ii) enter into, extend, or renew a contract with any entity using biotechnology equipment or services provided by a BCC to perform a government contract; or (iii) expend loan or grant funds for biotechnology equipment or services provided by a BCC. The BIOSECURE Act does not name specific companies as BCCs but treats any company on the U.S. Department of Defense 1260H list of Chinese Military Companies as a BCC. This list currently includes BGI Group, BGI Genomics Co., Ltd., Forensic Genomics International, and MGI Tech Co., Ltd., but does not include the WuXi entities. The legislation allows for other biotechnology companies,</w:t>
      </w:r>
    </w:p>
    <w:p>
      <w:pPr>
        <w:spacing w:after="0" w:line="3" w:lineRule="exact"/>
        <w:rPr>
          <w:sz w:val="20"/>
          <w:szCs w:val="20"/>
          <w:color w:val="auto"/>
        </w:rPr>
      </w:pPr>
    </w:p>
    <w:p>
      <w:pPr>
        <w:ind w:right="320"/>
        <w:spacing w:after="0" w:line="229" w:lineRule="auto"/>
        <w:rPr>
          <w:sz w:val="20"/>
          <w:szCs w:val="20"/>
          <w:color w:val="auto"/>
        </w:rPr>
      </w:pPr>
      <w:r>
        <w:rPr>
          <w:rFonts w:ascii="Arial" w:cs="Arial" w:eastAsia="Arial" w:hAnsi="Arial"/>
          <w:sz w:val="14"/>
          <w:szCs w:val="14"/>
          <w:color w:val="auto"/>
        </w:rPr>
        <w:t>possibly including WuXi entities, to be added to the federal funding prohibitions at a later time. The 1260H list was updated by the Department of Defense in January 2024 and January 2025. On February 13, 2026, the Department published an updated list, which included WuXi AppTec but then abruptly withdrew the list. The implications of this action</w:t>
      </w:r>
    </w:p>
    <w:p>
      <w:pPr>
        <w:spacing w:after="0" w:line="245" w:lineRule="auto"/>
        <w:rPr>
          <w:sz w:val="20"/>
          <w:szCs w:val="20"/>
          <w:color w:val="auto"/>
        </w:rPr>
      </w:pPr>
      <w:r>
        <w:rPr>
          <w:rFonts w:ascii="Arial" w:cs="Arial" w:eastAsia="Arial" w:hAnsi="Arial"/>
          <w:sz w:val="14"/>
          <w:szCs w:val="14"/>
          <w:color w:val="auto"/>
        </w:rPr>
        <w:t>remain unclear. This law could have the potential to severely restrict the ability of companies like ours to contract with certain Chinese biotechnology companies of concern without losing the ability to contract with, or otherwise receive funding from, the U.S. government. It is possible some of our contractual counterparties could be adversely impacted by these or similar supply chain restrictions.</w:t>
      </w:r>
    </w:p>
    <w:p>
      <w:pPr>
        <w:spacing w:after="0" w:line="161" w:lineRule="exact"/>
        <w:rPr>
          <w:sz w:val="20"/>
          <w:szCs w:val="20"/>
          <w:color w:val="auto"/>
        </w:rPr>
      </w:pPr>
    </w:p>
    <w:p>
      <w:pPr>
        <w:ind w:right="60" w:firstLine="509"/>
        <w:spacing w:after="0" w:line="249" w:lineRule="auto"/>
        <w:rPr>
          <w:sz w:val="20"/>
          <w:szCs w:val="20"/>
          <w:color w:val="auto"/>
        </w:rPr>
      </w:pPr>
      <w:r>
        <w:rPr>
          <w:rFonts w:ascii="Arial" w:cs="Arial" w:eastAsia="Arial" w:hAnsi="Arial"/>
          <w:sz w:val="14"/>
          <w:szCs w:val="14"/>
          <w:color w:val="auto"/>
        </w:rPr>
        <w:t>Any unfavorable government policies on international trade, such as export controls, capital controls or tariffs, may increase the cost of manufacturing our product candidates and platform materials, affect the demand for our product candidates (if and once approved), the competitive position of our product candidates, and import or export of raw materials and finished product candidates used in our preclinical studies and clinical trials, particularly with respect to any product candidates and materials that we import from China, including pursuant to our manufacturing service arrangements with WuXi.</w:t>
      </w:r>
    </w:p>
    <w:p>
      <w:pPr>
        <w:spacing w:after="0" w:line="159" w:lineRule="exact"/>
        <w:rPr>
          <w:sz w:val="20"/>
          <w:szCs w:val="20"/>
          <w:color w:val="auto"/>
        </w:rPr>
      </w:pPr>
    </w:p>
    <w:p>
      <w:pPr>
        <w:ind w:right="300" w:firstLine="509"/>
        <w:spacing w:after="0" w:line="255" w:lineRule="auto"/>
        <w:rPr>
          <w:sz w:val="20"/>
          <w:szCs w:val="20"/>
          <w:color w:val="auto"/>
        </w:rPr>
      </w:pPr>
      <w:r>
        <w:rPr>
          <w:rFonts w:ascii="Arial" w:cs="Arial" w:eastAsia="Arial" w:hAnsi="Arial"/>
          <w:sz w:val="14"/>
          <w:szCs w:val="14"/>
          <w:color w:val="auto"/>
        </w:rPr>
        <w:t>If any new tariffs, export controls, legislation and/or regulations are implemented, or if existing trade agreements are renegotiated or, in particular, if the U.S. or Chinese governments take retaliatory trade actions due to the recent trade tensions, such changes could have an adverse effect on our business, financial condition and results of operations.</w:t>
      </w: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Risks Related to the Commercialization of Our Product Candidates</w:t>
      </w:r>
    </w:p>
    <w:p>
      <w:pPr>
        <w:spacing w:after="0" w:line="265"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1"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 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 but not limited to:</w:t>
      </w:r>
    </w:p>
    <w:p>
      <w:pPr>
        <w:spacing w:after="0" w:line="55" w:lineRule="exact"/>
        <w:rPr>
          <w:sz w:val="20"/>
          <w:szCs w:val="20"/>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efficacy and potential advantages as compared to alternative treatments;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prevalence and severity of any side effects of our product candidates, in particular as compared to alternative treatments;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ability to offer our products for sale at competitive prices;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convenience and ease of administration compared to alternative treatments;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86" w:name="page87"/>
    <w:bookmarkEnd w:id="86"/>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strength of marketing, sales and distribution support;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availability of third-party coverage and adequate reimbursement;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timing of any marketing approval in relation to other product approvals;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support from patient advocacy groups;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restrictions on the use of our products together with other medications.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establish sales and marketing capabilities, we may not be successful in commercializing our product candidates if and when they are approved.</w:t>
      </w:r>
    </w:p>
    <w:p>
      <w:pPr>
        <w:spacing w:after="0" w:line="92"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We do not currently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ourselves or through collaboration or other arrangements with third parties. In past years, we had begun the process of establishing our own focused, specialized sales, marketing, and market access organization to support the commercialization of our product candidates, including vepdegestrant, in the United States. However, in September 2025, we announced that we and Pfizer have agreed to jointly select a third party for the commercialization and potential further development of vepdegestrant.</w:t>
      </w:r>
    </w:p>
    <w:p>
      <w:pPr>
        <w:spacing w:after="0" w:line="140"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Other than with respect to vepdegestrant, we currently expect that we would build our own focused, specialized sales, marketing and market access organization to support the commercialization of our product candidates in the United States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94" w:lineRule="exact"/>
        <w:rPr>
          <w:sz w:val="20"/>
          <w:szCs w:val="20"/>
          <w:color w:val="auto"/>
        </w:rPr>
      </w:pPr>
    </w:p>
    <w:p>
      <w:pPr>
        <w:ind w:left="760" w:hanging="246"/>
        <w:spacing w:after="0"/>
        <w:tabs>
          <w:tab w:leader="none" w:pos="7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our inability to recruit, train and retain adequate numbers of effective, knowledgeable and experienced sales and marketing personnel;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inability of such sales personnel to obtain access to physicians or persuade adequate numbers of physicians to prescribe any future products;</w:t>
      </w:r>
    </w:p>
    <w:p>
      <w:pPr>
        <w:spacing w:after="0" w:line="93"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to companies with more extensive product lines; and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179"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If we are unable to establish our own sales and marketing capabilities and, therefore, we enter into arrangements with third parties to perform these services, our revenue from product sales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227"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21" w:lineRule="exact"/>
        <w:rPr>
          <w:sz w:val="20"/>
          <w:szCs w:val="20"/>
          <w:color w:val="auto"/>
        </w:rPr>
      </w:pPr>
    </w:p>
    <w:p>
      <w:pPr>
        <w:ind w:right="480" w:firstLine="509"/>
        <w:spacing w:after="0" w:line="290" w:lineRule="auto"/>
        <w:rPr>
          <w:sz w:val="20"/>
          <w:szCs w:val="20"/>
          <w:color w:val="auto"/>
        </w:rPr>
      </w:pPr>
      <w:r>
        <w:rPr>
          <w:rFonts w:ascii="Arial" w:cs="Arial" w:eastAsia="Arial" w:hAnsi="Arial"/>
          <w:sz w:val="14"/>
          <w:szCs w:val="14"/>
          <w:color w:val="auto"/>
        </w:rPr>
        <w:t>The regulations that govern marketing approvals, pricing, coverage and reimbursement for new drug products vary widely from country to country. Current and future legislation may significantly change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7" w:name="page88"/>
    <w:bookmarkEnd w:id="87"/>
    <w:p>
      <w:pPr>
        <w:ind w:right="60"/>
        <w:spacing w:after="0" w:line="259" w:lineRule="auto"/>
        <w:rPr>
          <w:sz w:val="20"/>
          <w:szCs w:val="20"/>
          <w:color w:val="auto"/>
        </w:rPr>
      </w:pPr>
      <w:r>
        <w:rPr>
          <w:rFonts w:ascii="Arial" w:cs="Arial" w:eastAsia="Arial" w:hAnsi="Arial"/>
          <w:sz w:val="14"/>
          <w:szCs w:val="14"/>
          <w:color w:val="auto"/>
        </w:rPr>
        <w:t>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142"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43"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There may be significant delays in obtaining coverage and reimbursement for newly approved drugs, and coverage may be more limited than the purposes for which the FDA or similar regulatory authorities approve the drug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 and to limit commercialization of any products that we may develop.</w:t>
      </w:r>
    </w:p>
    <w:p>
      <w:pPr>
        <w:spacing w:after="0" w:line="9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4"/>
          <w:szCs w:val="14"/>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49" w:lineRule="exact"/>
        <w:rPr>
          <w:sz w:val="20"/>
          <w:szCs w:val="20"/>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decreased demand for any product candidates or products that we may develop;</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termination of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withdrawal of any marketing approval, recall, restriction on the approval or a “black box” warning or contraindication for an approved drug;</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8" w:name="page89"/>
    <w:bookmarkEnd w:id="88"/>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failure to enroll clinical trial participants or withdrawal of clinical trial participants;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reduced resources of our management to pursue our business strategy;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w:t>
      </w:r>
    </w:p>
    <w:p>
      <w:pPr>
        <w:spacing w:after="0" w:line="17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4"/>
          <w:szCs w:val="14"/>
          <w:color w:val="auto"/>
        </w:rPr>
        <w:t>Although we maintain product liability insurance coverage, it may not be adequate to cover all liabilities that we may incur. We may need to increase product liability insurance coverage as we expand our clinical trials and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265"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 and we may not be able to compete effectively in our market.</w:t>
      </w:r>
    </w:p>
    <w:p>
      <w:pPr>
        <w:spacing w:after="0" w:line="37"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commercial success depends in part on our ability to obtain and maintain patent and other proprietary protection in the United States and other countries with respect to our proprietary technology and products. We seek to protect our proprietary position by filing patent applications in the United States and other jurisdictions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40"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or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40"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9" w:name="page90"/>
    <w:bookmarkEnd w:id="89"/>
    <w:p>
      <w:pPr>
        <w:ind w:right="20" w:firstLine="509"/>
        <w:spacing w:after="0" w:line="260" w:lineRule="auto"/>
        <w:rPr>
          <w:sz w:val="20"/>
          <w:szCs w:val="20"/>
          <w:color w:val="auto"/>
        </w:rPr>
      </w:pPr>
      <w:r>
        <w:rPr>
          <w:rFonts w:ascii="Arial" w:cs="Arial" w:eastAsia="Arial" w:hAnsi="Arial"/>
          <w:sz w:val="14"/>
          <w:szCs w:val="14"/>
          <w:color w:val="auto"/>
        </w:rPr>
        <w:t xml:space="preserve">Moreover, we may be subject to a third-party preissuance submission of prior art to the United States Patent and Trademark Office, or the USPTO, or in addition to interference proceedings, may become involved in opposition, derivation, reexamination,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post-grant review or other post-grant proceedings challenging our or our licensors’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2" w:lineRule="exact"/>
        <w:rPr>
          <w:sz w:val="20"/>
          <w:szCs w:val="20"/>
          <w:color w:val="auto"/>
        </w:rPr>
      </w:pPr>
    </w:p>
    <w:p>
      <w:pPr>
        <w:ind w:right="360" w:firstLine="509"/>
        <w:spacing w:after="0" w:line="265" w:lineRule="auto"/>
        <w:rPr>
          <w:sz w:val="20"/>
          <w:szCs w:val="20"/>
          <w:color w:val="auto"/>
        </w:rPr>
      </w:pPr>
      <w:r>
        <w:rPr>
          <w:rFonts w:ascii="Arial" w:cs="Arial" w:eastAsia="Arial" w:hAnsi="Arial"/>
          <w:sz w:val="14"/>
          <w:szCs w:val="14"/>
          <w:color w:val="auto"/>
        </w:rPr>
        <w:t>Our owned, co-owned and licensed patent estate includes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or products in a non-infringing manner.</w:t>
      </w:r>
    </w:p>
    <w:p>
      <w:pPr>
        <w:spacing w:after="0" w:line="138"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owned, co-owned and licensed patents may be challenged in the courts or patent offices in the United States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co-owned and licensed patent portfolio may not provide us with sufficient rights to exclude others from commercializing products similar or identical to ours.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patent laws or patent jurisprudence could diminish the value of our patents in general, thereby impairing our ability to protect our product candidates.</w:t>
      </w:r>
    </w:p>
    <w:p>
      <w:pPr>
        <w:spacing w:after="0" w:line="92"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changes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first-inventor-to-file provisions,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Furthermore, for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w:t>
      </w:r>
    </w:p>
    <w:p>
      <w:pPr>
        <w:spacing w:after="0" w:line="146"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Additionally, the U.S. Supreme Court has ruled on several patent cases in recent years limiting where a patentee may file a patent infringement suit,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w:t>
      </w:r>
    </w:p>
    <w:p>
      <w:pPr>
        <w:spacing w:after="0" w:line="138" w:lineRule="exact"/>
        <w:rPr>
          <w:sz w:val="20"/>
          <w:szCs w:val="20"/>
          <w:color w:val="auto"/>
        </w:rPr>
      </w:pPr>
    </w:p>
    <w:p>
      <w:pPr>
        <w:jc w:val="both"/>
        <w:ind w:right="480" w:firstLine="509"/>
        <w:spacing w:after="0" w:line="271" w:lineRule="auto"/>
        <w:rPr>
          <w:sz w:val="20"/>
          <w:szCs w:val="20"/>
          <w:color w:val="auto"/>
        </w:rPr>
      </w:pPr>
      <w:r>
        <w:rPr>
          <w:rFonts w:ascii="Arial" w:cs="Arial" w:eastAsia="Arial" w:hAnsi="Arial"/>
          <w:sz w:val="14"/>
          <w:szCs w:val="14"/>
          <w:color w:val="auto"/>
        </w:rPr>
        <w:t>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0" w:name="page91"/>
    <w:bookmarkEnd w:id="90"/>
    <w:p>
      <w:pPr>
        <w:ind w:right="60"/>
        <w:spacing w:after="0" w:line="290" w:lineRule="auto"/>
        <w:rPr>
          <w:sz w:val="20"/>
          <w:szCs w:val="20"/>
          <w:color w:val="auto"/>
        </w:rPr>
      </w:pPr>
      <w:r>
        <w:rPr>
          <w:rFonts w:ascii="Arial" w:cs="Arial" w:eastAsia="Arial" w:hAnsi="Arial"/>
          <w:sz w:val="14"/>
          <w:szCs w:val="14"/>
          <w:color w:val="auto"/>
        </w:rPr>
        <w:t>and uncertainty of European patent laws has also increased in recent years. Complying with these laws and regulations could limit our ability to obtain new patents in the future that may be important for our business.</w:t>
      </w:r>
    </w:p>
    <w:p>
      <w:pPr>
        <w:spacing w:after="0" w:line="207"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21"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Competitors may infringe our issued patents, the patents of our licensors,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Even if we successfully assert our patents, a court may not award remedies that sufficiently compensate us for our losses.</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We may need to license intellectual property from third parties, and such licenses may not be available or may not be available on commercially reasonable terms or at all.</w:t>
      </w:r>
    </w:p>
    <w:p>
      <w:pPr>
        <w:spacing w:after="0" w:line="21"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A third party may hold intellectual property, including patent rights, that are important or necessary to the development of our products. It may be necessary for us to use the patented or proprietary technology of a third party to commercialize our own technology or products,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38"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227"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1" w:lineRule="exact"/>
        <w:rPr>
          <w:sz w:val="20"/>
          <w:szCs w:val="20"/>
          <w:color w:val="auto"/>
        </w:rPr>
      </w:pPr>
    </w:p>
    <w:p>
      <w:pPr>
        <w:jc w:val="both"/>
        <w:ind w:right="540" w:firstLine="509"/>
        <w:spacing w:after="0" w:line="265" w:lineRule="auto"/>
        <w:rPr>
          <w:sz w:val="20"/>
          <w:szCs w:val="20"/>
          <w:color w:val="auto"/>
        </w:rPr>
      </w:pPr>
      <w:r>
        <w:rPr>
          <w:rFonts w:ascii="Arial" w:cs="Arial" w:eastAsia="Arial" w:hAnsi="Arial"/>
          <w:sz w:val="14"/>
          <w:szCs w:val="14"/>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as well as administrative proceedings for challenging patents, including interference, reexamination, and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proceedings before the USPTO and oppositions and other comparable proceedings in foreign jurisdictions.</w:t>
      </w:r>
    </w:p>
    <w:p>
      <w:pPr>
        <w:spacing w:after="0" w:line="13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4"/>
          <w:szCs w:val="14"/>
          <w:color w:val="auto"/>
        </w:rPr>
        <w:t xml:space="preserve">We may become party to, or threatened with, future adversarial proceedings or litigation regarding intellectual property rights with respect to our products and technology, including interference, derivation, reexamination or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proceedings before the USPTO. Third parties may assert infringement claims against us based on existing patents or patents that may be granted in the future. As the biotechnology 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1" w:name="page92"/>
    <w:bookmarkEnd w:id="91"/>
    <w:p>
      <w:pPr>
        <w:ind w:firstLine="509"/>
        <w:spacing w:after="0" w:line="259" w:lineRule="auto"/>
        <w:rPr>
          <w:sz w:val="20"/>
          <w:szCs w:val="20"/>
          <w:color w:val="auto"/>
        </w:rPr>
      </w:pPr>
      <w:r>
        <w:rPr>
          <w:rFonts w:ascii="Arial" w:cs="Arial" w:eastAsia="Arial" w:hAnsi="Arial"/>
          <w:sz w:val="14"/>
          <w:szCs w:val="14"/>
          <w:color w:val="auto"/>
        </w:rPr>
        <w:t>If we are found by a court of competent jurisdiction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In addition,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we fail to comply with our obligations in our current and future intellectual property licenses and funding arrangements with third parties, we could lose rights that are important to our business.</w:t>
      </w:r>
    </w:p>
    <w:p>
      <w:pPr>
        <w:spacing w:after="0" w:line="21"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are party to an amended and restated license agreement with Yale that provides us with the foundational intellectual property rights for our PROTAC targeted protein degradation technology. This license agreement imposes diligence, development and commercialization timelines and milestone payment, royalty, insurance and other obligations on us. If we fail to comply with our obligations, including achieving specified milestone events, Yale may have the right to terminate this license, in which event we might not be able to develop, manufacture or market any product that is covered by the intellectual property we in-license from Yale and may face other penalties. Such an occurrence would materially adversely affect our business prospects. For a variety of purposes, we will likely enter into additional licensing and funding arrangements with third parties that may also impose similar obligations on us.</w:t>
      </w:r>
    </w:p>
    <w:p>
      <w:pPr>
        <w:spacing w:after="0" w:line="142"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Termination of any of our current or future in-licenses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38"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0"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Further, we do not have the right to control the prosecution, maintenance and enforcement of all of our licensed and sublicensed intellectual property, and even when we do have such rights, we may require the cooperation of our licensors and upstream licensors, which may not be forthcoming. For example, under the Yale license, any patent applications and issued patents under the agreement remain the property of Yale, and Yale has the right to choose patent counsel. Our business could be adversely affected if we or our licensors are unable to prosecute, maintain and enforce our licensed and sublicensed intellectual property effectively.</w:t>
      </w:r>
    </w:p>
    <w:p>
      <w:pPr>
        <w:spacing w:after="0" w:line="22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our employees, consultants, contractors or we have misappropriated their intellectual property, or claiming ownership of what we regard as our own intellectual property.</w:t>
      </w:r>
    </w:p>
    <w:p>
      <w:pPr>
        <w:spacing w:after="0" w:line="21"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92" w:name="page93"/>
    <w:bookmarkEnd w:id="92"/>
    <w:p>
      <w:pPr>
        <w:spacing w:after="0" w:line="290" w:lineRule="auto"/>
        <w:rPr>
          <w:sz w:val="20"/>
          <w:szCs w:val="20"/>
          <w:color w:val="auto"/>
        </w:rPr>
      </w:pPr>
      <w:r>
        <w:rPr>
          <w:rFonts w:ascii="Arial" w:cs="Arial" w:eastAsia="Arial" w:hAnsi="Arial"/>
          <w:sz w:val="14"/>
          <w:szCs w:val="14"/>
          <w:color w:val="auto"/>
        </w:rPr>
        <w:t>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120"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Such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distract our personnel from their normal responsibilities.</w:t>
      </w:r>
    </w:p>
    <w:p>
      <w:pPr>
        <w:spacing w:after="0" w:line="9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29"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9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4"/>
          <w:szCs w:val="14"/>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we would have no right to prevent them, or those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93" w:name="page94"/>
    <w:bookmarkEnd w:id="93"/>
    <w:p>
      <w:pPr>
        <w:ind w:right="340"/>
        <w:spacing w:after="0" w:line="290" w:lineRule="auto"/>
        <w:rPr>
          <w:sz w:val="20"/>
          <w:szCs w:val="20"/>
          <w:color w:val="auto"/>
        </w:rPr>
      </w:pPr>
      <w:r>
        <w:rPr>
          <w:rFonts w:ascii="Arial" w:cs="Arial" w:eastAsia="Arial" w:hAnsi="Arial"/>
          <w:sz w:val="14"/>
          <w:szCs w:val="14"/>
          <w:color w:val="auto"/>
        </w:rPr>
        <w:t>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If we are not able to obtain patent term extensions in the United States under the Hatch-Waxman Act and in foreign countries under similar legislation, thereby potentially extending the term of our marketing exclusivity for our product candidates, our business may be impaired.</w:t>
      </w:r>
    </w:p>
    <w:p>
      <w:pPr>
        <w:spacing w:after="0" w:line="21"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Depending upon the timing, duration and specifics of FDA marketing approval of our product candidates, one of the U.S. patents covering each of such product candidates or the use thereof may be eligible for a patent term extension under the Drug Price Competition and Patent Term Restoration Act of 1984, or Hatch-Waxman Act. The period of extension may be up to five years beyond the expiration date of a patent but cannot extend the remaining term of a patent beyond a total of 14 years from the date of product approval. The Hatch-Waxman Act allows a maximum of one patent to be extended per FDA-approved product. Similar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4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only have limited geographical protection with respect to certain patents and we may not be able to protect our intellectual property rights throughout the world.</w:t>
      </w:r>
    </w:p>
    <w:p>
      <w:pPr>
        <w:spacing w:after="0" w:line="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 And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142"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In addition, we may decide to abandon national and regional patent applications while they are still pending. The grant proceeding of each national or regional patent is an independent proceeding which may lead to situations in which applications may be rejected by the relevant patent office, while substantively similar applications are granted by others. For example, relative to other countries, China has a heightened detailed description requirement for patentability.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42"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4" w:name="page95"/>
    <w:bookmarkEnd w:id="94"/>
    <w:p>
      <w:pPr>
        <w:ind w:firstLine="509"/>
        <w:spacing w:after="0" w:line="257" w:lineRule="auto"/>
        <w:rPr>
          <w:sz w:val="20"/>
          <w:szCs w:val="20"/>
          <w:color w:val="auto"/>
        </w:rPr>
      </w:pPr>
      <w:r>
        <w:rPr>
          <w:rFonts w:ascii="Arial" w:cs="Arial" w:eastAsia="Arial" w:hAnsi="Arial"/>
          <w:sz w:val="14"/>
          <w:szCs w:val="14"/>
          <w:color w:val="auto"/>
        </w:rPr>
        <w:t>Proceedings to enforce our patent rights in foreign jurisdictions, whether or not successful, are likely to result in substantial costs and divert our efforts and attention from other aspects of our business, and additionally could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43"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Regulatory Approval and Marketing of Our Product Candidates, Our Industry and Other Legal and Compliance Matters</w:t>
      </w:r>
    </w:p>
    <w:p>
      <w:pPr>
        <w:spacing w:after="0" w:line="265"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21" w:lineRule="exact"/>
        <w:rPr>
          <w:sz w:val="20"/>
          <w:szCs w:val="20"/>
          <w:color w:val="auto"/>
        </w:rPr>
      </w:pPr>
    </w:p>
    <w:p>
      <w:pPr>
        <w:jc w:val="both"/>
        <w:ind w:right="40" w:firstLine="509"/>
        <w:spacing w:after="0" w:line="265" w:lineRule="auto"/>
        <w:rPr>
          <w:sz w:val="20"/>
          <w:szCs w:val="20"/>
          <w:color w:val="auto"/>
        </w:rPr>
      </w:pPr>
      <w:r>
        <w:rPr>
          <w:rFonts w:ascii="Arial" w:cs="Arial" w:eastAsia="Arial" w:hAnsi="Arial"/>
          <w:sz w:val="14"/>
          <w:szCs w:val="14"/>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to date and it is possible that none of our existing product candidates, or any product candidates we may seek to develop in the future, will ever obtain marketing approval.</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product candidates could fail to receive marketing approval for many reasons, including the following:</w:t>
      </w:r>
    </w:p>
    <w:p>
      <w:pPr>
        <w:spacing w:after="0" w:line="94" w:lineRule="exact"/>
        <w:rPr>
          <w:sz w:val="20"/>
          <w:szCs w:val="20"/>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FDA may disagree with the design or implementation of our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that a product candidate is safe and effective for its proposed indication;</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results of clinical trials may not meet the level of statistical significance required by the FDA for approval;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may be unable to demonstrate that a product candidate’s clinical and other benefits outweigh its safety risks;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FDA may disagree with our interpretation of data from preclinical studies or clinical trials;</w:t>
      </w:r>
    </w:p>
    <w:p>
      <w:pPr>
        <w:spacing w:after="0" w:line="93" w:lineRule="exact"/>
        <w:rPr>
          <w:rFonts w:ascii="Arial" w:cs="Arial" w:eastAsia="Arial" w:hAnsi="Arial"/>
          <w:sz w:val="14"/>
          <w:szCs w:val="14"/>
          <w:color w:val="auto"/>
        </w:rPr>
      </w:pPr>
    </w:p>
    <w:p>
      <w:pPr>
        <w:ind w:left="760" w:right="460" w:hanging="246"/>
        <w:spacing w:after="0" w:line="290" w:lineRule="auto"/>
        <w:tabs>
          <w:tab w:leader="none" w:pos="7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data collected from clinical trials of our product candidates may not be sufficient to support the submission of an NDA to the FDA or other submission or to obtain marketing approval in the United States;</w:t>
      </w:r>
    </w:p>
    <w:p>
      <w:pPr>
        <w:spacing w:after="0" w:line="35" w:lineRule="exact"/>
        <w:rPr>
          <w:rFonts w:ascii="Arial" w:cs="Arial" w:eastAsia="Arial" w:hAnsi="Arial"/>
          <w:sz w:val="14"/>
          <w:szCs w:val="14"/>
          <w:color w:val="auto"/>
        </w:rPr>
      </w:pPr>
    </w:p>
    <w:p>
      <w:pPr>
        <w:ind w:left="760" w:right="500" w:hanging="246"/>
        <w:spacing w:after="0" w:line="290" w:lineRule="auto"/>
        <w:tabs>
          <w:tab w:leader="none" w:pos="75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FDA may find deficiencies with or fail to approve the manufacturing processes or facilities of third-party manufacturers with which we contract for clinical and commercial supplies;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95" w:name="page96"/>
    <w:bookmarkEnd w:id="95"/>
    <w:p>
      <w:pPr>
        <w:ind w:left="760" w:hanging="246"/>
        <w:spacing w:after="0"/>
        <w:tabs>
          <w:tab w:leader="none" w:pos="7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approval policies or regulations of the FDA may significantly change in a manner rendering our clinical data insufficient for approval.</w:t>
      </w:r>
    </w:p>
    <w:p>
      <w:pPr>
        <w:spacing w:after="0" w:line="179"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38" w:lineRule="exact"/>
        <w:rPr>
          <w:sz w:val="20"/>
          <w:szCs w:val="20"/>
          <w:color w:val="auto"/>
        </w:rPr>
      </w:pPr>
    </w:p>
    <w:p>
      <w:pPr>
        <w:ind w:right="140" w:firstLine="509"/>
        <w:spacing w:after="0" w:line="268" w:lineRule="auto"/>
        <w:rPr>
          <w:sz w:val="20"/>
          <w:szCs w:val="20"/>
          <w:color w:val="auto"/>
        </w:rPr>
      </w:pPr>
      <w:r>
        <w:rPr>
          <w:rFonts w:ascii="Arial" w:cs="Arial" w:eastAsia="Arial" w:hAnsi="Arial"/>
          <w:sz w:val="14"/>
          <w:szCs w:val="14"/>
          <w:color w:val="auto"/>
        </w:rPr>
        <w:t>The FDA has traditionally required sponsors to conduct two adequate and well-controlled studies in support of approval of an NDA. In February 2026, however, the Commissioner of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two pivotal clinical trials. In determining whether to rely on one trial, the FDA will focus on the single trial’s quality, including magnitude of effect, appropriateness of control arms,</w:t>
      </w:r>
    </w:p>
    <w:p>
      <w:pPr>
        <w:spacing w:after="0" w:line="41"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endpoint selection, statistical power, blinding, handling of missing data, biological plausibility 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 The implications of this decision and how it will impact our clinical development programs are unclear at this point.</w:t>
      </w:r>
    </w:p>
    <w:p>
      <w:pPr>
        <w:spacing w:after="0" w:line="138"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37"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similar regulatory authorities outside of the United States. Failure to obtain marketing approval for a product candidate will prevent us from commercializing the product candidate. We have not submitted an application for or received marketing approval for any of our product candidates in the United States or in any other jurisdiction.</w:t>
      </w:r>
    </w:p>
    <w:p>
      <w:pPr>
        <w:spacing w:after="0" w:line="140"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As a company, we do not have experience in filing and supporting the applications necessary to gain marketing approvals and expect to rely on third-party CROs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oncology drugs frequently are indicated only for patient populations that have not responded to an existing therapy or have relapsed.</w:t>
      </w:r>
    </w:p>
    <w:p>
      <w:pPr>
        <w:spacing w:after="0" w:line="316"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Changes in marketing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6" w:name="page97"/>
    <w:bookmarkEnd w:id="96"/>
    <w:p>
      <w:pPr>
        <w:ind w:right="20"/>
        <w:spacing w:after="0" w:line="262" w:lineRule="auto"/>
        <w:rPr>
          <w:sz w:val="20"/>
          <w:szCs w:val="20"/>
          <w:color w:val="auto"/>
        </w:rPr>
      </w:pPr>
      <w:r>
        <w:rPr>
          <w:rFonts w:ascii="Arial" w:cs="Arial" w:eastAsia="Arial" w:hAnsi="Arial"/>
          <w:sz w:val="14"/>
          <w:szCs w:val="14"/>
          <w:color w:val="auto"/>
        </w:rPr>
        <w:t>approval policies during the development period, changes in or the enactment of additional statutes or regulations, or changes in regulatory review for each submitted product application, may increase costs or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4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4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Further, under the PREA, an NDA, or supplement to an NDA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PIP approved by the Paediatric Committee of the EMA or to obtain a waiver or deferral from the conduct of these studies by this Paediatric Committee. For any of our product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4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 xml:space="preserve">In addition, we could be adversely affected by several significant administrative law cases decided by the U.S. Supreme Court, including </w:t>
      </w:r>
      <w:r>
        <w:rPr>
          <w:rFonts w:ascii="Arial" w:cs="Arial" w:eastAsia="Arial" w:hAnsi="Arial"/>
          <w:sz w:val="14"/>
          <w:szCs w:val="14"/>
          <w:i w:val="1"/>
          <w:iCs w:val="1"/>
          <w:color w:val="auto"/>
        </w:rPr>
        <w:t>Loper Bright Enterprises v.</w:t>
      </w:r>
      <w:r>
        <w:rPr>
          <w:rFonts w:ascii="Arial" w:cs="Arial" w:eastAsia="Arial" w:hAnsi="Arial"/>
          <w:sz w:val="14"/>
          <w:szCs w:val="14"/>
          <w:color w:val="auto"/>
        </w:rPr>
        <w:t xml:space="preserve"> </w:t>
      </w:r>
      <w:r>
        <w:rPr>
          <w:rFonts w:ascii="Arial" w:cs="Arial" w:eastAsia="Arial" w:hAnsi="Arial"/>
          <w:sz w:val="14"/>
          <w:szCs w:val="14"/>
          <w:i w:val="1"/>
          <w:iCs w:val="1"/>
          <w:color w:val="auto"/>
        </w:rPr>
        <w:t>Raimondo</w:t>
      </w:r>
      <w:r>
        <w:rPr>
          <w:rFonts w:ascii="Arial" w:cs="Arial" w:eastAsia="Arial" w:hAnsi="Arial"/>
          <w:sz w:val="14"/>
          <w:szCs w:val="14"/>
          <w:color w:val="auto"/>
        </w:rPr>
        <w:t>,</w:t>
      </w:r>
      <w:r>
        <w:rPr>
          <w:rFonts w:ascii="Arial" w:cs="Arial" w:eastAsia="Arial" w:hAnsi="Arial"/>
          <w:sz w:val="14"/>
          <w:szCs w:val="14"/>
          <w:i w:val="1"/>
          <w:iCs w:val="1"/>
          <w:color w:val="auto"/>
        </w:rPr>
        <w:t xml:space="preserve"> Corner Post, Inc. v. Board of Governors of the Federal Reserve System</w:t>
      </w:r>
      <w:r>
        <w:rPr>
          <w:rFonts w:ascii="Arial" w:cs="Arial" w:eastAsia="Arial" w:hAnsi="Arial"/>
          <w:sz w:val="14"/>
          <w:szCs w:val="14"/>
          <w:color w:val="auto"/>
        </w:rPr>
        <w:t>, and,</w:t>
      </w:r>
      <w:r>
        <w:rPr>
          <w:rFonts w:ascii="Arial" w:cs="Arial" w:eastAsia="Arial" w:hAnsi="Arial"/>
          <w:sz w:val="14"/>
          <w:szCs w:val="14"/>
          <w:i w:val="1"/>
          <w:iCs w:val="1"/>
          <w:color w:val="auto"/>
        </w:rPr>
        <w:t xml:space="preserve"> Securities and Exchange Commission v. Jarkesy</w:t>
      </w:r>
      <w:r>
        <w:rPr>
          <w:rFonts w:ascii="Arial" w:cs="Arial" w:eastAsia="Arial" w:hAnsi="Arial"/>
          <w:sz w:val="14"/>
          <w:szCs w:val="14"/>
          <w:color w:val="auto"/>
        </w:rPr>
        <w:t>. These decisions could introduce</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uncertainty into the regulatory process and may result in additional legal challenges to actions taken by federal regulatory agencies, including the FDA and the CMS, on which we rely. In addition to potential changes to regulations as a result of legal challenges, these decisions may result in increased regulatory uncertainty and delays and other impacts, any of which could adversely impact our business and operations.</w:t>
      </w:r>
    </w:p>
    <w:p>
      <w:pPr>
        <w:spacing w:after="0" w:line="140" w:lineRule="exact"/>
        <w:rPr>
          <w:sz w:val="20"/>
          <w:szCs w:val="20"/>
          <w:color w:val="auto"/>
        </w:rPr>
      </w:pPr>
    </w:p>
    <w:p>
      <w:pPr>
        <w:ind w:firstLine="347"/>
        <w:spacing w:after="0" w:line="290" w:lineRule="auto"/>
        <w:rPr>
          <w:sz w:val="20"/>
          <w:szCs w:val="20"/>
          <w:color w:val="auto"/>
        </w:rPr>
      </w:pPr>
      <w:r>
        <w:rPr>
          <w:rFonts w:ascii="Arial" w:cs="Arial" w:eastAsia="Arial" w:hAnsi="Arial"/>
          <w:sz w:val="14"/>
          <w:szCs w:val="14"/>
          <w:color w:val="auto"/>
        </w:rPr>
        <w:t>Finally, there is currently litigation ongoing challenging FDA's approval of another company's drug product, mifepristone. Depending on the outcome of this litigation, our ability to develop new drug product candidates and to maintain approval of existing drug products could be delayed, undermined or subject to protracted litigation.</w:t>
      </w:r>
    </w:p>
    <w:p>
      <w:pPr>
        <w:spacing w:after="0" w:line="120"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0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Failure to obtain marketing approval in foreign jurisdictions would prevent our product candidates from being marketed outside of the United States and may limit our ability to generate revenue from product sales.</w:t>
      </w:r>
    </w:p>
    <w:p>
      <w:pPr>
        <w:spacing w:after="0" w:line="21" w:lineRule="exact"/>
        <w:rPr>
          <w:sz w:val="20"/>
          <w:szCs w:val="20"/>
          <w:color w:val="auto"/>
        </w:rPr>
      </w:pPr>
    </w:p>
    <w:p>
      <w:pPr>
        <w:ind w:right="540" w:firstLine="509"/>
        <w:spacing w:after="0" w:line="290" w:lineRule="auto"/>
        <w:rPr>
          <w:sz w:val="20"/>
          <w:szCs w:val="20"/>
          <w:color w:val="auto"/>
        </w:rPr>
      </w:pPr>
      <w:r>
        <w:rPr>
          <w:rFonts w:ascii="Arial" w:cs="Arial" w:eastAsia="Arial" w:hAnsi="Arial"/>
          <w:sz w:val="14"/>
          <w:szCs w:val="14"/>
          <w:color w:val="auto"/>
        </w:rPr>
        <w:t>In order to market and sell our products in the EU and in other jurisdictions outside of the United States, we, and any collaborators, must obtain separate marketing approvals and comply with numerous and varying</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31" w:right="359" w:bottom="1440" w:gutter="0" w:footer="0" w:header="0"/>
        </w:sectPr>
      </w:pPr>
    </w:p>
    <w:bookmarkStart w:id="97" w:name="page98"/>
    <w:bookmarkEnd w:id="97"/>
    <w:p>
      <w:pPr>
        <w:jc w:val="both"/>
        <w:spacing w:after="0" w:line="262" w:lineRule="auto"/>
        <w:rPr>
          <w:sz w:val="20"/>
          <w:szCs w:val="20"/>
          <w:color w:val="auto"/>
        </w:rPr>
      </w:pPr>
      <w:r>
        <w:rPr>
          <w:rFonts w:ascii="Arial" w:cs="Arial" w:eastAsia="Arial" w:hAnsi="Arial"/>
          <w:sz w:val="14"/>
          <w:szCs w:val="14"/>
          <w:color w:val="auto"/>
        </w:rPr>
        <w:t>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and any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w:t>
      </w:r>
    </w:p>
    <w:p>
      <w:pPr>
        <w:spacing w:after="0" w:line="140"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any collaborators and could delay or prevent the introduction of our product candidates in certain countries. In addition, if we or any collaborators fail to obtain the non-U.S. approvals required to market our product candidates outside the United States or if we or any collaborators fail to comply with applicable non-U.S. regulatory requirements, our target market will be reduced and our ability to realize the full market potential of our product candidates will be harmed and our business, financial condition, results of operations and prospects may be adversely affected.</w:t>
      </w:r>
    </w:p>
    <w:p>
      <w:pPr>
        <w:spacing w:after="0" w:line="142"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United Kingdom market (i.e., Great Britain and Northern Ireland). On April 28, 2025, the UK Parliament adopted amendments to improve and strengthen the United Kingdom’s clinical trials regulatory regime; they will take effect on April 28, 2026. These changes were needed since the current United Kingdom requirements are based upon the now-repealed EU Clinical Trials Directive (2001/20/EC), which has been replaced by the CTR. Since the United Kingdom left the EU prior to the date on which the EU CTR took effect, the UK legal framework did not benefit from the same revisions as occurred at EU level.</w:t>
      </w:r>
    </w:p>
    <w:p>
      <w:pPr>
        <w:spacing w:after="0" w:line="142"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In addition, as of January 1, 2025,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spacing w:after="0" w:line="163"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On</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8 years of data exclusivity and one year of market exclusivity with possible extensions for new indications up to a maximum of 11 years total. There will likely be a transition period of 24 months, with the changes taking effect in mid-2028.</w:t>
      </w:r>
    </w:p>
    <w:p>
      <w:pPr>
        <w:spacing w:after="0" w:line="138"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We expect that we will be subject to additional risks in commercializing any of our product candidates that receive marketing approval outside the United States, including tariffs, trade barriers and regulatory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98" w:name="page99"/>
    <w:bookmarkEnd w:id="98"/>
    <w:p>
      <w:pPr>
        <w:ind w:right="20"/>
        <w:spacing w:after="0" w:line="271" w:lineRule="auto"/>
        <w:rPr>
          <w:sz w:val="20"/>
          <w:szCs w:val="20"/>
          <w:color w:val="auto"/>
        </w:rPr>
      </w:pPr>
      <w:r>
        <w:rPr>
          <w:rFonts w:ascii="Arial" w:cs="Arial" w:eastAsia="Arial" w:hAnsi="Arial"/>
          <w:sz w:val="14"/>
          <w:szCs w:val="14"/>
          <w:color w:val="auto"/>
        </w:rPr>
        <w:t>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seek certain designations for our product candidates, including Breakthrough Therapy, Fast Track and Priority Review, designations in the United States, but we might not receive such designations, and even if we do, such designations may not lead to a faster development or regulatory review or approval process.</w:t>
      </w:r>
    </w:p>
    <w:p>
      <w:pPr>
        <w:spacing w:after="0" w:line="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4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In the first quarter of 2024, the FDA granted Fast Track designation for the investigation of vepdegestrant for monotherapy in the treatment of adults with ER+/HER- locally advanced or metastatic breast cancer previously treated with endocrine based therapy.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may also seek a priority review designation for one or more of our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w:t>
      </w:r>
    </w:p>
    <w:p>
      <w:pPr>
        <w:spacing w:after="0" w:line="134" w:lineRule="exact"/>
        <w:rPr>
          <w:sz w:val="20"/>
          <w:szCs w:val="20"/>
          <w:color w:val="auto"/>
        </w:rPr>
      </w:pPr>
    </w:p>
    <w:p>
      <w:pPr>
        <w:ind w:firstLine="509"/>
        <w:spacing w:after="0" w:line="264" w:lineRule="auto"/>
        <w:rPr>
          <w:sz w:val="20"/>
          <w:szCs w:val="20"/>
          <w:color w:val="auto"/>
        </w:rPr>
      </w:pPr>
      <w:r>
        <w:rPr>
          <w:rFonts w:ascii="Arial" w:cs="Arial" w:eastAsia="Arial" w:hAnsi="Arial"/>
          <w:sz w:val="14"/>
          <w:szCs w:val="14"/>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as we have with the investigation of vepdegestrant for monotherapy in the treatment of adults with ER+/HER- locally advanced or metastatic breast cancer previously treated with endocrine based therapy, the receipt of such designation for a product candidate may not result in a faster development or regulatory review or approval process compared to products considered for approval under conventional FDA</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obtain regulatory approval for a product candidate, our products will remain subject to regulatory oversight.</w:t>
      </w:r>
    </w:p>
    <w:p>
      <w:pPr>
        <w:spacing w:after="0" w:line="92" w:lineRule="exact"/>
        <w:rPr>
          <w:sz w:val="20"/>
          <w:szCs w:val="20"/>
          <w:color w:val="auto"/>
        </w:rPr>
      </w:pPr>
    </w:p>
    <w:p>
      <w:pPr>
        <w:jc w:val="both"/>
        <w:ind w:firstLine="509"/>
        <w:spacing w:after="0" w:line="173" w:lineRule="exact"/>
        <w:rPr>
          <w:sz w:val="20"/>
          <w:szCs w:val="20"/>
          <w:color w:val="auto"/>
        </w:rPr>
      </w:pPr>
      <w:r>
        <w:rPr>
          <w:rFonts w:ascii="Arial" w:cs="Arial" w:eastAsia="Arial" w:hAnsi="Arial"/>
          <w:sz w:val="14"/>
          <w:szCs w:val="14"/>
          <w:color w:val="auto"/>
        </w:rPr>
        <w:t>Even if we obtain any regulatory approval for our product candidates, they will be subject to ongoing regulatory requirements for manufacturing, labeling, packaging, storing, advertising, promoting, sampling, record</w:t>
      </w:r>
      <w:r>
        <w:rPr>
          <w:rFonts w:ascii="MS PGothic" w:cs="MS PGothic" w:eastAsia="MS PGothic" w:hAnsi="MS PGothic"/>
          <w:sz w:val="14"/>
          <w:szCs w:val="14"/>
          <w:color w:val="auto"/>
        </w:rPr>
        <w:t>‑</w:t>
      </w:r>
      <w:r>
        <w:rPr>
          <w:rFonts w:ascii="Arial" w:cs="Arial" w:eastAsia="Arial" w:hAnsi="Arial"/>
          <w:sz w:val="14"/>
          <w:szCs w:val="14"/>
          <w:color w:val="auto"/>
        </w:rPr>
        <w:t>keeping and submitting safety and other post</w:t>
      </w:r>
      <w:r>
        <w:rPr>
          <w:rFonts w:ascii="MS PGothic" w:cs="MS PGothic" w:eastAsia="MS PGothic" w:hAnsi="MS PGothic"/>
          <w:sz w:val="14"/>
          <w:szCs w:val="14"/>
          <w:color w:val="auto"/>
        </w:rPr>
        <w:t>‑</w:t>
      </w:r>
      <w:r>
        <w:rPr>
          <w:rFonts w:ascii="Arial" w:cs="Arial" w:eastAsia="Arial" w:hAnsi="Arial"/>
          <w:sz w:val="14"/>
          <w:szCs w:val="14"/>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4"/>
          <w:szCs w:val="14"/>
          <w:color w:val="auto"/>
        </w:rPr>
        <w:t>‑</w:t>
      </w:r>
      <w:r>
        <w:rPr>
          <w:rFonts w:ascii="Arial" w:cs="Arial" w:eastAsia="Arial" w:hAnsi="Arial"/>
          <w:sz w:val="14"/>
          <w:szCs w:val="14"/>
          <w:color w:val="auto"/>
        </w:rPr>
        <w:t>marketing testing, including post-marketing clinical trials, and surveillance to monitor the quality, safety and efficacy of the product. For example, the holder of an approved NDA is obligated to monitor and report adverse events and any failure of a product to meet the specifications in the NDA. FDA guidance advises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9" w:name="page100"/>
    <w:bookmarkEnd w:id="99"/>
    <w:p>
      <w:pPr>
        <w:jc w:val="both"/>
        <w:spacing w:after="0" w:line="186" w:lineRule="exact"/>
        <w:rPr>
          <w:sz w:val="20"/>
          <w:szCs w:val="20"/>
          <w:color w:val="auto"/>
        </w:rPr>
      </w:pPr>
      <w:r>
        <w:rPr>
          <w:rFonts w:ascii="Arial" w:cs="Arial" w:eastAsia="Arial" w:hAnsi="Arial"/>
          <w:sz w:val="14"/>
          <w:szCs w:val="14"/>
          <w:color w:val="auto"/>
        </w:rPr>
        <w:t>that patients treated with some types of gene therapy undergo follow</w:t>
      </w:r>
      <w:r>
        <w:rPr>
          <w:rFonts w:ascii="MS PGothic" w:cs="MS PGothic" w:eastAsia="MS PGothic" w:hAnsi="MS PGothic"/>
          <w:sz w:val="14"/>
          <w:szCs w:val="14"/>
          <w:color w:val="auto"/>
        </w:rPr>
        <w:t>‑</w:t>
      </w:r>
      <w:r>
        <w:rPr>
          <w:rFonts w:ascii="Arial" w:cs="Arial" w:eastAsia="Arial" w:hAnsi="Arial"/>
          <w:sz w:val="14"/>
          <w:szCs w:val="14"/>
          <w:color w:val="auto"/>
        </w:rPr>
        <w:t>up observations for potential adverse events for as long as 15 years. The holder of an approved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product, such as AEs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we fail to comply with applicable regulatory requirements following approval of any of our product candidates, a regulatory authority may:</w:t>
      </w:r>
    </w:p>
    <w:p>
      <w:pPr>
        <w:spacing w:after="0" w:line="116" w:lineRule="exact"/>
        <w:rPr>
          <w:sz w:val="20"/>
          <w:szCs w:val="20"/>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issue a warning letter asserting that we are in violation of the law;</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seek an injunction or impose administrative, civil or criminal penalties or monetary fines;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suspend or withdraw regulatory approval;</w:t>
      </w:r>
    </w:p>
    <w:p>
      <w:pPr>
        <w:spacing w:after="0" w:line="101"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suspend any ongoing clinical trials;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refuse to approve a pending NDA or comparable foreign marketing application, or any supplements thereto, submitted by us or our collaboration partners;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restrict the marketing or manufacturing of the product;</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seize or detain the product or otherwise require the withdrawal of the product from the market;</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refuse to permit the import or export of products; or</w:t>
      </w:r>
    </w:p>
    <w:p>
      <w:pPr>
        <w:spacing w:after="0" w:line="101" w:lineRule="exact"/>
        <w:rPr>
          <w:rFonts w:ascii="Arial" w:cs="Arial" w:eastAsia="Arial" w:hAnsi="Arial"/>
          <w:sz w:val="17"/>
          <w:szCs w:val="17"/>
          <w:color w:val="auto"/>
        </w:rPr>
      </w:pPr>
    </w:p>
    <w:p>
      <w:pPr>
        <w:ind w:left="760" w:hanging="246"/>
        <w:spacing w:after="0"/>
        <w:tabs>
          <w:tab w:leader="none" w:pos="760" w:val="left"/>
        </w:tabs>
        <w:numPr>
          <w:ilvl w:val="0"/>
          <w:numId w:val="62"/>
        </w:numPr>
        <w:rPr>
          <w:rFonts w:ascii="Arial" w:cs="Arial" w:eastAsia="Arial" w:hAnsi="Arial"/>
          <w:sz w:val="17"/>
          <w:szCs w:val="17"/>
          <w:color w:val="auto"/>
        </w:rPr>
      </w:pPr>
      <w:r>
        <w:rPr>
          <w:rFonts w:ascii="Arial" w:cs="Arial" w:eastAsia="Arial" w:hAnsi="Arial"/>
          <w:sz w:val="14"/>
          <w:szCs w:val="14"/>
          <w:color w:val="auto"/>
        </w:rPr>
        <w:t>refuse to allow us to enter into supply contracts, including government contracts.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3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EMA and other regulatory authorities actively enforce the laws and regulations prohibiting the promotion of off-label uses.</w:t>
      </w:r>
    </w:p>
    <w:p>
      <w:pPr>
        <w:spacing w:after="0" w:line="18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4"/>
          <w:szCs w:val="14"/>
          <w:color w:val="auto"/>
        </w:rPr>
        <w:t>We must also comply with requirements concerning advertising and promotion for any of our product candidates for which we obtain marketing approval. Thus, we will not be able to promote any products we develop for indications or uses for which they are not approved. The FDA and other U.S. or foreign agencies, including the DOJ, closely</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w:t>
      </w:r>
    </w:p>
    <w:p>
      <w:pPr>
        <w:spacing w:after="0"/>
        <w:rPr>
          <w:sz w:val="20"/>
          <w:szCs w:val="20"/>
          <w:color w:val="auto"/>
        </w:rPr>
      </w:pPr>
      <w:r>
        <w:rPr>
          <w:rFonts w:ascii="Arial" w:cs="Arial" w:eastAsia="Arial" w:hAnsi="Arial"/>
          <w:sz w:val="14"/>
          <w:szCs w:val="14"/>
          <w:color w:val="auto"/>
        </w:rPr>
        <w:t>collaborators communicate about any of our product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100" w:name="page101"/>
    <w:bookmarkEnd w:id="100"/>
    <w:p>
      <w:pPr>
        <w:ind w:right="60"/>
        <w:spacing w:after="0" w:line="260" w:lineRule="auto"/>
        <w:rPr>
          <w:sz w:val="20"/>
          <w:szCs w:val="20"/>
          <w:color w:val="auto"/>
        </w:rPr>
      </w:pPr>
      <w:r>
        <w:rPr>
          <w:rFonts w:ascii="Arial" w:cs="Arial" w:eastAsia="Arial" w:hAnsi="Arial"/>
          <w:sz w:val="14"/>
          <w:szCs w:val="14"/>
          <w:color w:val="auto"/>
        </w:rPr>
        <w:t>candidates for which we, or they, receive marketing approval in a way that regulators assert goes beyond their approved indications, we, or they, may be subject to warnings or enforcement action for off-label marketing. In addition, following a memorandum from the President regarding disclosure of risks in direct-to-consumer prescription drug advertising,</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FDA indicated it would increase enforcement on this topic. Alleged violations of the FDCA or other statutes, including the False Claims Act, or the FCA, relating to the promotion and advertising of prescription drugs as well as an increase in enforcement may lead to more investigations or allegations of violations of federal and state health care fraud and abuse laws and state consumer protection laws, which could put us and other drug companies at increased risk for allegations of non-compliance.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will also need to carefully navigate the FDA’s various regulations, guidance and policies, regarding communication about products in development and distribution of</w:t>
      </w:r>
    </w:p>
    <w:p>
      <w:pPr>
        <w:spacing w:after="0" w:line="12"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scientific information on unapproved uses of products to healthcare providers. For example, the Pre-Approval Information Exchange Act was enacted in December 2022, which allows sponsors of products that have not been approved may proactively communicate to payors certain information about products in development to help expedite patient access</w:t>
      </w:r>
    </w:p>
    <w:p>
      <w:pPr>
        <w:ind w:right="120"/>
        <w:spacing w:after="0" w:line="245" w:lineRule="auto"/>
        <w:rPr>
          <w:sz w:val="20"/>
          <w:szCs w:val="20"/>
          <w:color w:val="auto"/>
        </w:rPr>
      </w:pPr>
      <w:r>
        <w:rPr>
          <w:rFonts w:ascii="Arial" w:cs="Arial" w:eastAsia="Arial" w:hAnsi="Arial"/>
          <w:sz w:val="14"/>
          <w:szCs w:val="14"/>
          <w:color w:val="auto"/>
        </w:rPr>
        <w:t>upon product approval. In addition,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Violations of the FDCA and other statutes, including the False Claims Act, relating to the promotion and advertising of prescription products may lead to investigations and</w:t>
      </w: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enforcement actions alleging violations of federal and state health care fraud and abuse laws, as well as state consumer protection laws. Failure to comply with regulatory requirements, may yield various results, including:</w:t>
      </w:r>
    </w:p>
    <w:p>
      <w:pPr>
        <w:spacing w:after="0" w:line="58" w:lineRule="exact"/>
        <w:rPr>
          <w:sz w:val="20"/>
          <w:szCs w:val="20"/>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restrictions on such products, manufacturers or manufacturing processes;</w:t>
      </w:r>
    </w:p>
    <w:p>
      <w:pPr>
        <w:spacing w:after="0" w:line="101"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restrictions or warnings on the labeling or marketing of a product;</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restrictions on product distribution or use of a product;</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requirements to conduct post-marketing studies or clinical trials;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warning letters or untitled letters;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withdrawal of the products from the market;</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refusal to approve pending applications or supplements to approved applications that we submit;</w:t>
      </w:r>
    </w:p>
    <w:p>
      <w:pPr>
        <w:spacing w:after="0" w:line="101"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recall of products;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fines, restitution or disgorgement of profits or revenues;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suspension or withdrawal of marketing approvals;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refusal to permit the import or export of our products;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product seizure or detention;</w:t>
      </w:r>
    </w:p>
    <w:p>
      <w:pPr>
        <w:spacing w:after="0" w:line="101"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injunctions or the imposition of civil or criminal penalties;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damage to relationships with any potential collaborators;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unfavorable press coverage and damage to our reputation; or</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63"/>
        </w:numPr>
        <w:rPr>
          <w:rFonts w:ascii="Arial" w:cs="Arial" w:eastAsia="Arial" w:hAnsi="Arial"/>
          <w:sz w:val="17"/>
          <w:szCs w:val="17"/>
          <w:color w:val="auto"/>
        </w:rPr>
      </w:pPr>
      <w:r>
        <w:rPr>
          <w:rFonts w:ascii="Arial" w:cs="Arial" w:eastAsia="Arial" w:hAnsi="Arial"/>
          <w:sz w:val="14"/>
          <w:szCs w:val="14"/>
          <w:color w:val="auto"/>
        </w:rPr>
        <w:t>litigation involving patients using our products.</w:t>
      </w:r>
    </w:p>
    <w:p>
      <w:pPr>
        <w:spacing w:after="0" w:line="15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Similar restrictions apply to the approval of our products in the EU. The holder of the marketing authorization is required to comply with a range of requirements applicable to the manufacturing, marketing, promotion and sale of medicinal products.</w:t>
      </w:r>
    </w:p>
    <w:p>
      <w:pPr>
        <w:spacing w:after="0" w:line="120" w:lineRule="exact"/>
        <w:rPr>
          <w:sz w:val="20"/>
          <w:szCs w:val="20"/>
          <w:color w:val="auto"/>
        </w:rPr>
      </w:pPr>
    </w:p>
    <w:p>
      <w:pPr>
        <w:ind w:right="260" w:firstLine="509"/>
        <w:spacing w:after="0" w:line="290" w:lineRule="auto"/>
        <w:rPr>
          <w:sz w:val="20"/>
          <w:szCs w:val="20"/>
          <w:color w:val="auto"/>
        </w:rPr>
      </w:pPr>
      <w:r>
        <w:rPr>
          <w:rFonts w:ascii="Arial" w:cs="Arial" w:eastAsia="Arial" w:hAnsi="Arial"/>
          <w:sz w:val="14"/>
          <w:szCs w:val="14"/>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101" w:name="page102"/>
    <w:bookmarkEnd w:id="101"/>
    <w:p>
      <w:pPr>
        <w:ind w:right="60"/>
        <w:spacing w:after="0" w:line="271" w:lineRule="auto"/>
        <w:rPr>
          <w:sz w:val="20"/>
          <w:szCs w:val="20"/>
          <w:color w:val="auto"/>
        </w:rPr>
      </w:pPr>
      <w:r>
        <w:rPr>
          <w:rFonts w:ascii="Arial" w:cs="Arial" w:eastAsia="Arial" w:hAnsi="Arial"/>
          <w:sz w:val="14"/>
          <w:szCs w:val="14"/>
          <w:color w:val="auto"/>
        </w:rPr>
        <w:t>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relationships with health care providers, physicians and third-party payors will be subject to applicable anti-kickback, fraud and abuse and other health care laws and regulations, which could expose us to civil, criminal and administrative sanctions, contractual damages, reputational harm and diminished future profits and earnings.</w:t>
      </w:r>
    </w:p>
    <w:p>
      <w:pPr>
        <w:spacing w:after="0" w:line="37" w:lineRule="exact"/>
        <w:rPr>
          <w:sz w:val="20"/>
          <w:szCs w:val="20"/>
          <w:color w:val="auto"/>
        </w:rPr>
      </w:pPr>
    </w:p>
    <w:p>
      <w:pPr>
        <w:ind w:right="180" w:firstLine="509"/>
        <w:spacing w:after="0" w:line="265" w:lineRule="auto"/>
        <w:rPr>
          <w:sz w:val="20"/>
          <w:szCs w:val="20"/>
          <w:color w:val="auto"/>
        </w:rPr>
      </w:pPr>
      <w:r>
        <w:rPr>
          <w:rFonts w:ascii="Arial" w:cs="Arial" w:eastAsia="Arial" w:hAnsi="Arial"/>
          <w:sz w:val="14"/>
          <w:szCs w:val="14"/>
          <w:color w:val="auto"/>
        </w:rPr>
        <w:t>Health care providers, physicians and third-party payors will play a primary role in the recommendation and prescription of any drugs for which we obtain marketing approval. Our future arrangements with third-party payors, health care providers and physicians may expose us to broadly applicable state and federal fraud and abuse and other health care laws and regulations that may constrain the business or financial arrangements and relationships through which we market, sell and distribute any drugs for which we obtain marketing approval. These include the following:</w:t>
      </w:r>
    </w:p>
    <w:p>
      <w:pPr>
        <w:spacing w:after="0" w:line="53" w:lineRule="exact"/>
        <w:rPr>
          <w:sz w:val="20"/>
          <w:szCs w:val="20"/>
          <w:color w:val="auto"/>
        </w:rPr>
      </w:pPr>
    </w:p>
    <w:p>
      <w:pPr>
        <w:ind w:left="760" w:hanging="246"/>
        <w:spacing w:after="0" w:line="265"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Anti-Kickback Statute, </w:t>
      </w:r>
      <w:r>
        <w:rPr>
          <w:rFonts w:ascii="Arial" w:cs="Arial" w:eastAsia="Arial" w:hAnsi="Arial"/>
          <w:sz w:val="14"/>
          <w:szCs w:val="14"/>
          <w:color w:val="auto"/>
        </w:rPr>
        <w:t>which prohibits, among other things, persons and entities from knowingly and willfully soliciting, offering, paying, or receiving remuneration,</w:t>
      </w:r>
      <w:r>
        <w:rPr>
          <w:rFonts w:ascii="Arial" w:cs="Arial" w:eastAsia="Arial" w:hAnsi="Arial"/>
          <w:sz w:val="14"/>
          <w:szCs w:val="14"/>
          <w:i w:val="1"/>
          <w:iCs w:val="1"/>
          <w:color w:val="auto"/>
        </w:rPr>
        <w:t xml:space="preserve"> </w:t>
      </w:r>
      <w:r>
        <w:rPr>
          <w:rFonts w:ascii="Arial" w:cs="Arial" w:eastAsia="Arial" w:hAnsi="Arial"/>
          <w:sz w:val="14"/>
          <w:szCs w:val="14"/>
          <w:color w:val="auto"/>
        </w:rPr>
        <w:t>directly or indirectly, in cash or in kind, to induce or reward either the referral of an individual for, or the purchasing, ordering, leasing, arranging for, or recommending the purchasing, ordering, or leasing of, any good or service for which payment may be made, in whole or in part, under a federal health care program such as Medicare or Medicaid;</w:t>
      </w:r>
    </w:p>
    <w:p>
      <w:pPr>
        <w:spacing w:after="0" w:line="52" w:lineRule="exact"/>
        <w:rPr>
          <w:rFonts w:ascii="Arial" w:cs="Arial" w:eastAsia="Arial" w:hAnsi="Arial"/>
          <w:sz w:val="14"/>
          <w:szCs w:val="14"/>
          <w:color w:val="auto"/>
        </w:rPr>
      </w:pPr>
    </w:p>
    <w:p>
      <w:pPr>
        <w:ind w:left="760" w:right="20" w:hanging="246"/>
        <w:spacing w:after="0" w:line="265"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False Claims Act </w:t>
      </w:r>
      <w:r>
        <w:rPr>
          <w:rFonts w:ascii="Arial" w:cs="Arial" w:eastAsia="Arial" w:hAnsi="Arial"/>
          <w:sz w:val="14"/>
          <w:szCs w:val="14"/>
          <w:color w:val="auto"/>
        </w:rPr>
        <w:t>- the federal civil and criminal false claims laws, including the civil False Claims Act, and Civil Monetary Penalties Law, which prohibit individuals or</w:t>
      </w:r>
      <w:r>
        <w:rPr>
          <w:rFonts w:ascii="Arial" w:cs="Arial" w:eastAsia="Arial" w:hAnsi="Arial"/>
          <w:sz w:val="14"/>
          <w:szCs w:val="14"/>
          <w:i w:val="1"/>
          <w:iCs w:val="1"/>
          <w:color w:val="auto"/>
        </w:rPr>
        <w:t xml:space="preserve"> </w:t>
      </w:r>
      <w:r>
        <w:rPr>
          <w:rFonts w:ascii="Arial" w:cs="Arial" w:eastAsia="Arial" w:hAnsi="Arial"/>
          <w:sz w:val="14"/>
          <w:szCs w:val="14"/>
          <w:color w:val="auto"/>
        </w:rPr>
        <w:t>entities from, among other things, 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 or knowingly concealing or knowingly and improperly avoiding or decreasing an obligation to pay money to the federal government;</w:t>
      </w:r>
    </w:p>
    <w:p>
      <w:pPr>
        <w:spacing w:after="0" w:line="52" w:lineRule="exact"/>
        <w:rPr>
          <w:rFonts w:ascii="Arial" w:cs="Arial" w:eastAsia="Arial" w:hAnsi="Arial"/>
          <w:sz w:val="14"/>
          <w:szCs w:val="14"/>
          <w:color w:val="auto"/>
        </w:rPr>
      </w:pPr>
    </w:p>
    <w:p>
      <w:pPr>
        <w:ind w:left="760" w:right="160" w:hanging="246"/>
        <w:spacing w:after="0" w:line="271"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HIPAA - </w:t>
      </w:r>
      <w:r>
        <w:rPr>
          <w:rFonts w:ascii="Arial" w:cs="Arial" w:eastAsia="Arial" w:hAnsi="Arial"/>
          <w:sz w:val="14"/>
          <w:szCs w:val="14"/>
          <w:color w:val="auto"/>
        </w:rPr>
        <w:t>the federal Health Insurance Portability and Accountability Act of 1996, or HIPAA, which created additional federal criminal statutes that prohibit, among other</w:t>
      </w:r>
      <w:r>
        <w:rPr>
          <w:rFonts w:ascii="Arial" w:cs="Arial" w:eastAsia="Arial" w:hAnsi="Arial"/>
          <w:sz w:val="14"/>
          <w:szCs w:val="14"/>
          <w:i w:val="1"/>
          <w:iCs w:val="1"/>
          <w:color w:val="auto"/>
        </w:rPr>
        <w:t xml:space="preserve"> </w:t>
      </w:r>
      <w:r>
        <w:rPr>
          <w:rFonts w:ascii="Arial" w:cs="Arial" w:eastAsia="Arial" w:hAnsi="Arial"/>
          <w:sz w:val="14"/>
          <w:szCs w:val="14"/>
          <w:color w:val="auto"/>
        </w:rPr>
        <w:t>things, executing a scheme to defraud any health care benefit program or making false statements relating to health care matters, and apply regardless of the payor (e.g., public or private);</w:t>
      </w:r>
    </w:p>
    <w:p>
      <w:pPr>
        <w:spacing w:after="0" w:line="48" w:lineRule="exact"/>
        <w:rPr>
          <w:rFonts w:ascii="Arial" w:cs="Arial" w:eastAsia="Arial" w:hAnsi="Arial"/>
          <w:sz w:val="14"/>
          <w:szCs w:val="14"/>
          <w:color w:val="auto"/>
        </w:rPr>
      </w:pPr>
    </w:p>
    <w:p>
      <w:pPr>
        <w:ind w:left="760" w:right="120" w:hanging="246"/>
        <w:spacing w:after="0" w:line="271"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HIPAA and HITECH - </w:t>
      </w:r>
      <w:r>
        <w:rPr>
          <w:rFonts w:ascii="Arial" w:cs="Arial" w:eastAsia="Arial" w:hAnsi="Arial"/>
          <w:sz w:val="14"/>
          <w:szCs w:val="14"/>
          <w:color w:val="auto"/>
        </w:rPr>
        <w:t>HIPAA, as amended by the Health Information Technology for Economic and Clinical Health Act, or HITECH, and their implementing regulations,</w:t>
      </w:r>
      <w:r>
        <w:rPr>
          <w:rFonts w:ascii="Arial" w:cs="Arial" w:eastAsia="Arial" w:hAnsi="Arial"/>
          <w:sz w:val="14"/>
          <w:szCs w:val="14"/>
          <w:i w:val="1"/>
          <w:iCs w:val="1"/>
          <w:color w:val="auto"/>
        </w:rPr>
        <w:t xml:space="preserve"> </w:t>
      </w:r>
      <w:r>
        <w:rPr>
          <w:rFonts w:ascii="Arial" w:cs="Arial" w:eastAsia="Arial" w:hAnsi="Arial"/>
          <w:sz w:val="14"/>
          <w:szCs w:val="14"/>
          <w:color w:val="auto"/>
        </w:rPr>
        <w:t>which impose obligations on HIPAA covered entities and their business associates, including mandatory contractual terms and required implementation of administrative, physical and technical safeguards to maintain the privacy and security of individually identifiable health information;</w:t>
      </w:r>
    </w:p>
    <w:p>
      <w:pPr>
        <w:spacing w:after="0" w:line="48" w:lineRule="exact"/>
        <w:rPr>
          <w:rFonts w:ascii="Arial" w:cs="Arial" w:eastAsia="Arial" w:hAnsi="Arial"/>
          <w:sz w:val="14"/>
          <w:szCs w:val="14"/>
          <w:color w:val="auto"/>
        </w:rPr>
      </w:pPr>
    </w:p>
    <w:p>
      <w:pPr>
        <w:ind w:left="760" w:right="20" w:hanging="246"/>
        <w:spacing w:after="0" w:line="262"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Transparency Requirements </w:t>
      </w:r>
      <w:r>
        <w:rPr>
          <w:rFonts w:ascii="Arial" w:cs="Arial" w:eastAsia="Arial" w:hAnsi="Arial"/>
          <w:sz w:val="14"/>
          <w:szCs w:val="14"/>
          <w:color w:val="auto"/>
        </w:rPr>
        <w:t>- the federal physician transparency requirements known as the Physician Payments Sunshine Act, under the Patient Protection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ACA, which requires manufacturers of drugs, medical devices, biological and medical supplies covered by Medicare, Medicaid, or State Children’s Health Insurance Program to report annually to the CMS within the United States Department of Health and Human Services,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54" w:lineRule="exact"/>
        <w:rPr>
          <w:rFonts w:ascii="Arial" w:cs="Arial" w:eastAsia="Arial" w:hAnsi="Arial"/>
          <w:sz w:val="14"/>
          <w:szCs w:val="14"/>
          <w:color w:val="auto"/>
        </w:rPr>
      </w:pPr>
    </w:p>
    <w:p>
      <w:pPr>
        <w:ind w:left="760" w:right="80" w:hanging="246"/>
        <w:spacing w:after="0" w:line="271"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Analogous State, Local and Foreign Laws </w:t>
      </w:r>
      <w:r>
        <w:rPr>
          <w:rFonts w:ascii="Arial" w:cs="Arial" w:eastAsia="Arial" w:hAnsi="Arial"/>
          <w:sz w:val="14"/>
          <w:szCs w:val="14"/>
          <w:color w:val="auto"/>
        </w:rPr>
        <w:t>- analogous state, local and foreign fraud and abuse laws and regulations, such as state anti-kickback and false claims laws,</w:t>
      </w:r>
      <w:r>
        <w:rPr>
          <w:rFonts w:ascii="Arial" w:cs="Arial" w:eastAsia="Arial" w:hAnsi="Arial"/>
          <w:sz w:val="14"/>
          <w:szCs w:val="14"/>
          <w:i w:val="1"/>
          <w:iCs w:val="1"/>
          <w:color w:val="auto"/>
        </w:rPr>
        <w:t xml:space="preserve"> </w:t>
      </w:r>
      <w:r>
        <w:rPr>
          <w:rFonts w:ascii="Arial" w:cs="Arial" w:eastAsia="Arial" w:hAnsi="Arial"/>
          <w:sz w:val="14"/>
          <w:szCs w:val="14"/>
          <w:color w:val="auto"/>
        </w:rPr>
        <w:t>which may be broader than similar federal laws, can apply to claims involving health care items or services regardless of payor, and are enforced by many different federal and state agencies as well as through private actions.</w:t>
      </w:r>
    </w:p>
    <w:p>
      <w:pPr>
        <w:spacing w:after="0" w:line="134" w:lineRule="exact"/>
        <w:rPr>
          <w:sz w:val="20"/>
          <w:szCs w:val="20"/>
          <w:color w:val="auto"/>
        </w:rPr>
      </w:pPr>
    </w:p>
    <w:p>
      <w:pPr>
        <w:jc w:val="both"/>
        <w:ind w:right="200" w:firstLine="509"/>
        <w:spacing w:after="0" w:line="271" w:lineRule="auto"/>
        <w:rPr>
          <w:sz w:val="20"/>
          <w:szCs w:val="20"/>
          <w:color w:val="auto"/>
        </w:rPr>
      </w:pPr>
      <w:r>
        <w:rPr>
          <w:rFonts w:ascii="Arial" w:cs="Arial" w:eastAsia="Arial" w:hAnsi="Arial"/>
          <w:sz w:val="14"/>
          <w:szCs w:val="14"/>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 care providers or marketing expenditures. State and foreign laws also govern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2" w:name="page103"/>
    <w:bookmarkEnd w:id="102"/>
    <w:p>
      <w:pPr>
        <w:spacing w:after="0" w:line="290" w:lineRule="auto"/>
        <w:rPr>
          <w:sz w:val="20"/>
          <w:szCs w:val="20"/>
          <w:color w:val="auto"/>
        </w:rPr>
      </w:pPr>
      <w:r>
        <w:rPr>
          <w:rFonts w:ascii="Arial" w:cs="Arial" w:eastAsia="Arial" w:hAnsi="Arial"/>
          <w:sz w:val="14"/>
          <w:szCs w:val="14"/>
          <w:color w:val="auto"/>
        </w:rPr>
        <w:t>privacy and security of health information in some circumstances, many of which differ from each other in significant ways and often are not pre-empted by HIPAA, thus complicating compliance efforts.</w:t>
      </w:r>
    </w:p>
    <w:p>
      <w:pPr>
        <w:spacing w:after="0" w:line="120"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and/or administrative penalties, damages, fines, individual imprisonment, disgorgement, exclusion from government funded health care programs, such as Medicare and Medicaid, contractual damages, reputational harm, administrative burdens, diminished profits and future earnings, additional reporting obligations and oversight if we become subject to a corporate integrity agreement or similar agreement to resolve allegations of non-compliance with these laws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43"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 addition,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4"/>
          <w:szCs w:val="14"/>
          <w:b w:val="1"/>
          <w:bCs w:val="1"/>
          <w:i w:val="1"/>
          <w:iCs w:val="1"/>
          <w:color w:val="auto"/>
        </w:rPr>
        <w:t>If the FDA or comparable foreign regulatory authorities approve generic versions of any of our future drug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37"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Once an NDA is approved, the product covered thereby becomes a “reference-listed drug” in the FDA’s publication, “Approved Drug Products with Therapeutic Equivalence Evaluations,” commonly known as the Orange Book. Manufacturers may seek approval of generic versions of reference-listed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142"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The FDA may not approve an ANDA for a generic product until any applicable period of non-patent exclusivity for the reference-listed drug has expired. The FDCA provides a period of five years of non-patent exclusivity for a new drug containing an NCE. For the purposes of this provision, an NCE is a drug that contains an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3" w:name="page104"/>
    <w:bookmarkEnd w:id="103"/>
    <w:p>
      <w:pPr>
        <w:ind w:firstLine="509"/>
        <w:spacing w:after="0" w:line="265" w:lineRule="auto"/>
        <w:rPr>
          <w:sz w:val="20"/>
          <w:szCs w:val="20"/>
          <w:color w:val="auto"/>
        </w:rPr>
      </w:pPr>
      <w:r>
        <w:rPr>
          <w:rFonts w:ascii="Arial" w:cs="Arial" w:eastAsia="Arial" w:hAnsi="Arial"/>
          <w:sz w:val="14"/>
          <w:szCs w:val="14"/>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225" w:lineRule="exact"/>
        <w:rPr>
          <w:sz w:val="20"/>
          <w:szCs w:val="20"/>
          <w:color w:val="auto"/>
        </w:rPr>
      </w:pPr>
    </w:p>
    <w:p>
      <w:pPr>
        <w:jc w:val="both"/>
        <w:ind w:right="320"/>
        <w:spacing w:after="0" w:line="276" w:lineRule="auto"/>
        <w:rPr>
          <w:sz w:val="20"/>
          <w:szCs w:val="20"/>
          <w:color w:val="auto"/>
        </w:rPr>
      </w:pPr>
      <w:r>
        <w:rPr>
          <w:rFonts w:ascii="Arial" w:cs="Arial" w:eastAsia="Arial" w:hAnsi="Arial"/>
          <w:sz w:val="14"/>
          <w:szCs w:val="14"/>
          <w:b w:val="1"/>
          <w:bCs w:val="1"/>
          <w:i w:val="1"/>
          <w:iCs w:val="1"/>
          <w:color w:val="auto"/>
        </w:rPr>
        <w:t>Compliance with global privacy and data security requirements could result in additional costs and liabilities to us or inhibit our ability to collect and process data globally, and our failure or the failure of our collaborators, CROs, CDMOs, contractors, consultants and other third parties to comply with such requirements could subject us to significant fines and penalties, which may have a material adverse effect on our business, financial condition or results of operations.</w:t>
      </w:r>
    </w:p>
    <w:p>
      <w:pPr>
        <w:spacing w:after="0" w:line="37"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GDPR, which took effect across all member states of the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w:t>
      </w:r>
    </w:p>
    <w:p>
      <w:pPr>
        <w:spacing w:after="0" w:line="146"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In addition, the GDPR also 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 Similar laws and regulations have been approved, or are expected to be approved, in several jurisdictions beyond the European Union.</w:t>
      </w:r>
    </w:p>
    <w:p>
      <w:pPr>
        <w:spacing w:after="0" w:line="142" w:lineRule="exact"/>
        <w:rPr>
          <w:sz w:val="20"/>
          <w:szCs w:val="20"/>
          <w:color w:val="auto"/>
        </w:rPr>
      </w:pPr>
    </w:p>
    <w:p>
      <w:pPr>
        <w:ind w:right="20" w:firstLine="509"/>
        <w:spacing w:after="0" w:line="263" w:lineRule="auto"/>
        <w:rPr>
          <w:sz w:val="20"/>
          <w:szCs w:val="20"/>
          <w:color w:val="auto"/>
        </w:rPr>
      </w:pPr>
      <w:r>
        <w:rPr>
          <w:rFonts w:ascii="Arial" w:cs="Arial" w:eastAsia="Arial" w:hAnsi="Arial"/>
          <w:sz w:val="14"/>
          <w:szCs w:val="14"/>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While we were not self-certified under the Privacy Shield, this CJEU decision has led to increased scrutiny on data transfers from the EU to the United States generally and increased our costs of compliance with data privacy legislation as well as our costs of negotiating appropriate privacy and security agreements with our vendors and business partners.</w:t>
      </w:r>
    </w:p>
    <w:p>
      <w:pPr>
        <w:spacing w:after="0" w:line="31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Following the CJEU decision, in October 2022, an executive order implemented the EU-U.S. Data Privacy Framework, which would serve as a replacement to the EU-U.S. Privacy Shield. The European Commission initiated the process to adopt an adequacy decision for the EU-U.S. Data Privacy Framework, or DPF, in December 2022, and has now adopted an adequacy decision to permit data transfers from the European Union to the United States going forward. This development permits data transfers at this point under this framework and more broadly has made international data transfers more straightforward, but these provisions are being challenged in court. The recent election in the United States and the new administration may also impact whether the DPF remains an adequate data transfer framework. The continuing uncertainty around this issue may further impact our business operations in the EU.</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04" w:name="page105"/>
    <w:bookmarkEnd w:id="104"/>
    <w:p>
      <w:pPr>
        <w:ind w:right="40" w:firstLine="509"/>
        <w:spacing w:after="0" w:line="262" w:lineRule="auto"/>
        <w:rPr>
          <w:sz w:val="20"/>
          <w:szCs w:val="20"/>
          <w:color w:val="auto"/>
        </w:rPr>
      </w:pPr>
      <w:r>
        <w:rPr>
          <w:rFonts w:ascii="Arial" w:cs="Arial" w:eastAsia="Arial" w:hAnsi="Arial"/>
          <w:sz w:val="14"/>
          <w:szCs w:val="14"/>
          <w:color w:val="auto"/>
        </w:rPr>
        <w:t>On June 23, 2016, the electorate in the United Kingdom voted in favor of leaving the EU, commonly referred to as Brexit. As with other issues related to Brexit, there are open questions about how personal data will be protected in the United Kingdom and whether personal information can transfer from the EU to the UK. Following the withdrawal of the UK from the EU, the UK Data Protection Act 2018 applies to the processing of personal data that takes place in the United Kingdom and includes parallel obligations to those set forth by GDPR. While the Data Protection Act of 2018 in the United Kingdom that “implements” and complements the GDPR has achieved Royal Assent on May 23, 2018 and is now effective in the United Kingdom, it is unclear whether transfer of data from the EEA to the United Kingdom will remain lawful under the GDPR. The UK government has already</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determined that it considers all 27 EU and EEA member states to be adequate for the purposes of data protection, ensuring that data flows from the United Kingdom to the EU/EEA remain unaffected. In addition, a recent decision from the European Commission appears to deem the United Kingdom as being “essentially adequate” for purposes of data transfer from the EU to the United Kingdom, although this decision may be re-evaluated in the future. The United Kingdom and the United States also have agreed on a framework for personal data to be transferred between the United Kingdom and the United States, called the UK-U.S. Data Bridge. The UK-U.S. Data Bridge may be challenged in the future. Continuing uncertainty about these data transfers, including the possibility of future changes, may impact our business operations.</w:t>
      </w:r>
    </w:p>
    <w:p>
      <w:pPr>
        <w:spacing w:after="0" w:line="140"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There are multiple privacy and data security laws that may impact our business activities in the United States. These laws are evolving and may increase both our obligations and our regulatory risks in the future. In the health care industry generally, under the federal HIPAA, HHS has issued regulations to protect the privacy and security of protected health information, or PHI, used or disclosed by covered entities including certain healthcare providers, health plans and healthcare clearinghouses.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148"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In addition to potential enforcement by the HHS, we could also be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142"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There are also increased restrictions at the federal level relating to transferring sensitive data (including certain kinds of clinical data) outside of the United States to certain foreign countries. The DOJ recently finalized a rule implementing Executive Order 14117, which creates restrictions related to the transfer of sensitive US data to countries such as China. The “Preventing Access to Americans’ Bulk Sensitive Personal Data and United States Government-Related Data by Countries of Concern” regulations establish a new regulatory regime that may have a significant impact in connection with the transfer of sensitive U.S. personal data to “countries of concern” (i.e., China (including Hong Kong and Macau), Cuba, Iran, North Korea, Russia, and Venezuela). This Rule prohibits (1) U.S. data brokers from licensing or otherwise transferring a wide variety of sensitive U.S. persons data to China (among other locations) and (2) all U.S. persons from knowingly engaging in any “covered data transaction” with “countries of concern” or “covered persons” involving</w:t>
      </w:r>
    </w:p>
    <w:p>
      <w:pPr>
        <w:spacing w:after="0" w:line="4"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access to bulk human genomic, epigenomic, proteomic, or transcriptomic data, or with human biospecimens from which such data can be derived. The DOJ Rule defines six categories of “sensitive personal data”: covered personal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identifiers, precise geolocation data, biometric identifiers, human genomic data, personal health data, and personal financial data.</w:t>
      </w:r>
    </w:p>
    <w:p>
      <w:pPr>
        <w:spacing w:after="0" w:line="179"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In addition, the Protecting Americans’ Data from Foreign Adversaries Act, or PADFA, which also passed in 2025 and is now in effect, prohibits data brokers from selling, licensing, transferring, disclosing, trading, or providing access to “personally identifiable sensitive data” of Americans to foreign adversaries, namely China, Russia, Iran, and North Korea, or entities controlled by a foreign adversary. Although the DOJ Rule and the PADFA share a common purpose, the PADFA focuses more on categories of data rather than transactions. The Act includes 16 categories of “sensitive data,” including biometric information, precise geolocation information, and genetic information. Collectively, the DOJ Rule and the PADFA, as well as other similar provisions that may be passed in the future, may create both operational challenges and legal risks for our business.</w:t>
      </w:r>
    </w:p>
    <w:p>
      <w:pPr>
        <w:spacing w:after="0" w:line="140"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4"/>
          <w:szCs w:val="14"/>
          <w:color w:val="auto"/>
        </w:rPr>
        <w:t>New laws also are being considered at the state level. For example, the California Consumer Privacy Act, or CCPA—which went into effect on January 1, 2020—is creating similar risks and obligations as those created by GDPR, though the CCPA does currently exempt certain information collected as part of a clinical trial subject to the Federal Policy for the Protection of Human Subjects, known as the Common Rule. The CCPA also has been amended through a recent referendum in California that creates additional obligations</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beginning in 2023. In addition to California, at least eighteen other states have passed comprehensive privacy laws similar to the CCPA. These laws are either in effect or will go into effect over the next few years.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considering legislation that could go into effect in 2026 and beyond. Congress has also been debating passing a federal privacy law. There are also states that are specifically regulating health information that may affect our business. For example, Washington state passed a health privacy law in 2023 that regulates the collection and sharing of health information,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40"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38" w:lineRule="exact"/>
        <w:rPr>
          <w:sz w:val="20"/>
          <w:szCs w:val="20"/>
          <w:color w:val="auto"/>
        </w:rPr>
      </w:pPr>
    </w:p>
    <w:p>
      <w:pPr>
        <w:ind w:right="280" w:firstLine="509"/>
        <w:spacing w:after="0" w:line="259" w:lineRule="auto"/>
        <w:rPr>
          <w:sz w:val="20"/>
          <w:szCs w:val="20"/>
          <w:color w:val="auto"/>
        </w:rPr>
      </w:pPr>
      <w:r>
        <w:rPr>
          <w:rFonts w:ascii="Arial" w:cs="Arial" w:eastAsia="Arial" w:hAnsi="Arial"/>
          <w:sz w:val="14"/>
          <w:szCs w:val="14"/>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applicable jurisdictions. These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229"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0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6" w:name="page107"/>
    <w:bookmarkEnd w:id="106"/>
    <w:p>
      <w:pPr>
        <w:ind w:right="120"/>
        <w:spacing w:after="0" w:line="290" w:lineRule="auto"/>
        <w:rPr>
          <w:sz w:val="20"/>
          <w:szCs w:val="20"/>
          <w:color w:val="auto"/>
        </w:rPr>
      </w:pPr>
      <w:r>
        <w:rPr>
          <w:rFonts w:ascii="Arial" w:cs="Arial" w:eastAsia="Arial" w:hAnsi="Arial"/>
          <w:sz w:val="14"/>
          <w:szCs w:val="14"/>
          <w:color w:val="auto"/>
        </w:rPr>
        <w:t>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2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prescription drugs purchased through a pharmacy by the elderly and disabled and introduced a new reimbursement methodology based on average sales prices for physician-administered drugs. In addition, this statute provides authority for limiting the number of drugs that will be covered in any therapeutic class, subject to certain exceptions. Cost reduction initiatives and other provisions of this statute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In March 2010, the Patient Protection and Affordable Care Act was signed into law, as amended by the Health Care and Education Affordability Reconciliation Act, or collectively the ACA, which substantially changed the way healthcare is financed by both the government and private insurers.</w:t>
      </w:r>
    </w:p>
    <w:p>
      <w:pPr>
        <w:spacing w:after="0" w:line="143"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remain in effect through 2031. Under current legislation, the actual reductions in Medicare payments may vary up to 4%. The Consolidated Appropriations Act, which was signed into law in December 2022,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142"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Since enactment of the ACA, there have been and continue to be, numerous legal challenges and Congressional actions to repeal and replace provisions of the law. Litigation and legislation over the ACA are likely to continue, with unpredictable and uncertain results. For example, with adoption of the OBBB Act on July 4, 2025, Congress further restricted certain provisions in the ACA by eliminating enhanced premium tax credits, halting provisional coverage, removing repayment caps, reducing subsidies for lawfully present migrants, and tightening enrollment verification requirements.</w:t>
      </w:r>
    </w:p>
    <w:p>
      <w:pPr>
        <w:spacing w:after="0" w:line="138"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In the EU, on December 13, 2021, Regulation No 2021/2282 on Health Technology Assessment, or HTA, amending Directive 2011/24/EU, was adopted, or the HTA Regulation. The HTA Regulation began to apply in January 2025 for oncology and advanced therapy medicinal products, with all new medicinal products set to be incorporated from 2030 onwards. The HTA Regulation intends to boost cooperation among EU member states in assessing health technologies, including new medicinal products as well as certain high-risk medical devices, and provide the basis for cooperation at the EU level for joint clinical assessments in these areas. It foresees a joint clinical assessment, or JCA, to be conducted by EU member states with one uniform clinical assessment of the new medicinal product and will serve as a basis for national HTA procedures of individual EU member states. While individual EU member states will continue to be responsible for assessing non-clinical (e.g., economic, social, ethical) aspects of health technology, and making decisions on pricing and reimbursement, a negative JCA can have a substantial detrimental effect on all pricing and reimbursement in all EU member states.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7" w:name="page108"/>
    <w:bookmarkEnd w:id="107"/>
    <w:p>
      <w:pPr>
        <w:ind w:right="20" w:firstLine="509"/>
        <w:spacing w:after="0" w:line="259" w:lineRule="auto"/>
        <w:rPr>
          <w:sz w:val="20"/>
          <w:szCs w:val="20"/>
          <w:color w:val="auto"/>
        </w:rPr>
      </w:pPr>
      <w:r>
        <w:rPr>
          <w:rFonts w:ascii="Arial" w:cs="Arial" w:eastAsia="Arial" w:hAnsi="Arial"/>
          <w:sz w:val="14"/>
          <w:szCs w:val="14"/>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200" w:lineRule="exact"/>
        <w:rPr>
          <w:sz w:val="20"/>
          <w:szCs w:val="20"/>
          <w:color w:val="auto"/>
        </w:rPr>
      </w:pPr>
    </w:p>
    <w:p>
      <w:pPr>
        <w:spacing w:after="0" w:line="203"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The prices of prescription pharmaceuticals in the United States and foreign jurisdictions are subject to considerable legislative and executive actions and could impact the prices we obtain for our drug products, if and when approved.</w:t>
      </w:r>
    </w:p>
    <w:p>
      <w:pPr>
        <w:spacing w:after="0" w:line="21"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4"/>
          <w:szCs w:val="14"/>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3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In addition, in October 2020, HHS and the FDA published a final rule allowing states and other entities to develop a Section 804 Importation Program to import certain prescription products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Section 804 importation program, or SIP, proposal. The intent of these meetings is to assist states in developing their proposals by further clarifying requirements, enhancing the quality of proposals submitted to the agency and ultimately shortening the review timeline.</w:t>
      </w:r>
    </w:p>
    <w:p>
      <w:pPr>
        <w:spacing w:after="0" w:line="146"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Further,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IRA has been delayed by Congress to January 1, 2032.</w:t>
      </w:r>
    </w:p>
    <w:p>
      <w:pPr>
        <w:spacing w:after="0" w:line="138"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On August 16, 2022, the IRA was signed into law. The legislation has implications for Medicare Part D, which is a program available to individuals who are entitled to Medicare Part A or enrolled in Medicare Part B to give them the option of enrolling in a plan providing outpatient prescription drug coverage.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HHS to implement many of these provisions through guidance, as opposed to regulation, for the initial years.</w:t>
      </w:r>
    </w:p>
    <w:p>
      <w:pPr>
        <w:spacing w:after="0" w:line="14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has published the negotiated prices for the initial ten drugs, which will first be effective in 2026, and has published the list of the next 15 drugs that will have negotiated prices go into effect in 2027. Negotiated prices for 15 additional Part B or Part D drugs will go into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8" w:name="page109"/>
    <w:bookmarkEnd w:id="108"/>
    <w:p>
      <w:pPr>
        <w:ind w:right="40"/>
        <w:spacing w:after="0" w:line="259" w:lineRule="auto"/>
        <w:rPr>
          <w:sz w:val="20"/>
          <w:szCs w:val="20"/>
          <w:color w:val="auto"/>
        </w:rPr>
      </w:pPr>
      <w:r>
        <w:rPr>
          <w:rFonts w:ascii="Arial" w:cs="Arial" w:eastAsia="Arial" w:hAnsi="Arial"/>
          <w:sz w:val="14"/>
          <w:szCs w:val="14"/>
          <w:color w:val="auto"/>
        </w:rPr>
        <w:t>effect in 2028, and negotiated prices for 20 additional Part B or Part D drugs will go into effect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With passage of the One Big Beautiful Bill Act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42"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beneficiaries' out-of-pocket drug costs at an estimated $4,000 a year in 2024 and, thereafter beginning in 2025, at $2,000 a year.</w:t>
      </w:r>
    </w:p>
    <w:p>
      <w:pPr>
        <w:spacing w:after="0" w:line="138"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On June 6, 2023, Merck &amp; Co., Inc., filed a lawsuit against HHS and CMS asserting that, among other things, the IRA’s Drug Price Negotiation Program for Medicare constitutes an uncompensated taking in violation of the Fifth Amendment of the U.S. Constitution. Subsequently, other parties, including the U.S. Chamber of Commerce, or Chamber of Commerce, Bristol Myers Squibb Company, the PhRMA, Astellas Pharma US, Inc., Novo Nordisk Inc., Janssen Pharmaceuticals, Inc., Novartis Pharmaceutical Corporation, AstraZeneca L.P. and Boehringer Ingelheim Pharmaceuticals, Inc. also filed lawsuits in various courts with similar constitutional claims against HHS and CMS.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 of Appeals for the Third Circuit heard arguments in an additional three cases. On May 8, 2025, the U.S. Court of Appeals for the Third Circuit rejected AstraZeneca L.P.’s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w:t>
      </w:r>
    </w:p>
    <w:p>
      <w:pPr>
        <w:spacing w:after="0" w:line="143"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4"/>
          <w:szCs w:val="14"/>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3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April 15, 2025, the President issued an executive order that directs HHS to take steps to reduce the prices of pharmaceutical products. The new executive order repeats many of the proposals advanced during the current President’s first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w:t>
      </w:r>
    </w:p>
    <w:p>
      <w:pPr>
        <w:ind w:right="40"/>
        <w:spacing w:after="0" w:line="257" w:lineRule="auto"/>
        <w:rPr>
          <w:sz w:val="20"/>
          <w:szCs w:val="20"/>
          <w:color w:val="auto"/>
        </w:rPr>
      </w:pPr>
      <w:r>
        <w:rPr>
          <w:rFonts w:ascii="Arial" w:cs="Arial" w:eastAsia="Arial" w:hAnsi="Arial"/>
          <w:sz w:val="14"/>
          <w:szCs w:val="14"/>
          <w:color w:val="auto"/>
        </w:rPr>
        <w:t>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143" w:lineRule="exact"/>
        <w:rPr>
          <w:sz w:val="20"/>
          <w:szCs w:val="20"/>
          <w:color w:val="auto"/>
        </w:rPr>
      </w:pPr>
    </w:p>
    <w:p>
      <w:pPr>
        <w:ind w:right="220" w:firstLine="509"/>
        <w:spacing w:after="0" w:line="271" w:lineRule="auto"/>
        <w:rPr>
          <w:sz w:val="20"/>
          <w:szCs w:val="20"/>
          <w:color w:val="auto"/>
        </w:rPr>
      </w:pPr>
      <w:r>
        <w:rPr>
          <w:rFonts w:ascii="Arial" w:cs="Arial" w:eastAsia="Arial" w:hAnsi="Arial"/>
          <w:sz w:val="14"/>
          <w:szCs w:val="14"/>
          <w:color w:val="auto"/>
        </w:rPr>
        <w:t>Further, on May 12, 2025, the President issued an additional executive order calling on pharmaceutical manufacturers to voluntarily reduce the prices of medicines in the United States. The executive order directs the Secretary of HHS to communicate MFN price targets to pharmaceutical manufacturers to bring prices in line with comparably developed nations. The executive order further provides that if such actions do not lower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9" w:name="page110"/>
    <w:bookmarkEnd w:id="109"/>
    <w:p>
      <w:pPr>
        <w:ind w:right="40"/>
        <w:spacing w:after="0" w:line="260" w:lineRule="auto"/>
        <w:rPr>
          <w:sz w:val="20"/>
          <w:szCs w:val="20"/>
          <w:color w:val="auto"/>
        </w:rPr>
      </w:pPr>
      <w:r>
        <w:rPr>
          <w:rFonts w:ascii="Arial" w:cs="Arial" w:eastAsia="Arial" w:hAnsi="Arial"/>
          <w:sz w:val="14"/>
          <w:szCs w:val="14"/>
          <w:color w:val="auto"/>
        </w:rPr>
        <w:t>costs of pharmaceuticals, the Secretary of HHS would pursue other actions, including proposing a rulemaking that imposes MFN pricing in the United States. Subsequently, on May 20, 2025, HHS indicated that the proposed MFN pricing will apply only to brand products without generic or biosimilar competition and the reference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 The implications of these actions remain unclear and are likely to result in litigation if the administration pursues an MFN regulatory pricing requirement.</w:t>
      </w:r>
    </w:p>
    <w:p>
      <w:pPr>
        <w:spacing w:after="0" w:line="142"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 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 Since that time,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316"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w:t>
      </w:r>
    </w:p>
    <w:p>
      <w:pPr>
        <w:spacing w:after="0" w:line="142"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In other jurisdictions, particularly in the EU, the pricing of prescription pharmaceuticals is subject to governmental control. In these countries, pricing negotiations with governmental authorities can take considerable time after the receipt of marketing approval for a drug.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0" w:name="page111"/>
    <w:bookmarkEnd w:id="110"/>
    <w:p>
      <w:pPr>
        <w:ind w:right="40"/>
        <w:spacing w:after="0" w:line="262" w:lineRule="auto"/>
        <w:rPr>
          <w:sz w:val="20"/>
          <w:szCs w:val="20"/>
          <w:color w:val="auto"/>
        </w:rPr>
      </w:pPr>
      <w:r>
        <w:rPr>
          <w:rFonts w:ascii="Arial" w:cs="Arial" w:eastAsia="Arial" w:hAnsi="Arial"/>
          <w:sz w:val="14"/>
          <w:szCs w:val="14"/>
          <w:color w:val="auto"/>
        </w:rPr>
        <w:t>member states, can further reduce prices, and in certain instances render commercialization in certain markets infeasible or disadvantageous from a financial perspective.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the commercial launch of our products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227"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37"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Our operations are subject to anti-corruption laws, including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are also subject to other laws and regulations governing our international operations, including regulations administered by the governments of the United States, United Kingdom, and authorities in the European Union, including applicable export control regulations, economic sanctions on countries and persons, customs requirements and currency exchange regulations, which we collectively refer to as Trade Control Laws.</w:t>
      </w:r>
    </w:p>
    <w:p>
      <w:pPr>
        <w:spacing w:after="0" w:line="13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including The Nasdaq Stock Market, for violations of the FCPA’s accounting provisions. Likewise, any investigation of any potential violations of the FCPA, the Bribery Act, other anti-corruption laws or Trade Control Laws by U.S., U.K. or other authorities could also have an adverse impact on our reputation, our business, results of operations and financial condition.</w:t>
      </w:r>
    </w:p>
    <w:p>
      <w:pPr>
        <w:spacing w:after="0" w:line="229"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21"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2"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4"/>
          <w:szCs w:val="14"/>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1" w:name="page112"/>
    <w:bookmarkEnd w:id="111"/>
    <w:p>
      <w:pPr>
        <w:jc w:val="both"/>
        <w:ind w:right="140"/>
        <w:spacing w:after="0" w:line="271" w:lineRule="auto"/>
        <w:rPr>
          <w:sz w:val="20"/>
          <w:szCs w:val="20"/>
          <w:color w:val="auto"/>
        </w:rPr>
      </w:pPr>
      <w:r>
        <w:rPr>
          <w:rFonts w:ascii="Arial" w:cs="Arial" w:eastAsia="Arial" w:hAnsi="Arial"/>
          <w:sz w:val="14"/>
          <w:szCs w:val="14"/>
          <w:color w:val="auto"/>
        </w:rPr>
        <w:t>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Social media platforms and AI-based platforms present new risks and challenges to our business.</w:t>
      </w:r>
    </w:p>
    <w:p>
      <w:pPr>
        <w:spacing w:after="0" w:line="92"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61"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Additionally, AI-based platforms, including generative AI, are increasingly being used in the biotechnology and biopharmaceutical industry, including by us. The use of AI platforms by our employees or third parties on which we rely, including our vendors, suppliers and contractors, with access to our proprietary and confidential information, including trade secrets, may continue to increase and may lead to the unauthorized release of such information, in contravention of our internal policies, data protection laws, and other applicable or contractual requirements. The misuse of AI-based platforms or solutions may give rise to liability, lead to the loss of trade secrets or other intellectual property, result in reputational harm, or lead to outcomes with unintended biases or other consequences. The misuse of AI-based platforms or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227"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265"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Our future success depends on our ability to retain key employees, consultants and advisors, as well as our ability to attract, train, retain and motivate qualified personnel.</w:t>
      </w:r>
    </w:p>
    <w:p>
      <w:pPr>
        <w:spacing w:after="0" w:line="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Our ability to compete in the highly competitive biopharmaceuticals industry depends upon our ability to attract, retain and motivate highly skilled and experienced personnel with scientific, medical, regulatory, manufacturing and management skills and experience. Although we have employment agreements with each of our executive officers, each of them may terminate their employment with us at any time. We do not maintain “key person” insurance for any of our executives or other employees.</w:t>
      </w:r>
    </w:p>
    <w:p>
      <w:pPr>
        <w:spacing w:after="0" w:line="325"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Recruiting and retaining qualified scientific, clinical, manufacturing, sales, marketing and market access personnel has been and will continue to be critical to our success. The loss of the services of our executive officers or other key employees could impede the achievement of our research, development and commercialization objectives and seriously harm our ability to successfully implement our business strategy. For example, in July 2025, we announced that John Houston, Ph.D., our Chairperson, President and Chief Executive Officer notified us of his plans to retire from his role as our President and Chief Executive Officer following the search for, and the appointment of, a new Chief Executive Officer. We announced in February 2026 the onboarding of our new Chief Executive Officer and President, Randy Teel, Ph.D. Dr. Teel was also appointed as a member of our board of directors, and Briggs Morrison, M.D., our lead independent director, was appointed as chair of our board of directors. Dr. Houston remains as board member. Any significant leadership change or executive management transition, such as our transition to a new president and chief executive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2" w:name="page113"/>
    <w:bookmarkEnd w:id="112"/>
    <w:p>
      <w:pPr>
        <w:ind w:right="260"/>
        <w:spacing w:after="0" w:line="262" w:lineRule="auto"/>
        <w:rPr>
          <w:sz w:val="20"/>
          <w:szCs w:val="20"/>
          <w:color w:val="auto"/>
        </w:rPr>
      </w:pPr>
      <w:r>
        <w:rPr>
          <w:rFonts w:ascii="Arial" w:cs="Arial" w:eastAsia="Arial" w:hAnsi="Arial"/>
          <w:sz w:val="14"/>
          <w:szCs w:val="14"/>
          <w:color w:val="auto"/>
        </w:rPr>
        <w:t>officer, involves inherent risk and can be difficult to manage. Initially, such changes could be disruptive to our daily operations or relationships with employees and collaborators, make it more difficult to hire and retain key employees or impact our public or market perception, any of which could have a negative impact on our business or share price. In addition, although Dr. Teel was our Chief Business Officer and Dr. Houston remains on the board of directors, management transitions inherently cause some loss of institutional knowledge, which could negatively affect strategy and operation execution during the transitional phase. Management transitions may also create uncertainty and involve a diversion of resources and management attention, which could negatively impact our ability to operate effectively or execute our strategies.</w:t>
      </w:r>
    </w:p>
    <w:p>
      <w:pPr>
        <w:spacing w:after="0" w:line="140" w:lineRule="exact"/>
        <w:rPr>
          <w:sz w:val="20"/>
          <w:szCs w:val="20"/>
          <w:color w:val="auto"/>
        </w:rPr>
      </w:pPr>
    </w:p>
    <w:p>
      <w:pPr>
        <w:ind w:right="300" w:firstLine="509"/>
        <w:spacing w:after="0" w:line="271" w:lineRule="auto"/>
        <w:rPr>
          <w:sz w:val="20"/>
          <w:szCs w:val="20"/>
          <w:color w:val="auto"/>
        </w:rPr>
      </w:pPr>
      <w:r>
        <w:rPr>
          <w:rFonts w:ascii="Arial" w:cs="Arial" w:eastAsia="Arial" w:hAnsi="Arial"/>
          <w:sz w:val="14"/>
          <w:szCs w:val="14"/>
          <w:color w:val="auto"/>
        </w:rPr>
        <w:t>We may also need to grow the size of our organization in the future based on how our organization evolves. Managing future growth will involve implementation and improvement of our managerial, operational and financial systems and procedures and recruitment and training of additional qualified personnel. Any inability to manage growth could delay the execution of our business plans or disrupt our operations.</w:t>
      </w:r>
    </w:p>
    <w:p>
      <w:pPr>
        <w:spacing w:after="0" w:line="134" w:lineRule="exact"/>
        <w:rPr>
          <w:sz w:val="20"/>
          <w:szCs w:val="20"/>
          <w:color w:val="auto"/>
        </w:rPr>
      </w:pPr>
    </w:p>
    <w:p>
      <w:pPr>
        <w:ind w:right="140" w:firstLine="509"/>
        <w:spacing w:after="0" w:line="265" w:lineRule="auto"/>
        <w:rPr>
          <w:sz w:val="20"/>
          <w:szCs w:val="20"/>
          <w:color w:val="auto"/>
        </w:rPr>
      </w:pPr>
      <w:r>
        <w:rPr>
          <w:rFonts w:ascii="Arial" w:cs="Arial" w:eastAsia="Arial" w:hAnsi="Arial"/>
          <w:sz w:val="14"/>
          <w:szCs w:val="14"/>
          <w:color w:val="auto"/>
        </w:rPr>
        <w:t>Furthermore, attracting or replacing executive officers and key employees, consultants and advisors may be difficult and may take an extended period of time because of the limited number of individuals in our industry with the breadth of skills and experience required to successfully develop, gain marketing approval of and commercialize products. For example, we may have difficulty identifying and attracting a qualified candidate to serve as our new chief executive officer which may materially impact our corporate strategy and business.</w:t>
      </w:r>
    </w:p>
    <w:p>
      <w:pPr>
        <w:spacing w:after="0" w:line="1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Our April 2025 and September 2025 workforce reductions could also harm our ability to attract and retain qualified management, scientific, clinical, manufacturing and sales and marketing personnel who are critical to our business. In addition, we may not be able to retain our existing employees or hire new employees quickly enough to meet our needs. At the same time, we may face high turnover, requiring us to expend time and resources to source, train and integrate new employees.</w:t>
      </w:r>
    </w:p>
    <w:p>
      <w:pPr>
        <w:spacing w:after="0" w:line="134"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While we offer remote and hybrid work arrangements, allowing us to seek talent from outside our New Haven headquarters area, we still may not be able to attract or retain qualified personnel in the future due to the intense competition for a limited number of qualified personnel among biopharmaceutical companies. Many of the other biopharmaceutical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We also experience competition for the hiring of scientific and clinical personnel from universities and research institutions. Any or all of these competing factors may limit our ability to continue to attract and retain high quality personnel, which could negatively affect our ability to successfully develop and commercialize our investigational products and to grow our business and operations as currently contemplated.</w:t>
      </w:r>
    </w:p>
    <w:p>
      <w:pPr>
        <w:spacing w:after="0" w:line="316"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In addition, we rely on consultants and advisors, including scientific and clinical advisors, to assist us in formulating our research and development and commercialization strategies. These consultants and advisors may be employed by employers other than us and may have commitments under consulting or advisory contracts with other entities that may limit their availability to us. If we are unable to continue to attract, train, retain and motivate high quality personnel, our ability to pursue our corporate growth strategy will be limited.</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b w:val="1"/>
          <w:bCs w:val="1"/>
          <w:i w:val="1"/>
          <w:iCs w:val="1"/>
          <w:color w:val="auto"/>
        </w:rPr>
        <w:t>Our internal computer systems and those of our collaborators, CROs, CDMOs, contractors, consultants and other third parties are vulnerable to cyber attacks, cyber intrusions and security breaches, which could not only materially disrupt our business operations and result in the loss of confidential information, but could also damage the integrity of our clinical trials, impact our regulatory filings, compromise our ability to protect our intellectual property, and subject us to regulatory actions that could result in significant fines or other penalties.</w:t>
      </w:r>
    </w:p>
    <w:p>
      <w:pPr>
        <w:spacing w:after="0" w:line="128" w:lineRule="exact"/>
        <w:rPr>
          <w:sz w:val="20"/>
          <w:szCs w:val="20"/>
          <w:color w:val="auto"/>
        </w:rPr>
      </w:pPr>
    </w:p>
    <w:p>
      <w:pPr>
        <w:ind w:right="180" w:firstLine="509"/>
        <w:spacing w:after="0" w:line="262" w:lineRule="auto"/>
        <w:rPr>
          <w:sz w:val="20"/>
          <w:szCs w:val="20"/>
          <w:color w:val="auto"/>
        </w:rPr>
      </w:pPr>
      <w:r>
        <w:rPr>
          <w:rFonts w:ascii="Arial" w:cs="Arial" w:eastAsia="Arial" w:hAnsi="Arial"/>
          <w:sz w:val="14"/>
          <w:szCs w:val="14"/>
          <w:color w:val="auto"/>
        </w:rPr>
        <w:t>Our internal computer systems and those of any collaborators, CROs, CDMOs, contractors, consultants or other third parties that we work with,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collaborators and other business partners, or from cyber-attacks by malicious third parties. In recent years, cyber-attacks have increased in their frequency, sophistication and intensity, and have become increasingly difficult, time consuming and costly to detect and we have experienced certain attacks, though minor, related to third-party vendors. Cyber-attacks could include the deployment of</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3" w:name="page114"/>
    <w:bookmarkEnd w:id="113"/>
    <w:p>
      <w:pPr>
        <w:ind w:right="80"/>
        <w:spacing w:after="0" w:line="262" w:lineRule="auto"/>
        <w:rPr>
          <w:sz w:val="20"/>
          <w:szCs w:val="20"/>
          <w:color w:val="auto"/>
        </w:rPr>
      </w:pPr>
      <w:r>
        <w:rPr>
          <w:rFonts w:ascii="Arial" w:cs="Arial" w:eastAsia="Arial" w:hAnsi="Arial"/>
          <w:sz w:val="14"/>
          <w:szCs w:val="14"/>
          <w:color w:val="auto"/>
        </w:rPr>
        <w:t>harmful malware, ransomware, denial-of-service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These types of incidents continue to be prevalent and pervasive across industries, including in our industry. In addition, we expect information security risks to continue to increase due to the proliferation of new technologies, including AI, and the increased sophistication and activities of organized crime, hackers, terrorists and other external parties, including foreign state actors.</w:t>
      </w:r>
    </w:p>
    <w:p>
      <w:pPr>
        <w:spacing w:after="0" w:line="14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We are increasingly dependent on information technology systems and infrastructure, including mobile technologies, to operate our business. In the ordinary course of our business, we collect, process, store and transmit large amounts of confidential information, including intellectual property, proprietary business information and personal information. It is critical that we do so in a secure manner to maintain the confidentiality and integrity of such information. The size and complexity of our information technology systems, and those of third-party vendors with whom we contract, and the volume of data we retain, make such systems potentially vulnerable to breakdown, malicious intrusion, security breaches, ransomware, phishing, and other cyber-attacks.</w:t>
      </w:r>
    </w:p>
    <w:p>
      <w:pPr>
        <w:spacing w:after="0" w:line="140"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While we have not experienced any material system failure, accident or security breach to date, if such an event were to occur, or if we were unable to implement satisfactory remedial measures, it could result in diversion of management's attention and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materially harmed and the further development and commercialization of our product candidates could be delayed.</w:t>
      </w:r>
    </w:p>
    <w:p>
      <w:pPr>
        <w:spacing w:after="0" w:line="229"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b w:val="1"/>
          <w:bCs w:val="1"/>
          <w:i w:val="1"/>
          <w:iCs w:val="1"/>
          <w:color w:val="auto"/>
        </w:rPr>
        <w:t>Our employees, independent contractors, vendors, principal investigators, CROs, CMOs, CDMOs, and consultants may engage in misconduct or other improper activities, including non-compliance with regulatory standards and requirements, privacy laws and insider trading laws, which could materially harm our business.</w:t>
      </w:r>
    </w:p>
    <w:p>
      <w:pPr>
        <w:spacing w:after="0" w:line="21"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We are exposed to the risk that our employees, independent contractors, vendors, principal investigators, CROs, CMOs, CDMOs, and consultants may engage in fraudulent conduct or other illegal activity. Misconduct by these parties could include:</w:t>
      </w:r>
    </w:p>
    <w:p>
      <w:pPr>
        <w:spacing w:after="0" w:line="35" w:lineRule="exact"/>
        <w:rPr>
          <w:sz w:val="20"/>
          <w:szCs w:val="20"/>
          <w:color w:val="auto"/>
        </w:rPr>
      </w:pPr>
    </w:p>
    <w:p>
      <w:pPr>
        <w:ind w:left="760" w:hanging="246"/>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intentional, reckless or negligent conduct or disclosure of unauthorized activities to us that violate the regulations of the FDA or similar foreign regulatory authorities;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healthcare fraud and abuse laws and regulations in the United States and in other jurisdictions;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violations of U.S. federal securities laws, including those related to trading in our common stock;</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violations of applicable US and international privacy laws;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failures to report financial information or data accurately.</w:t>
      </w:r>
    </w:p>
    <w:p>
      <w:pPr>
        <w:spacing w:after="0" w:line="179"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among other things, result in regulatory sanctions and cause serious harm to our reputation. We have adopted a code of conduct and implement other internal controls applicable to all of our employees, but it is not always possible to identify and deter misconduct by employees and other third parties. In addition,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legal, regulatory or administrative actions or proceedings are instituted against us, and we 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4" w:name="page115"/>
    <w:bookmarkEnd w:id="114"/>
    <w:p>
      <w:pPr>
        <w:ind w:right="220"/>
        <w:spacing w:after="0" w:line="265" w:lineRule="auto"/>
        <w:rPr>
          <w:sz w:val="20"/>
          <w:szCs w:val="20"/>
          <w:color w:val="auto"/>
        </w:rPr>
      </w:pPr>
      <w:r>
        <w:rPr>
          <w:rFonts w:ascii="Arial" w:cs="Arial" w:eastAsia="Arial" w:hAnsi="Arial"/>
          <w:sz w:val="14"/>
          <w:szCs w:val="14"/>
          <w:color w:val="auto"/>
        </w:rPr>
        <w:t>not successful in defending ourselves or asserting our rights, such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diversion of management attention, general costs of litigation or proceedings, diminished profits and future earnings, and curtailment of our operations, any of which could adversely affect our ability to operate our business and our results of operations.</w:t>
      </w:r>
    </w:p>
    <w:p>
      <w:pPr>
        <w:spacing w:after="0" w:line="22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Risks Related to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is volatile and may fluctuate substantially, which could result in the loss of all or part of our stockholders’ investment.</w:t>
      </w:r>
    </w:p>
    <w:p>
      <w:pPr>
        <w:spacing w:after="0" w:line="92" w:lineRule="exact"/>
        <w:rPr>
          <w:sz w:val="20"/>
          <w:szCs w:val="20"/>
          <w:color w:val="auto"/>
        </w:rPr>
      </w:pPr>
    </w:p>
    <w:p>
      <w:pPr>
        <w:ind w:right="200" w:firstLine="509"/>
        <w:spacing w:after="0" w:line="271" w:lineRule="auto"/>
        <w:rPr>
          <w:sz w:val="20"/>
          <w:szCs w:val="20"/>
          <w:color w:val="auto"/>
        </w:rPr>
      </w:pPr>
      <w:r>
        <w:rPr>
          <w:rFonts w:ascii="Arial" w:cs="Arial" w:eastAsia="Arial" w:hAnsi="Arial"/>
          <w:sz w:val="14"/>
          <w:szCs w:val="14"/>
          <w:color w:val="auto"/>
        </w:rPr>
        <w:t>Our stock price has been and likely will continue to be volatile.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49" w:lineRule="exact"/>
        <w:rPr>
          <w:sz w:val="20"/>
          <w:szCs w:val="20"/>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degree of success of any competitive products or technologies;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results of or developments in preclinical studies and clinical trials of our product candidates or those of our competitors;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clinical development programs;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additional technologies or product candidates;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in the United States and other jurisdictions;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general economic, industry and market conditions, including geopolitical conflicts, inflation and high interest rates;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79"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color w:val="auto"/>
        </w:rPr>
        <w:t>If any of the foregoing factors were to occur, or if our operating results fall below the expectations of investors or securities analysts, the price of our common stock could decline substantially.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securities litigation, which is expensive and could divert management attention.</w:t>
      </w:r>
    </w:p>
    <w:p>
      <w:pPr>
        <w:spacing w:after="0" w:line="92"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Our stock price has been and likely will continue to be volatile. In the past, companies that have experienced volatility in the market price of their stock have been subject to securities class action litigation and shareholder derivative litigation. Such litigation, if instituted against us, whether successful or not, could cause us to incur substantial costs to defend such claims and divert management’s attention and resources, which could seriously harm our business, financial condition, results of operations and prospects.</w:t>
      </w:r>
    </w:p>
    <w:p>
      <w:pPr>
        <w:spacing w:after="0" w:line="221"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Our executive officers, directors and principal stockholders, if they choose to act together, have the ability to significantly influence or control all matters submitted to stockholders for approval.</w:t>
      </w:r>
    </w:p>
    <w:p>
      <w:pPr>
        <w:spacing w:after="0" w:line="21"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Our executive officers and directors, combined with our stockholders who own more than 5% of our outstanding common stock, in the aggregate, beneficially own shares representing approximately 34% of our capital stock. As a result, if these stockholders were to choose to act together, they would be able to significantly</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31" w:right="379" w:bottom="1440" w:gutter="0" w:footer="0" w:header="0"/>
        </w:sectPr>
      </w:pPr>
    </w:p>
    <w:bookmarkStart w:id="115" w:name="page116"/>
    <w:bookmarkEnd w:id="115"/>
    <w:p>
      <w:pPr>
        <w:ind w:right="80"/>
        <w:spacing w:after="0" w:line="271" w:lineRule="auto"/>
        <w:rPr>
          <w:sz w:val="20"/>
          <w:szCs w:val="20"/>
          <w:color w:val="auto"/>
        </w:rPr>
      </w:pPr>
      <w:r>
        <w:rPr>
          <w:rFonts w:ascii="Arial" w:cs="Arial" w:eastAsia="Arial" w:hAnsi="Arial"/>
          <w:sz w:val="14"/>
          <w:szCs w:val="14"/>
          <w:color w:val="auto"/>
        </w:rPr>
        <w:t>influence or control all matters submitted to our stockholders for approval, as well as our management and affairs. For example, these persons, if they choose to act together, could significantly influence or control the election of directors and approval of any merger, consolidation or sale of all or substantially all of our assets. This concentration of ownership control may:</w:t>
      </w:r>
    </w:p>
    <w:p>
      <w:pPr>
        <w:spacing w:after="0" w:line="49" w:lineRule="exact"/>
        <w:rPr>
          <w:sz w:val="20"/>
          <w:szCs w:val="20"/>
          <w:color w:val="auto"/>
        </w:rPr>
      </w:pPr>
    </w:p>
    <w:p>
      <w:pPr>
        <w:ind w:left="760" w:hanging="246"/>
        <w:spacing w:after="0"/>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delay, defer or prevent a change in control;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entrench our management and the board of directors; 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impede a merger, consolidation, takeover or other business combination involving us that other stockholders may desire.</w:t>
      </w:r>
    </w:p>
    <w:p>
      <w:pPr>
        <w:spacing w:after="0" w:line="265"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Provisions in our organizational documents and under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1"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5" w:lineRule="exact"/>
        <w:rPr>
          <w:sz w:val="20"/>
          <w:szCs w:val="20"/>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provide for a classified board of directors such that only one of three classes of directors is elected each year;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provide for advance notice requirements for stockholder proposals that can be acted on at stockholder meetings and nominations to our board of directors;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93" w:lineRule="exact"/>
        <w:rPr>
          <w:rFonts w:ascii="Arial" w:cs="Arial" w:eastAsia="Arial" w:hAnsi="Arial"/>
          <w:sz w:val="14"/>
          <w:szCs w:val="14"/>
          <w:color w:val="auto"/>
        </w:rPr>
      </w:pPr>
    </w:p>
    <w:p>
      <w:pPr>
        <w:ind w:left="760" w:hanging="246"/>
        <w:spacing w:after="0" w:line="271" w:lineRule="auto"/>
        <w:tabs>
          <w:tab w:leader="none" w:pos="7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authorize our board of directors to issue "blank check" preferred stock, which could be issued without stockholder approval, may contain voting, liquidation, dividend and other rights superior to our common stock, and could be used to institute a “poison pill” that would work to dilute the stock ownership of a potential hostile acquirer, effectively preventing acquisitions that have not been approved by our board of directors; and</w:t>
      </w:r>
    </w:p>
    <w:p>
      <w:pPr>
        <w:spacing w:after="0" w:line="48" w:lineRule="exact"/>
        <w:rPr>
          <w:rFonts w:ascii="Arial" w:cs="Arial" w:eastAsia="Arial" w:hAnsi="Arial"/>
          <w:sz w:val="14"/>
          <w:szCs w:val="14"/>
          <w:color w:val="auto"/>
        </w:rPr>
      </w:pPr>
    </w:p>
    <w:p>
      <w:pPr>
        <w:ind w:left="760" w:right="140" w:hanging="246"/>
        <w:spacing w:after="0" w:line="290" w:lineRule="auto"/>
        <w:tabs>
          <w:tab w:leader="none" w:pos="7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specified provisions of our charter or bylaws.</w:t>
      </w:r>
    </w:p>
    <w:p>
      <w:pPr>
        <w:spacing w:after="0" w:line="120"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21" w:lineRule="exact"/>
        <w:rPr>
          <w:sz w:val="20"/>
          <w:szCs w:val="20"/>
          <w:color w:val="auto"/>
        </w:rPr>
      </w:pPr>
    </w:p>
    <w:p>
      <w:pPr>
        <w:ind w:right="380"/>
        <w:spacing w:after="0" w:line="299"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21" w:lineRule="exact"/>
        <w:rPr>
          <w:sz w:val="20"/>
          <w:szCs w:val="20"/>
          <w:color w:val="auto"/>
        </w:rPr>
      </w:pPr>
    </w:p>
    <w:p>
      <w:pPr>
        <w:ind w:right="520" w:firstLine="509"/>
        <w:spacing w:after="0" w:line="290" w:lineRule="auto"/>
        <w:rPr>
          <w:sz w:val="20"/>
          <w:szCs w:val="20"/>
          <w:color w:val="auto"/>
        </w:rPr>
      </w:pPr>
      <w:r>
        <w:rPr>
          <w:rFonts w:ascii="Arial" w:cs="Arial" w:eastAsia="Arial" w:hAnsi="Arial"/>
          <w:sz w:val="14"/>
          <w:szCs w:val="14"/>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6" w:name="page117"/>
    <w:bookmarkEnd w:id="116"/>
    <w:p>
      <w:pPr>
        <w:ind w:right="360"/>
        <w:spacing w:after="0" w:line="290" w:lineRule="auto"/>
        <w:rPr>
          <w:sz w:val="20"/>
          <w:szCs w:val="20"/>
          <w:color w:val="auto"/>
        </w:rPr>
      </w:pPr>
      <w:r>
        <w:rPr>
          <w:rFonts w:ascii="Arial" w:cs="Arial" w:eastAsia="Arial" w:hAnsi="Arial"/>
          <w:sz w:val="14"/>
          <w:szCs w:val="14"/>
          <w:color w:val="auto"/>
        </w:rPr>
        <w:t>our trials or operating results fail to meet the expectations of analysts, our stock price will likely decline. If one or more of these analysts cease coverage of us or fail to publish reports on us regularly, we could lose visibility in the financial markets, which in turn could cause our stock price or trading volume to decline.</w:t>
      </w:r>
    </w:p>
    <w:p>
      <w:pPr>
        <w:spacing w:after="0" w:line="207"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21"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We have a significant number of shares that are subject to outstanding options and restricted stock units, and in the future we may issue additional options, restricted stock units, or other derivative securities convertible into our common stock under our equity compensation plans. The exercise or vesting of any such options, restricted stock units, or other derivative securities, and the subsequent sale of the underlying common stock, could cause a further decline in our stock price. These sales also might make it difficult for us to sell equity securities in the future at a time and at a price that we deem appropriate. Such sales of our common stock could result in higher than average trading volume and may cause the market price for our common stock to decline.</w:t>
      </w:r>
    </w:p>
    <w:p>
      <w:pPr>
        <w:spacing w:after="0" w:line="140"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We currently have on file with the SEC a universal shelf registration statement on Form S-3 which allows us to offer and sell registered common stock, preferred stock, debt securities, depository shares, units and/or warrants from time to time pursuant to one or more offerings at prices and terms to be determined at the time of sale.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August 2021, we entered into an Equity Distribution Agreement with Piper Sandler &amp; Company, or Piper Sandler, and Cantor Fitzgerald &amp; Co., or Cantor, as agents,</w:t>
      </w:r>
    </w:p>
    <w:p>
      <w:pPr>
        <w:spacing w:after="0" w:line="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pursuant to which we sold 1,449,275 shares of common stock in at-the-market offerings, resulting in net proceeds of approximately $36.0 million. In November 2023, we amended and restated the Equity Distribution Agreement with Piper Sandler and Cantor, pursuant to which we may offer and sell from time to time, through the agents, up to an additional approximately $262.8 million of the common stock registered under our universal shelf registration statement pursuant to one or more “at-the-market” offerings. During the year ended December 31, 2025, since the amendment and restatement of the agreement, no shares were issued under this agreement.</w:t>
      </w:r>
    </w:p>
    <w:p>
      <w:pPr>
        <w:spacing w:after="0" w:line="138" w:lineRule="exact"/>
        <w:rPr>
          <w:sz w:val="20"/>
          <w:szCs w:val="20"/>
          <w:color w:val="auto"/>
        </w:rPr>
      </w:pPr>
    </w:p>
    <w:p>
      <w:pPr>
        <w:ind w:right="120" w:firstLine="509"/>
        <w:spacing w:after="0" w:line="290" w:lineRule="auto"/>
        <w:rPr>
          <w:sz w:val="20"/>
          <w:szCs w:val="20"/>
          <w:color w:val="auto"/>
        </w:rPr>
      </w:pPr>
      <w:r>
        <w:rPr>
          <w:rFonts w:ascii="Arial" w:cs="Arial" w:eastAsia="Arial" w:hAnsi="Arial"/>
          <w:sz w:val="14"/>
          <w:szCs w:val="14"/>
          <w:color w:val="auto"/>
        </w:rPr>
        <w:t>Sales of substantial amounts of shares of our common stock or other securities by our stockholders under our universal shelf registration statement, including pursuant to our "at-the-market" offering program, or otherwise could also dilute our stockholders.</w:t>
      </w:r>
    </w:p>
    <w:p>
      <w:pPr>
        <w:spacing w:after="0" w:line="207"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will continue to incur significant costs as a result of operating as a public company, and our management will be required to devote substantial time to any new compliance initiatives and corporate governance practices.</w:t>
      </w:r>
    </w:p>
    <w:p>
      <w:pPr>
        <w:spacing w:after="0" w:line="21"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As a public company, we incur significant legal, accounting and other expenses that we did not incur as a private company. The Sarbanes-Oxley Act of 2002, or Sarbanes-Oxley, the Dodd-Frank Wall Street Reform and Consumer Protection Act, the listing requirements of The Nasdaq Global Select Market and other applicable securities rules and regulations, including those promulgated by the SEC,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incur significant legal and financial compliance costs as a result of these rules and regulations, and these rules and regulations have made some activities more time-consuming and costly.</w:t>
      </w:r>
    </w:p>
    <w:p>
      <w:pPr>
        <w:spacing w:after="0" w:line="142"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Pursuant to Section 404 of Sarbanes-Oxley, or Section 404, we are required to furnish a report by our management on our internal control over financial reporting. To achieve compliance with Section 404, we are engaged in a process to document and evaluate our internal control over financial reporting and internal controls, which is both costly and challenging. In this regard, we will need to continue to dedicate internal resources, potentially engage outside consultants and carry out a detailed work plan to assess and document</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117" w:name="page118"/>
    <w:bookmarkEnd w:id="117"/>
    <w:p>
      <w:pPr>
        <w:spacing w:after="0" w:line="262" w:lineRule="auto"/>
        <w:rPr>
          <w:sz w:val="20"/>
          <w:szCs w:val="20"/>
          <w:color w:val="auto"/>
        </w:rPr>
      </w:pPr>
      <w:r>
        <w:rPr>
          <w:rFonts w:ascii="Arial" w:cs="Arial" w:eastAsia="Arial" w:hAnsi="Arial"/>
          <w:sz w:val="14"/>
          <w:szCs w:val="14"/>
          <w:color w:val="auto"/>
        </w:rPr>
        <w:t>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If we identify one or more material weaknesses, it could result in harm to our reputation or an adverse reaction in the financial markets and it could restrict our future access to the capital markets due to a loss of confidence in the reliability of our consolidated financial statements which would materially harm our business.</w:t>
      </w:r>
    </w:p>
    <w:p>
      <w:pPr>
        <w:spacing w:after="0" w:line="227"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certificate of incorporation provides that the Court of Chancery of the State of Delaware will be the exclusive forum for substantially all disputes between us and our stockholders. Our certificate of incorporation further provides that the federal district courts of the United States are the sole and exclusive forum for the resolution of any complaint asserting a cause of action arising under the Securities Act of 1933, as amended. These choice of forum provisions could limit our stockholders’ ability to obtain a favorable judicial forum for disputes with us or our directors, officers, employees or other stockholders.</w:t>
      </w:r>
    </w:p>
    <w:p>
      <w:pPr>
        <w:spacing w:after="0" w:line="43" w:lineRule="exact"/>
        <w:rPr>
          <w:sz w:val="20"/>
          <w:szCs w:val="20"/>
          <w:color w:val="auto"/>
        </w:rPr>
      </w:pPr>
    </w:p>
    <w:p>
      <w:pPr>
        <w:ind w:right="20" w:firstLine="509"/>
        <w:spacing w:after="0" w:line="256" w:lineRule="auto"/>
        <w:rPr>
          <w:sz w:val="20"/>
          <w:szCs w:val="20"/>
          <w:color w:val="auto"/>
        </w:rPr>
      </w:pPr>
      <w:r>
        <w:rPr>
          <w:rFonts w:ascii="Arial" w:cs="Arial" w:eastAsia="Arial" w:hAnsi="Arial"/>
          <w:sz w:val="14"/>
          <w:szCs w:val="14"/>
          <w:color w:val="auto"/>
        </w:rPr>
        <w:t>Our certificate of incorporation provides that the Court of Chancery of the State of Delaware is the exclusive forum for any derivative action or proceeding brought on our behalf, any action asserting a breach of fiduciary duty owed by our directors, officers, other employees or stockholders to the company or our stockholders, any action asserting a claim against us arising pursuant to the Delaware General Corporation Law or as to which the Delaware General Corporation Law confers jurisdiction on the Court of Chancery of the State of Delaware, or any action asserting a claim arising pursuant to our certificate of incorporation or our bylaws or governed by the internal affairs doctrine. Our certificate of incorporation further provides that,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of 1933, as amended. These choice of forum provisions may limit a stockholder’s ability to bring a claim in a judicial forum that such stockholder finds favorable for disputes with us or our directors, officers, other employees or other stockholders, which may discourage such lawsuits against us and our directors, officers, other employees or other stockholders. Alternatively, if a court were to find this provision in our certificate of incorporation to be inapplicable or unenforceable in an action, we may incur additional costs associated with resolving such action in other jurisdictions, which could adversely affect our business and financial condition.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233"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Because we have never paid and do not anticipate paying any cash dividends on our capital stock in the foreseeable future, capital appreciation, if any, and any cash expended via our share repurchase program, will be our stockholders’ sole source of gain.</w:t>
      </w:r>
    </w:p>
    <w:p>
      <w:pPr>
        <w:spacing w:after="0" w:line="21" w:lineRule="exact"/>
        <w:rPr>
          <w:sz w:val="20"/>
          <w:szCs w:val="20"/>
          <w:color w:val="auto"/>
        </w:rPr>
      </w:pPr>
    </w:p>
    <w:p>
      <w:pPr>
        <w:ind w:firstLine="509"/>
        <w:spacing w:after="0" w:line="261"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other than any cash we have expended with respect to our share repurchase program. We do not intend to pay cash dividends in respect of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 As a result, capital appreciation, if any, of our common stock and any cash we have expended via our share repurchase program will be our stockholders’ sole source of gain for the foreseeable future.</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Item 1C. Cybersecurity.</w:t>
      </w:r>
    </w:p>
    <w:p>
      <w:pPr>
        <w:spacing w:after="0" w:line="94"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We have processes for assessing, identifying and managing cybersecurity risks, which are built into our information technology function and are designed to provide protection for our information assets and operations from internal and external cyber threats, including protecting employee and patient information from unauthorized access or attack, as well as secure our networks and systems. These processes include physical, procedural and technical safeguards, response plans, regular tests on our systems, incident simulations and routine reviews of our policies and procedures to identify risks and enhance our practices. As part of our overall risk mitigation strategy, we maintain cyber insurance coverage; however, such insurance may not be sufficient in type or amount to cover us against claims related to security breaches, cyber-attacks and other related breaches. We have engaged external parties, including consultants, computer security firms and risk management, and legal and governance experts, to enhance our cybersecurity oversight. We also employ processes to identify material risks from cybersecurity threats associated with our use of third-party service providers.</w:t>
      </w:r>
    </w:p>
    <w:p>
      <w:pPr>
        <w:spacing w:after="0" w:line="142"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Based on an assessment using the previously described risk mitigation strategy, we do not believe there are currently any risks from known cybersecurity threats, including as a result of any prior cybersecurity incidents, that have materially affected or are reasonably likely to materially affect us, including our business strategy, results of operations, or financial condition. See “</w:t>
      </w:r>
      <w:r>
        <w:rPr>
          <w:rFonts w:ascii="Arial" w:cs="Arial" w:eastAsia="Arial" w:hAnsi="Arial"/>
          <w:sz w:val="14"/>
          <w:szCs w:val="14"/>
          <w:i w:val="1"/>
          <w:iCs w:val="1"/>
          <w:color w:val="auto"/>
        </w:rPr>
        <w:t>Our internal computer systems and those of our collaborators, CROs, CDMOs contractors, consultants and other third parties are vulnerable to cyber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attacks, cyber intrusions and security breaches, which could not only materially disrupt our business operations and result in the loss of confidential information, but could also damage the integrity of our clinical trials, impact our regulatory filings, compromise our ability to protect our intellectual property, and subject us to regulatory actions that could result in significant fines or other penalties” </w:t>
      </w:r>
      <w:r>
        <w:rPr>
          <w:rFonts w:ascii="Arial" w:cs="Arial" w:eastAsia="Arial" w:hAnsi="Arial"/>
          <w:sz w:val="14"/>
          <w:szCs w:val="14"/>
          <w:color w:val="auto"/>
        </w:rPr>
        <w:t>in Part I, Item 1A. “Risk Factors” for additional information.</w:t>
      </w:r>
    </w:p>
    <w:p>
      <w:pPr>
        <w:spacing w:after="0" w:line="142"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Our Audit Committee of our board of directors, or the Audit Committee, provides direct cybersecurity risk oversight, and provides regular updates to the board of directors regarding such oversight. The Audit Committee receives quarterly updates from management and the Cybersecurity Board, as discussed in further detail below, regarding cybersecurity matters, and is notified between such updates regarding significant new cybersecurity risks, threats or incidents. We also provide updates to the full board of directors regarding cybersecurity risks, threat landscape and risks, as appropriate.</w:t>
      </w:r>
    </w:p>
    <w:p>
      <w:pPr>
        <w:spacing w:after="0" w:line="13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4"/>
          <w:szCs w:val="14"/>
          <w:color w:val="auto"/>
        </w:rPr>
        <w:t>We have a cross-functional Cybersecurity Board led by our Senior Vice President, Information Technology Systems &amp; Security, or SVP ITSS, serving as the chair and consisting of executive-level and non-executive level leaders, including among others, our chief financial officer and general counsel. This board is responsible for reviewing, engaging and making decisions related to the execution and continuous improvement of cybersecurity strategy, processes and governance impacting our information systems, employees, partners and patients. Our SVP, ITSS, leads the operational oversight of company-wide cybersecurity strategy, policy, standards and processes and works across relevant departments to assess and help prepare us and our employees to address cybersecurity risks. Our SVP, ITSS, is an experienced senior leader with more than 25 years of experience in information technology within the pharmaceutical industry leading a team of employees and consultants with a breadth of experience including security management experience along with Certified Information Systems Security Professional, or CISSP certification.</w:t>
      </w:r>
    </w:p>
    <w:p>
      <w:pPr>
        <w:spacing w:after="0" w:line="142"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In an effort to deter and detect cyber threats, we periodically provide our workforce, including all employees and contingent staff, with a privacy, data protection, cybersecurity and incident response, and prevention education and awareness program, which includes annual and supplemental training covering a range of timely and relevant topics. Past topics have included social engineering, phishing, password protection, confidential data protection, asset use, and mobile security. This education and awareness program functions to educate employees on the importance of reporting all incidents immediately. In addition, we perform monthly phishing test campaigns to reinforce identification and reporting training. We automatically assign online reinforcement training upon initial phish test failure and may follow-up one-on-one as needed, including providing additional training. We also use technology-based tools to mitigate cybersecurity risks and to bolster our employee-based cybersecurity programs. Lastly, we perform annual penetration tests conducted by independent, third-party cybersecurity firms and ongoing vulnerability assessments conducted by the internal security team.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color w:val="auto"/>
        </w:rPr>
        <w:t>Item 2. Properties.</w:t>
      </w:r>
    </w:p>
    <w:p>
      <w:pPr>
        <w:spacing w:after="0" w:line="94" w:lineRule="exact"/>
        <w:rPr>
          <w:sz w:val="20"/>
          <w:szCs w:val="20"/>
          <w:color w:val="auto"/>
        </w:rPr>
      </w:pPr>
    </w:p>
    <w:p>
      <w:pPr>
        <w:ind w:right="80" w:firstLine="491"/>
        <w:spacing w:after="0" w:line="271" w:lineRule="auto"/>
        <w:rPr>
          <w:sz w:val="20"/>
          <w:szCs w:val="20"/>
          <w:color w:val="auto"/>
        </w:rPr>
      </w:pPr>
      <w:r>
        <w:rPr>
          <w:rFonts w:ascii="Arial" w:cs="Arial" w:eastAsia="Arial" w:hAnsi="Arial"/>
          <w:sz w:val="14"/>
          <w:szCs w:val="14"/>
          <w:color w:val="auto"/>
        </w:rPr>
        <w:t>As of December 31, 2025, we leased approximately 73,500 square feet of office and laboratory space in New Haven, Connecticut under leases, as amended, that expire in December 2029. We believe that our facilities are sufficient to meet our current needs and that suitable additional or alternative space will be available as and when needed on commercially reasonable terms for any future growth.</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94" w:lineRule="exact"/>
        <w:rPr>
          <w:sz w:val="20"/>
          <w:szCs w:val="20"/>
          <w:color w:val="auto"/>
        </w:rPr>
      </w:pPr>
    </w:p>
    <w:p>
      <w:pPr>
        <w:ind w:firstLine="491"/>
        <w:spacing w:after="0" w:line="271" w:lineRule="auto"/>
        <w:rPr>
          <w:sz w:val="20"/>
          <w:szCs w:val="20"/>
          <w:color w:val="auto"/>
        </w:rPr>
      </w:pPr>
      <w:r>
        <w:rPr>
          <w:rFonts w:ascii="Arial" w:cs="Arial" w:eastAsia="Arial" w:hAnsi="Arial"/>
          <w:sz w:val="14"/>
          <w:szCs w:val="14"/>
          <w:color w:val="auto"/>
        </w:rPr>
        <w:t>From time to time, we may become involved in litigation or other legal proceedings arising in the ordinary course of business and regardless of outcome, litigation can have an adverse impact on our business, financial condition, results of operations and prospects because of defense and settlement costs, diversion of management resources and other factors. We are not currently a party to any material litigation or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Market Information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publicly traded on the Nasdaq Global Select Market under the symbol “ARVN.”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Holders</w:t>
      </w:r>
    </w:p>
    <w:p>
      <w:pPr>
        <w:spacing w:after="0" w:line="94"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As of February 20, 2026, there were approximately 18 holders of record of our common stock. This number does not include beneficial owners whose shares are held by nominees in street name.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Dividend Policy</w:t>
      </w:r>
    </w:p>
    <w:p>
      <w:pPr>
        <w:spacing w:after="0" w:line="94"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We have never declared or paid cash dividends on our common stock. We currently intend to retain all of our future earnings, if any, to finance the growth and development of our business. We do not intend to pay cash dividends in respect of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Recent Sales of Unregistered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issue any securities that were not registered under the Securities Act of 1933, as amended, or the Securities Act, during the year ended December 31, 2025.</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Purchases of Equity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September 17, 2025, the Company announced that its board of directors authorized and approved a share repurchase program for the repurchase of up to</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$100.0 million of the then-currently outstanding shares of the Company’s common stock. Share repurchases under the share repurchase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the Company might otherwise be precluded from doing so under insider trading laws. The share repurchase program is funded using the Company's working capital. The share repurchase program has no time limit and can be modified, suspended or discontinued at any time without prior notice. Repurchased shares are recorded as treasury stock, at cost, and are eligible to be reissued under the Company's stock plans and for other corporate purposes.</w:t>
      </w:r>
    </w:p>
    <w:p>
      <w:pPr>
        <w:spacing w:after="0" w:line="14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The following table provides information about purchases by us during the three months ended December 31, 2025 of equity securities that are registered by the company pursuant to Section 12 of the Exchange Act.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tcPr>
          <w:p>
            <w:pPr>
              <w:jc w:val="center"/>
              <w:ind w:right="256"/>
              <w:spacing w:after="0"/>
              <w:rPr>
                <w:sz w:val="20"/>
                <w:szCs w:val="20"/>
                <w:color w:val="auto"/>
              </w:rPr>
            </w:pPr>
            <w:r>
              <w:rPr>
                <w:rFonts w:ascii="Arial" w:cs="Arial" w:eastAsia="Arial" w:hAnsi="Arial"/>
                <w:sz w:val="11"/>
                <w:szCs w:val="11"/>
                <w:b w:val="1"/>
                <w:bCs w:val="1"/>
                <w:color w:val="auto"/>
                <w:w w:val="99"/>
              </w:rPr>
              <w:t>(d)</w:t>
            </w:r>
          </w:p>
        </w:tc>
      </w:tr>
      <w:tr>
        <w:trPr>
          <w:trHeight w:val="127"/>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w:t>
            </w:r>
          </w:p>
        </w:tc>
        <w:tc>
          <w:tcPr>
            <w:tcW w:w="2640" w:type="dxa"/>
            <w:vAlign w:val="bottom"/>
            <w:gridSpan w:val="2"/>
          </w:tcPr>
          <w:p>
            <w:pPr>
              <w:ind w:left="20"/>
              <w:spacing w:after="0"/>
              <w:rPr>
                <w:sz w:val="20"/>
                <w:szCs w:val="20"/>
                <w:color w:val="auto"/>
              </w:rPr>
            </w:pPr>
            <w:r>
              <w:rPr>
                <w:rFonts w:ascii="Arial" w:cs="Arial" w:eastAsia="Arial" w:hAnsi="Arial"/>
                <w:sz w:val="11"/>
                <w:szCs w:val="11"/>
                <w:b w:val="1"/>
                <w:bCs w:val="1"/>
                <w:color w:val="auto"/>
              </w:rPr>
              <w:t>Maximum Number (or Approximate Dollar Value)</w:t>
            </w:r>
          </w:p>
        </w:tc>
      </w:tr>
      <w:tr>
        <w:trPr>
          <w:trHeight w:val="127"/>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w:t>
            </w:r>
          </w:p>
        </w:tc>
        <w:tc>
          <w:tcPr>
            <w:tcW w:w="120" w:type="dxa"/>
            <w:vAlign w:val="bottom"/>
          </w:tcPr>
          <w:p>
            <w:pPr>
              <w:spacing w:after="0"/>
              <w:rPr>
                <w:sz w:val="11"/>
                <w:szCs w:val="11"/>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(b)</w:t>
            </w:r>
          </w:p>
        </w:tc>
        <w:tc>
          <w:tcPr>
            <w:tcW w:w="2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 Number of Shares (or Units)</w:t>
            </w:r>
          </w:p>
        </w:tc>
        <w:tc>
          <w:tcPr>
            <w:tcW w:w="2640" w:type="dxa"/>
            <w:vAlign w:val="bottom"/>
            <w:gridSpan w:val="2"/>
          </w:tcPr>
          <w:p>
            <w:pPr>
              <w:jc w:val="center"/>
              <w:spacing w:after="0"/>
              <w:rPr>
                <w:sz w:val="20"/>
                <w:szCs w:val="20"/>
                <w:color w:val="auto"/>
              </w:rPr>
            </w:pPr>
            <w:r>
              <w:rPr>
                <w:rFonts w:ascii="Arial" w:cs="Arial" w:eastAsia="Arial" w:hAnsi="Arial"/>
                <w:sz w:val="11"/>
                <w:szCs w:val="11"/>
                <w:b w:val="1"/>
                <w:bCs w:val="1"/>
                <w:color w:val="auto"/>
              </w:rPr>
              <w:t>of Shares (or Units) that May Yet Be Purchased</w:t>
            </w:r>
          </w:p>
        </w:tc>
      </w:tr>
      <w:tr>
        <w:trPr>
          <w:trHeight w:val="127"/>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 Number of Shares (or Units)</w:t>
            </w:r>
          </w:p>
        </w:tc>
        <w:tc>
          <w:tcPr>
            <w:tcW w:w="120" w:type="dxa"/>
            <w:vAlign w:val="bottom"/>
          </w:tcPr>
          <w:p>
            <w:pPr>
              <w:spacing w:after="0"/>
              <w:rPr>
                <w:sz w:val="11"/>
                <w:szCs w:val="11"/>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Average Price Paid per Share (or</w:t>
            </w:r>
          </w:p>
        </w:tc>
        <w:tc>
          <w:tcPr>
            <w:tcW w:w="2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Purchased as Part of Publicly</w:t>
            </w:r>
          </w:p>
        </w:tc>
        <w:tc>
          <w:tcPr>
            <w:tcW w:w="300" w:type="dxa"/>
            <w:vAlign w:val="bottom"/>
          </w:tcPr>
          <w:p>
            <w:pPr>
              <w:spacing w:after="0"/>
              <w:rPr>
                <w:sz w:val="11"/>
                <w:szCs w:val="11"/>
                <w:color w:val="auto"/>
              </w:rPr>
            </w:pPr>
          </w:p>
        </w:tc>
        <w:tc>
          <w:tcPr>
            <w:tcW w:w="2340" w:type="dxa"/>
            <w:vAlign w:val="bottom"/>
          </w:tcPr>
          <w:p>
            <w:pPr>
              <w:jc w:val="center"/>
              <w:ind w:right="236"/>
              <w:spacing w:after="0"/>
              <w:rPr>
                <w:sz w:val="20"/>
                <w:szCs w:val="20"/>
                <w:color w:val="auto"/>
              </w:rPr>
            </w:pPr>
            <w:r>
              <w:rPr>
                <w:rFonts w:ascii="Arial" w:cs="Arial" w:eastAsia="Arial" w:hAnsi="Arial"/>
                <w:sz w:val="11"/>
                <w:szCs w:val="11"/>
                <w:b w:val="1"/>
                <w:bCs w:val="1"/>
                <w:color w:val="auto"/>
              </w:rPr>
              <w:t>Under the Plans or Programs</w:t>
            </w:r>
          </w:p>
        </w:tc>
      </w:tr>
      <w:tr>
        <w:trPr>
          <w:trHeight w:val="160"/>
        </w:trPr>
        <w:tc>
          <w:tcPr>
            <w:tcW w:w="2280" w:type="dxa"/>
            <w:vAlign w:val="bottom"/>
            <w:gridSpan w:val="2"/>
          </w:tcPr>
          <w:p>
            <w:pPr>
              <w:ind w:left="920"/>
              <w:spacing w:after="0"/>
              <w:rPr>
                <w:sz w:val="20"/>
                <w:szCs w:val="20"/>
                <w:color w:val="auto"/>
              </w:rPr>
            </w:pPr>
            <w:r>
              <w:rPr>
                <w:rFonts w:ascii="Arial" w:cs="Arial" w:eastAsia="Arial" w:hAnsi="Arial"/>
                <w:sz w:val="11"/>
                <w:szCs w:val="11"/>
                <w:b w:val="1"/>
                <w:bCs w:val="1"/>
                <w:color w:val="auto"/>
              </w:rPr>
              <w:t>Period</w:t>
            </w:r>
          </w:p>
        </w:tc>
        <w:tc>
          <w:tcPr>
            <w:tcW w:w="2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Purchased</w:t>
            </w:r>
          </w:p>
        </w:tc>
        <w:tc>
          <w:tcPr>
            <w:tcW w:w="120" w:type="dxa"/>
            <w:vAlign w:val="bottom"/>
          </w:tcPr>
          <w:p>
            <w:pPr>
              <w:spacing w:after="0"/>
              <w:rPr>
                <w:sz w:val="13"/>
                <w:szCs w:val="13"/>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Unit)</w:t>
            </w:r>
          </w:p>
        </w:tc>
        <w:tc>
          <w:tcPr>
            <w:tcW w:w="2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Announced Plans or Programs (1)</w:t>
            </w:r>
          </w:p>
        </w:tc>
        <w:tc>
          <w:tcPr>
            <w:tcW w:w="300" w:type="dxa"/>
            <w:vAlign w:val="bottom"/>
          </w:tcPr>
          <w:p>
            <w:pPr>
              <w:spacing w:after="0"/>
              <w:rPr>
                <w:sz w:val="13"/>
                <w:szCs w:val="13"/>
                <w:color w:val="auto"/>
              </w:rPr>
            </w:pPr>
          </w:p>
        </w:tc>
        <w:tc>
          <w:tcPr>
            <w:tcW w:w="2340" w:type="dxa"/>
            <w:vAlign w:val="bottom"/>
          </w:tcPr>
          <w:p>
            <w:pPr>
              <w:jc w:val="center"/>
              <w:ind w:right="256"/>
              <w:spacing w:after="0"/>
              <w:rPr>
                <w:sz w:val="20"/>
                <w:szCs w:val="20"/>
                <w:color w:val="auto"/>
              </w:rPr>
            </w:pPr>
            <w:r>
              <w:rPr>
                <w:rFonts w:ascii="Arial" w:cs="Arial" w:eastAsia="Arial" w:hAnsi="Arial"/>
                <w:sz w:val="11"/>
                <w:szCs w:val="11"/>
                <w:b w:val="1"/>
                <w:bCs w:val="1"/>
                <w:color w:val="auto"/>
              </w:rPr>
              <w:t>(millions)</w:t>
            </w:r>
          </w:p>
        </w:tc>
      </w:tr>
      <w:tr>
        <w:trPr>
          <w:trHeight w:val="151"/>
        </w:trPr>
        <w:tc>
          <w:tcPr>
            <w:tcW w:w="2200" w:type="dxa"/>
            <w:vAlign w:val="bottom"/>
            <w:tcBorders>
              <w:top w:val="single" w:sz="8" w:color="auto"/>
            </w:tcBorders>
            <w:shd w:val="clear" w:color="auto" w:fill="CCEEFF"/>
          </w:tcPr>
          <w:p>
            <w:pPr>
              <w:ind w:left="20"/>
              <w:spacing w:after="0" w:line="151" w:lineRule="exact"/>
              <w:rPr>
                <w:sz w:val="20"/>
                <w:szCs w:val="20"/>
                <w:color w:val="auto"/>
              </w:rPr>
            </w:pPr>
            <w:r>
              <w:rPr>
                <w:rFonts w:ascii="Arial" w:cs="Arial" w:eastAsia="Arial" w:hAnsi="Arial"/>
                <w:sz w:val="14"/>
                <w:szCs w:val="14"/>
                <w:color w:val="auto"/>
              </w:rPr>
              <w:t>October 1, 2025 - October 31,</w:t>
            </w:r>
          </w:p>
        </w:tc>
        <w:tc>
          <w:tcPr>
            <w:tcW w:w="8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340" w:type="dxa"/>
            <w:vAlign w:val="bottom"/>
            <w:tcBorders>
              <w:top w:val="single" w:sz="8" w:color="auto"/>
            </w:tcBorders>
            <w:shd w:val="clear" w:color="auto" w:fill="CCEEFF"/>
          </w:tcPr>
          <w:p>
            <w:pPr>
              <w:spacing w:after="0"/>
              <w:rPr>
                <w:sz w:val="13"/>
                <w:szCs w:val="13"/>
                <w:color w:val="auto"/>
              </w:rPr>
            </w:pPr>
          </w:p>
        </w:tc>
      </w:tr>
      <w:tr>
        <w:trPr>
          <w:trHeight w:val="20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6,667,168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6,667,168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55"/>
        </w:trPr>
        <w:tc>
          <w:tcPr>
            <w:tcW w:w="22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November 1, 2025 - November</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206"/>
        </w:trPr>
        <w:tc>
          <w:tcPr>
            <w:tcW w:w="2200" w:type="dxa"/>
            <w:vAlign w:val="bottom"/>
          </w:tcPr>
          <w:p>
            <w:pPr>
              <w:ind w:left="20"/>
              <w:spacing w:after="0"/>
              <w:rPr>
                <w:sz w:val="20"/>
                <w:szCs w:val="20"/>
                <w:color w:val="auto"/>
              </w:rPr>
            </w:pPr>
            <w:r>
              <w:rPr>
                <w:rFonts w:ascii="Arial" w:cs="Arial" w:eastAsia="Arial" w:hAnsi="Arial"/>
                <w:sz w:val="14"/>
                <w:szCs w:val="14"/>
                <w:color w:val="auto"/>
              </w:rPr>
              <w:t>30, 2025</w:t>
            </w:r>
          </w:p>
        </w:tc>
        <w:tc>
          <w:tcPr>
            <w:tcW w:w="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782,560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782,560</w:t>
            </w:r>
          </w:p>
        </w:tc>
        <w:tc>
          <w:tcPr>
            <w:tcW w:w="1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3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55"/>
        </w:trPr>
        <w:tc>
          <w:tcPr>
            <w:tcW w:w="22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December 1, 2025 - December</w:t>
            </w: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r>
      <w:tr>
        <w:trPr>
          <w:trHeight w:val="20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31, 2025</w:t>
            </w:r>
          </w:p>
        </w:tc>
        <w:tc>
          <w:tcPr>
            <w:tcW w:w="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712"/>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right"/>
              <w:ind w:right="595"/>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85"/>
        </w:trPr>
        <w:tc>
          <w:tcPr>
            <w:tcW w:w="2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21" w:name="page122"/>
    <w:bookmarkEnd w:id="121"/>
    <w:p>
      <w:pPr>
        <w:ind w:firstLine="5"/>
        <w:spacing w:after="0" w:line="259" w:lineRule="auto"/>
        <w:tabs>
          <w:tab w:leader="none" w:pos="212"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September 2025, our board of directors approved the repurchase by us of shares of our common stock having a value of up to $100.0 million in the aggregate. Share repurchases under the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we might otherwise be precluded from doing so under insider trading laws. The Program is funded using our working capital. The Program has no time limit and can be modified, suspended or discontinued at any time without prior notice. Repurchased shares are recorded as treasury stock, at cost, and are eligible to be reissued under our stock plans and for other corporate purposes. We believe we have met our objectives for the stock repurchase program. As of December 31, 2025, we suspended the program and have no further plans to repurchase additional shares.</w:t>
      </w:r>
    </w:p>
    <w:p>
      <w:pPr>
        <w:spacing w:after="0" w:line="142"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color w:val="auto"/>
        </w:rPr>
        <w:t>During the twelve months ended December 31, 2025, we repurchased 10,009,758 shares of our common stock, at an average price of $9.09 per share, for an aggregate purchase price of $91.0 million, plus commissions and excise tax of $0.9 million.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Performance Graph</w:t>
      </w:r>
    </w:p>
    <w:p>
      <w:pPr>
        <w:spacing w:after="0" w:line="94"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The following performance graph shows a comparison of cumulative total shareholder returns on our common stock with the Nasdaq Composite Index and the Nasdaq Biotechnology Index from December 31, 2020 through December 31, 2025. The graph assumes an investment of $100 on December 31, 2020 in our common stock,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99695</wp:posOffset>
            </wp:positionV>
            <wp:extent cx="4130040" cy="256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Item 6. [Reserved]</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i w:val="1"/>
          <w:iCs w:val="1"/>
          <w:color w:val="auto"/>
        </w:rPr>
        <w:t>The following discussion and analysis is meant to provide material information relevant to an assessment of the financial condition and results of operations of our company, including an evaluation of the amount and certainty of cash flows from operations and from outside sources, so as to allow investors to better view our company from management's perspective. You should read the following discussion and analysis of financial condition and results of operations together with our consolidated financial statements and the related notes appearing elsewhere in this Annual Report on Form 10-K. This discussion contains forward-looking statements that involve risks and uncertainties. As a result of many factors, such as those set forth in the section titled “Risk Factors” and elsewhere in this Annual Report on Form 10-K, our actual results may differ materially from those anticipated in or implied by these forward-looking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Business</w:t>
      </w:r>
    </w:p>
    <w:p>
      <w:pPr>
        <w:spacing w:after="0" w:line="9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We are a clinical-stage biotechnology company dedicated to improving the lives of patients suffering from debilitating and life-threatening diseases. Through our PROteolysis TArgeting Chimera, or PROTAC, protein degradation platform, we are pioneering the development of a new class of therapeutics designed to harness the body’s own natural protein disposal system to selectively and efficiently degrade and remove disease-causing proteins. We have designed and optimized our proprietary PROTAC Discovery Engine for the discovery of PROTAC therapeutics to address diseases caused by abnormal proteins or aberrant protein expression. We believe that our targeted protein degradation approach is a novel therapeutic modality that may provide distinct advantages over existing therapies and address a broad range of targets, including historically undruggable proteins, in areas of significant unmet need.</w:t>
      </w:r>
    </w:p>
    <w:p>
      <w:pPr>
        <w:spacing w:after="0" w:line="5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4"/>
          <w:szCs w:val="14"/>
          <w:color w:val="auto"/>
        </w:rPr>
        <w:t>In the past five years, seven of the programs developed using our PROTAC protein degradation platform have progressed to clinical trials in oncology and neurology indications after demonstrating potent and selective protein degradation in our preclinical studies. The U.S. Food and Drug Administration, or FDA, has accepted our New Drug Application, or NDA, for vepdegestrant, our most advanced product candidate from the platform, for the treatment of patients with estrogen receptor-positive (ER+)/human epidermal growth factor receptor 2-negative (HER2-), or ER+/HER2-, estrogen receptor 1, or ESR1, mutated advanced or metastatic breast cancer who have previously received endocrine-based therapy, and has assigned a Prescription Drug User Fee Act, or PDUFA, action date of June 5, 2026. We believe favorable clinical trial results in our ongoing oncology and neurology programs would further validate our platform as a new therapeutic modality for the potential treatment of diseases caused by dysregulated intracellular proteins.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currently progressing the following product candidates through clinical development programs:</w:t>
      </w:r>
    </w:p>
    <w:p>
      <w:pPr>
        <w:spacing w:after="0" w:line="94" w:lineRule="exact"/>
        <w:rPr>
          <w:sz w:val="20"/>
          <w:szCs w:val="20"/>
          <w:color w:val="auto"/>
        </w:rPr>
      </w:pPr>
    </w:p>
    <w:p>
      <w:pPr>
        <w:ind w:left="760" w:right="360" w:hanging="246"/>
        <w:spacing w:after="0" w:line="290" w:lineRule="auto"/>
        <w:tabs>
          <w:tab w:leader="none" w:pos="756" w:val="left"/>
        </w:tabs>
        <w:numPr>
          <w:ilvl w:val="0"/>
          <w:numId w:val="70"/>
        </w:numPr>
        <w:rPr>
          <w:rFonts w:ascii="Arial" w:cs="Arial" w:eastAsia="Arial" w:hAnsi="Arial"/>
          <w:sz w:val="14"/>
          <w:szCs w:val="14"/>
          <w:color w:val="auto"/>
        </w:rPr>
      </w:pPr>
      <w:r>
        <w:rPr>
          <w:rFonts w:ascii="Arial" w:cs="Arial" w:eastAsia="Arial" w:hAnsi="Arial"/>
          <w:sz w:val="14"/>
          <w:szCs w:val="14"/>
          <w:color w:val="auto"/>
        </w:rPr>
        <w:t>ARV-102, targeting the leucine-rich repeat kinase 2, or LRRK2, protein for the treatment of neurodegenerative diseases, including Parkinson's disease, or PD, and progressive supranuclear palsy, or PSP;</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ARV-806, targeting Kirsten rat sarcoma, or KRAS, G12D protein for cancers with the G12D mutation, including pancreatic, colorectal and non-small cell lung cancer;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ARV-393, targeting the B-cell lymphoma 6, or BCL6, protein for the treatment of relapsed/refractory non-Hodgkin lymphoma, or NHL;</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ARV-027, targeting the polyglutamine-expanded androgen receptor, or polyQ-AR, in skeletal muscle;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vepdegestrant, targeting the estrogen receptor, or ER, for the treatment of locally advanced or metastatic ER+/HER2- breast cancer.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123" w:name="page124"/>
    <w:bookmarkEnd w:id="123"/>
    <w:p>
      <w:pPr>
        <w:ind w:right="300" w:firstLine="509"/>
        <w:spacing w:after="0" w:line="271" w:lineRule="auto"/>
        <w:rPr>
          <w:sz w:val="20"/>
          <w:szCs w:val="20"/>
          <w:color w:val="auto"/>
        </w:rPr>
      </w:pPr>
      <w:r>
        <w:rPr>
          <w:rFonts w:ascii="Arial" w:cs="Arial" w:eastAsia="Arial" w:hAnsi="Arial"/>
          <w:sz w:val="14"/>
          <w:szCs w:val="14"/>
          <w:color w:val="auto"/>
        </w:rPr>
        <w:t>We are also advancing several preclinical candidates through early stage development in a broad range of intracellular disease targets, including proteins that currently cannot be addressed by existing small molecule therapies, commonly referred to as “undruggable” or under-drugged targets. These preclinical candidates include ARV-6723 targeting hematopoietic progenitor kinase 1, or HPK1, and a pan-KRAS degrader targeting multiple variants of KRAS while sparing other RAS isoforms.</w:t>
      </w:r>
    </w:p>
    <w:p>
      <w:pPr>
        <w:spacing w:after="0" w:line="134" w:lineRule="exact"/>
        <w:rPr>
          <w:sz w:val="20"/>
          <w:szCs w:val="20"/>
          <w:color w:val="auto"/>
        </w:rPr>
      </w:pPr>
    </w:p>
    <w:p>
      <w:pPr>
        <w:ind w:firstLine="509"/>
        <w:spacing w:after="0" w:line="308" w:lineRule="auto"/>
        <w:rPr>
          <w:sz w:val="20"/>
          <w:szCs w:val="20"/>
          <w:color w:val="auto"/>
        </w:rPr>
      </w:pPr>
      <w:r>
        <w:rPr>
          <w:rFonts w:ascii="Arial" w:cs="Arial" w:eastAsia="Arial" w:hAnsi="Arial"/>
          <w:sz w:val="14"/>
          <w:szCs w:val="14"/>
          <w:color w:val="auto"/>
        </w:rPr>
        <w:t>In addition to the programs above and our early-stage collaborations, including with Pfizer, Inc., or Pfizer, and Genentech, Inc. and F. Hoffman-La Roche Ltd., or Genentech, we are conducting exploratory research and development work on multiple other undisclosed targets</w:t>
      </w:r>
      <w:r>
        <w:rPr>
          <w:rFonts w:ascii="Arial" w:cs="Arial" w:eastAsia="Arial" w:hAnsi="Arial"/>
          <w:sz w:val="16"/>
          <w:szCs w:val="16"/>
          <w:color w:val="auto"/>
        </w:rPr>
        <w: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Clinical Stage Programs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ARV-102: Oral PROTAC LRRK2 Degrader Program</w:t>
      </w:r>
    </w:p>
    <w:p>
      <w:pPr>
        <w:spacing w:after="0" w:line="92"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4"/>
          <w:szCs w:val="14"/>
          <w:color w:val="auto"/>
        </w:rPr>
        <w:t>ARV-102 is an investigational, orally bioavailable PROTAC designed to cross the blood-brain barrier and specifically target and degrade LRRK2, which is a large, multi-domain scaffolding kinase with GTPase activity. ARV-102 is our first oral PROTAC protein degrader in clinical development to treat neurodegenerative diseases. We believe our LRRK2 degraders are particularly well positioned to be evaluated in neurodegenerative diseases where there are currently no disease modifying therapies available, including :</w:t>
      </w:r>
    </w:p>
    <w:p>
      <w:pPr>
        <w:spacing w:after="0" w:line="49" w:lineRule="exact"/>
        <w:rPr>
          <w:sz w:val="20"/>
          <w:szCs w:val="20"/>
          <w:color w:val="auto"/>
        </w:rPr>
      </w:pPr>
    </w:p>
    <w:p>
      <w:pPr>
        <w:ind w:left="760" w:hanging="246"/>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PD, where increased LRRK2 expression and activity contributes to neurodegeneration and pathogenesis of PD; and</w:t>
      </w:r>
    </w:p>
    <w:p>
      <w:pPr>
        <w:spacing w:after="0" w:line="93" w:lineRule="exact"/>
        <w:rPr>
          <w:rFonts w:ascii="Arial" w:cs="Arial" w:eastAsia="Arial" w:hAnsi="Arial"/>
          <w:sz w:val="14"/>
          <w:szCs w:val="14"/>
          <w:color w:val="auto"/>
        </w:rPr>
      </w:pPr>
    </w:p>
    <w:p>
      <w:pPr>
        <w:ind w:left="760" w:right="160" w:hanging="246"/>
        <w:spacing w:after="0" w:line="290" w:lineRule="auto"/>
        <w:tabs>
          <w:tab w:leader="none" w:pos="756" w:val="left"/>
        </w:tabs>
        <w:numPr>
          <w:ilvl w:val="0"/>
          <w:numId w:val="71"/>
        </w:numPr>
        <w:rPr>
          <w:rFonts w:ascii="Arial" w:cs="Arial" w:eastAsia="Arial" w:hAnsi="Arial"/>
          <w:sz w:val="14"/>
          <w:szCs w:val="14"/>
          <w:color w:val="auto"/>
        </w:rPr>
      </w:pPr>
      <w:r>
        <w:rPr>
          <w:rFonts w:ascii="Arial" w:cs="Arial" w:eastAsia="Arial" w:hAnsi="Arial"/>
          <w:sz w:val="14"/>
          <w:szCs w:val="14"/>
          <w:color w:val="auto"/>
        </w:rPr>
        <w:t>PSP, where genetic variations in LRRK2 are associated with PSP progression and accelerated time to death. Additionally, we have published data associating the tau pathology of PSP with LRRK2-mediated endolysosomal dysfunction.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been evaluating ARV-102 in Phase 1 clinical trials in healthy volunteers and patients with PD.</w:t>
      </w:r>
    </w:p>
    <w:p>
      <w:pPr>
        <w:spacing w:after="0" w:line="94" w:lineRule="exact"/>
        <w:rPr>
          <w:sz w:val="20"/>
          <w:szCs w:val="20"/>
          <w:color w:val="auto"/>
        </w:rPr>
      </w:pPr>
    </w:p>
    <w:p>
      <w:pPr>
        <w:ind w:left="760" w:right="100" w:hanging="246"/>
        <w:spacing w:after="0" w:line="290" w:lineRule="auto"/>
        <w:tabs>
          <w:tab w:leader="none" w:pos="75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Healthy Volunteers</w:t>
      </w:r>
      <w:r>
        <w:rPr>
          <w:rFonts w:ascii="Arial" w:cs="Arial" w:eastAsia="Arial" w:hAnsi="Arial"/>
          <w:sz w:val="14"/>
          <w:szCs w:val="14"/>
          <w:color w:val="auto"/>
        </w:rPr>
        <w:t>: We initiated the first-in-human Phase 1 clinical trial for ARV-102 in the first quarter of 2024. We completed the single ascending dose, or SAD, and</w:t>
      </w:r>
      <w:r>
        <w:rPr>
          <w:rFonts w:ascii="Arial" w:cs="Arial" w:eastAsia="Arial" w:hAnsi="Arial"/>
          <w:sz w:val="14"/>
          <w:szCs w:val="14"/>
          <w:i w:val="1"/>
          <w:iCs w:val="1"/>
          <w:color w:val="auto"/>
        </w:rPr>
        <w:t xml:space="preserve"> </w:t>
      </w:r>
      <w:r>
        <w:rPr>
          <w:rFonts w:ascii="Arial" w:cs="Arial" w:eastAsia="Arial" w:hAnsi="Arial"/>
          <w:sz w:val="14"/>
          <w:szCs w:val="14"/>
          <w:color w:val="auto"/>
        </w:rPr>
        <w:t>multiple ascending dose, or MAD, cohorts of the ARV-102 Phase 1 clinical trial in healthy volunteers.</w:t>
      </w:r>
    </w:p>
    <w:p>
      <w:pPr>
        <w:spacing w:after="0" w:line="35" w:lineRule="exact"/>
        <w:rPr>
          <w:rFonts w:ascii="Arial" w:cs="Arial" w:eastAsia="Arial" w:hAnsi="Arial"/>
          <w:sz w:val="14"/>
          <w:szCs w:val="14"/>
          <w:color w:val="auto"/>
        </w:rPr>
      </w:pPr>
    </w:p>
    <w:p>
      <w:pPr>
        <w:ind w:left="760" w:right="120" w:hanging="246"/>
        <w:spacing w:after="0" w:line="271" w:lineRule="auto"/>
        <w:tabs>
          <w:tab w:leader="none" w:pos="75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Patients with PD</w:t>
      </w:r>
      <w:r>
        <w:rPr>
          <w:rFonts w:ascii="Arial" w:cs="Arial" w:eastAsia="Arial" w:hAnsi="Arial"/>
          <w:sz w:val="14"/>
          <w:szCs w:val="14"/>
          <w:color w:val="auto"/>
        </w:rPr>
        <w:t>: We completed enrollment in the SAD cohort of the ARV-102 Phase 1 clinical trial in patients with PD in the second quarter of 2025. We received</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Trial Application approval in the Netherlands to initiate a multiple dose cohort of the Phase 1 clinical trial in patients with PD in the second quarter of 2025, and we initiated this multiple dose cohort in the third quarter of 2025. In the fourth quarter of 2025, we completed enrollment in the multiple dose cohort.</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 the second quarter of 2025, we presented data from the first-in-human Phase 1 healthy volunteer clinical trial of ARV-102 at the 2025 International Conference on Alzheimer’s and Parkinson’s Diseases, or AD/PD, 2025, including results from the randomized, double-blind, placebo-controlled SAD cohort, and initial results from the MAD cohort. The ARV-102 Phase 1 clinical data in healthy volunteers demonstrated substantial reduction of LRRK2 in CSF with a promising safety/tolerability profile and favorable pharmacodynamic outcomes. Key findings from the clinical trial indicated brain penetration, substantial central and peripheral LRRK2 protein degradation, and downstream LRRK2 pathway engagement.</w:t>
      </w:r>
    </w:p>
    <w:p>
      <w:pPr>
        <w:spacing w:after="0" w:line="140"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In the fourth quarter of 2025, we presented late breaking positive Phase 1 data from our clinical trial of ARV-102 in healthy volunteers, and from the SAD cohort of our Phase 1 clinical trial of ARV-102 in patients with PD, as well as CSF Proteomic Data from the Phase 1 clinical trial of ARV-102 in healthy volunteers at the 2025 International Congress of Parkinson’s Disease and Movement Disorders®. Data from the Phase 1 SAD and MAD clinical trial in healthy volunteers showed that ARV-102 was generally well tolerated, with no discontinuations due to adverse events, or AEs, or serious adverse events, or SAEs, observed in the trial population, favorable pharmacokinetics and pharmacodynamics. Interim SAD data from the Phase 1 clinical trial in patients with PD showed single doses of ARV-102 were well tolerated with only mild treatment-related AEs, including headache, diarrhea, and nausea, with no SAEs, and favorable pharmacokinetics and pharmacodynamics.</w:t>
      </w:r>
    </w:p>
    <w:p>
      <w:pPr>
        <w:spacing w:after="0" w:line="142"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We plan to present data from the multiple dose cohort of the Phase 1 clinical trial of ARV-102 in patients with PD in the first quarter of 2026 in an oral presentation at 2026 AD/PD. Pending regulatory feedback, we plan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24" w:name="page125"/>
    <w:bookmarkEnd w:id="124"/>
    <w:p>
      <w:pPr>
        <w:ind w:right="380"/>
        <w:spacing w:after="0" w:line="290" w:lineRule="auto"/>
        <w:rPr>
          <w:sz w:val="20"/>
          <w:szCs w:val="20"/>
          <w:color w:val="auto"/>
        </w:rPr>
      </w:pPr>
      <w:r>
        <w:rPr>
          <w:rFonts w:ascii="Arial" w:cs="Arial" w:eastAsia="Arial" w:hAnsi="Arial"/>
          <w:sz w:val="14"/>
          <w:szCs w:val="14"/>
          <w:color w:val="auto"/>
        </w:rPr>
        <w:t>to initiate a Phase 1b clinical trial of ARV-102 in patients with PSP in the first half of 2026, and have the potential to initiate a registrational trial of ARV-102 in PSP in late 2026, pending regulatory feedback.</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ARV-806: Novel PROTAC KRAS G12D Degrader Program</w:t>
      </w:r>
    </w:p>
    <w:p>
      <w:pPr>
        <w:spacing w:after="0" w:line="92" w:lineRule="exact"/>
        <w:rPr>
          <w:sz w:val="20"/>
          <w:szCs w:val="20"/>
          <w:color w:val="auto"/>
        </w:rPr>
      </w:pPr>
    </w:p>
    <w:p>
      <w:pPr>
        <w:ind w:right="160" w:firstLine="509"/>
        <w:spacing w:after="0" w:line="271" w:lineRule="auto"/>
        <w:rPr>
          <w:sz w:val="20"/>
          <w:szCs w:val="20"/>
          <w:color w:val="auto"/>
        </w:rPr>
      </w:pPr>
      <w:r>
        <w:rPr>
          <w:rFonts w:ascii="Arial" w:cs="Arial" w:eastAsia="Arial" w:hAnsi="Arial"/>
          <w:sz w:val="14"/>
          <w:szCs w:val="14"/>
          <w:color w:val="auto"/>
        </w:rPr>
        <w:t>ARV-806 is an investigational novel PROTAC designed to selectively target and degrade mutant KRAS G12D in solid tumors. KRAS is one of the most frequently mutated human oncogenes and G12D is the most common mutation of the KRAS protein. We believe ARV-806 has the potential to address high unmet need in solid tumors, such as pancreatic, colorectal and non-small cell lung cancer, or NSCLC, with KRAS G12D mutation.</w:t>
      </w:r>
    </w:p>
    <w:p>
      <w:pPr>
        <w:spacing w:after="0" w:line="134"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 xml:space="preserve">We have conducted preclinical studies of ARV-806 and in the preclinical setting, ARV-806 demonstrated high potency and selectivity, with robust antitumor activity through dose-responsive degradation of KRAS G12D in KRAS G12D mutated cancer models, including pancreatic and colorectal models. These preclinical data demonstrate sustained pharmacodynamic activity consistent with long-lasting target degradation, which we believe supports intermittent clinical dosing. In particular, in the fourth quarter of 2025, we presented new preclinical data at AACR-NCI-EORTC International Conference on Molecular Targets and Cancer Therapeutics highlighting ARV-806's high potency and clear differentiation from both KRAS inhibitors and degraders currently in the clinic while also demonstrating dose-dependent, selective, robust anti-tumor activity, with regressions across preclinical models of KRAS G12D-mutant cancers;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potency approximately 25 times greater than KRAS inhibitors and 40 times greater than the leading clinical-stage degrader, and degradation greater than 90% for seven days after single dose and significant efficacy in models of pancreatic, colorectal, and lung cancer.</w:t>
      </w:r>
    </w:p>
    <w:p>
      <w:pPr>
        <w:spacing w:after="0" w:line="142"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4"/>
          <w:szCs w:val="14"/>
          <w:color w:val="auto"/>
        </w:rPr>
        <w:t>We believe ARV-806 has the potential to address high unmet need in solid tumors, such as pancreatic, colorectal and non-small cell lung cancer. We filed an investigational new drug application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w:t>
      </w:r>
    </w:p>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In the first quarter of 2026, we announced that we had completed dose escalation for once-weekly administration ahead of plan based on faster-than-anticipated enrollment of the Phase 1 clinical trial evaluating ARV-806 in patients with solid tumors harboring KRAS G12D mutations. We plan to continue enrollment in this clinical trial and anticipate sharing initial clinical data in patients with solid tumors harboring KRAS G12D mutations in 2026.</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ARV-393: Oral PROTAC BCL6 Degrader Program</w:t>
      </w:r>
    </w:p>
    <w:p>
      <w:pPr>
        <w:spacing w:after="0" w:line="92"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ARV-393 is an investigational, orally bioavailable PROTAC designed to specifically target and degrade BCL6, a transcriptional repressor and a key regulator of normal B-cell maturation and differentiation processes. Deregulation of BCL6 function (e.g., via chromosomal translocation, mutations) may lead to malignant transformation and development of NHL. Also as a lineage defining transcription factor of T-follicular helper cells, BCL6 has been implicated in nodal T-follicular helper cell lymphoma, or nTFHL, including the angioimmunoblastic type, formerly angioimmunoblastic T-cell lymphoma, or AITL.</w:t>
      </w:r>
    </w:p>
    <w:p>
      <w:pPr>
        <w:spacing w:after="0" w:line="1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We believe that PROTAC-mediated degradation has the potential to address the historically undruggable nature of BCL6 and that ARV-393 PROTAC -mediated degradation of BCL6 may provide an important novel therapeutic option for patients with NHL. Furthermore, we believe current preclinical data suggest that ARV-393 has the potential to be an attractive combination partner for development of novel therapies for lymphoma, including chemo-free combination regimens and/or “all oral” treatment options.</w:t>
      </w:r>
    </w:p>
    <w:p>
      <w:pPr>
        <w:spacing w:after="0" w:line="13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We have conducted preclinical studies of ARV-393 alone, in combination with SOC chemotherapy and biologic agents, as well as oral, investigational small molecule inhibitors in high grade and aggressive diffuse large B-cell lymphoma, or DLBCL, and in combination with glofitamab, a CD20xCD3 bispecific antibody and an emerging SOC option for DLBCL, in models of aggressive high grade DLBCL. We believe the totality of our ARV-393 preclinical data provides a compelling rationale to evaluate ARV-393 in combination with bi-specifics, oral pathway inhibitors, and potentially other SOCs in the larger DLBCL indication.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5" w:name="page126"/>
    <w:bookmarkEnd w:id="125"/>
    <w:p>
      <w:pPr>
        <w:ind w:firstLine="509"/>
        <w:spacing w:after="0" w:line="260" w:lineRule="auto"/>
        <w:rPr>
          <w:sz w:val="20"/>
          <w:szCs w:val="20"/>
          <w:color w:val="auto"/>
        </w:rPr>
      </w:pPr>
      <w:r>
        <w:rPr>
          <w:rFonts w:ascii="Arial" w:cs="Arial" w:eastAsia="Arial" w:hAnsi="Arial"/>
          <w:sz w:val="14"/>
          <w:szCs w:val="14"/>
          <w:color w:val="auto"/>
        </w:rPr>
        <w:t>We initiated the monotherapy cohort of our first-in-human Phase 1 clinical trial of ARV-393 in patients with relapsed or refractory NHL in the second quarter of 2024 and are currently recruiting patients for this clinical trial. We announced previously that there have been multiple responses in early cohorts in both B- and T-cell lymphomas in the first-in-human Phase 1 clinical trial. Dose escalation in the trial is ongoing and the safety profile of ARV-393 supports continuing dose escalation. We also believe these early data support an emerging, and differentiated, therapeutic benefit of ARV-393. We plan to share updated clinical data from the ongoing Phase 1 clinical trial of ARV-393 in patients with relapsed/refractory NHL at a medical congress in the second half of 2026. We also plan to initiate enrollment of a glofitamab combination cohort in patients with DLBCL in the ongoing Phase 1 clinical trial of ARV-393 in the first half of 2026.</w:t>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ARV-027: Oral PROTAC polyQ-AR Degrader Program</w:t>
      </w:r>
    </w:p>
    <w:p>
      <w:pPr>
        <w:spacing w:after="0" w:line="92"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ARV-027 is an investigational, oral, peripherally restricted PROTAC designed to selectively target and eliminate the polyQ-AR in skeletal muscle. In the fourth quarter of 2025 at the International Congress of the World Muscle Society, we presented new preclinical data demonstrating induced robust degradation of polyQ-AR in human myotubes derived from spinal bulbar muscular atrophy, or SBMA, patient-induced pluripotent stem cells. The preclinical ARV-027 data presented also showed dose-dependent degradation of AR in mouse skeletal muscle that was sustained for more than 24 hours (single oral dose), and reductions in muscle monomeric polyQ-AR levels between 40-60%, improved muscle grip strength, and restored muscle endurance to wild-type levels in SBMA mouse model.</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initiated a first-in-human Phase 1 clinical trial in ARV-027 in healthy volunteers in the first quarter of 2026.</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Vepdegestrant: Oral PROTAC ER Degrader Program</w:t>
      </w:r>
    </w:p>
    <w:p>
      <w:pPr>
        <w:spacing w:after="0" w:line="9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Vepdegestrant is an investigational orally bioavailable PROTAC estrogen receptor, or ER, degrader being developed for the treatment of ER+/HER2- locally advanced or metastatic breast cancer. We chose ER degradation as a therapeutic focus given the well-documented biology of ER signaling as a principal driver in a high percentage of breast cancers. In July 2021, we announced a global collaboration with Pfizer for the co-development and co-commercialization of vepdegestrant. The FDA has accepted our NDA for vepdegestrant for the treatment of patients with ER+/HER2-, ESR1-mutated advanced or metastatic breast cancer who have previously received endocrine-based therapy, and has assigned a PDUFA date of June 5, 2026.</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along with Pfizer, have several ongoing clinical trials of vepdegestrant, for which enrollment of patients is complete, which are summarized below.</w:t>
      </w:r>
    </w:p>
    <w:p>
      <w:pPr>
        <w:spacing w:after="0" w:line="94" w:lineRule="exact"/>
        <w:rPr>
          <w:sz w:val="20"/>
          <w:szCs w:val="20"/>
          <w:color w:val="auto"/>
        </w:rPr>
      </w:pPr>
    </w:p>
    <w:p>
      <w:pPr>
        <w:ind w:left="760" w:right="240" w:hanging="246"/>
        <w:spacing w:after="0" w:line="290" w:lineRule="auto"/>
        <w:tabs>
          <w:tab w:leader="none" w:pos="756" w:val="left"/>
        </w:tabs>
        <w:numPr>
          <w:ilvl w:val="0"/>
          <w:numId w:val="73"/>
        </w:numPr>
        <w:rPr>
          <w:rFonts w:ascii="Arial" w:cs="Arial" w:eastAsia="Arial" w:hAnsi="Arial"/>
          <w:sz w:val="14"/>
          <w:szCs w:val="14"/>
          <w:color w:val="auto"/>
        </w:rPr>
      </w:pPr>
      <w:r>
        <w:rPr>
          <w:rFonts w:ascii="Arial" w:cs="Arial" w:eastAsia="Arial" w:hAnsi="Arial"/>
          <w:sz w:val="14"/>
          <w:szCs w:val="14"/>
          <w:color w:val="auto"/>
        </w:rPr>
        <w:t>VERITAC-2, a Phase 3 clinical trial of vepdegestrant as a monotherapy, for the treatment of patients with metastatic breast cancer previously treated with endocrine based therapy;</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VERITAC, a Phase 2 dose expansion clinical trial of vepdegestrant as a monotherapy, for the treatment of patients with previously treated metastatic breast cancer;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TACTIVE-K, a Phase 1b/2 clinical trial of vepdegestrant in combination with Pfizer's cyclin-dependent kinase 4, or CDK4, inhibitor, atirmociclib; and</w:t>
      </w:r>
    </w:p>
    <w:p>
      <w:pPr>
        <w:spacing w:after="0" w:line="93" w:lineRule="exact"/>
        <w:rPr>
          <w:rFonts w:ascii="Arial" w:cs="Arial" w:eastAsia="Arial" w:hAnsi="Arial"/>
          <w:sz w:val="14"/>
          <w:szCs w:val="14"/>
          <w:color w:val="auto"/>
        </w:rPr>
      </w:pPr>
    </w:p>
    <w:p>
      <w:pPr>
        <w:ind w:left="760" w:right="740" w:hanging="246"/>
        <w:spacing w:after="0" w:line="290" w:lineRule="auto"/>
        <w:tabs>
          <w:tab w:leader="none" w:pos="75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TACTIVE-U, a group of Phase 1b/2 clinical trials of vepdegestrant in combination with multiple targeted therapies including abemaciclib, ribociclib or Carrick Therapeutics, Inc.'s, or Carrick, cyclin-dependent kinase 7, or CDK7, inhibitor, samuraciclib.</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along with Pfizer, also have completed two clinical trials of vepdegestrant:</w:t>
      </w:r>
    </w:p>
    <w:p>
      <w:pPr>
        <w:spacing w:after="0" w:line="83" w:lineRule="exact"/>
        <w:rPr>
          <w:sz w:val="20"/>
          <w:szCs w:val="20"/>
          <w:color w:val="auto"/>
        </w:rPr>
      </w:pPr>
    </w:p>
    <w:p>
      <w:pPr>
        <w:ind w:left="760" w:hanging="246"/>
        <w:spacing w:after="0"/>
        <w:tabs>
          <w:tab w:leader="none" w:pos="7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TACTIVE-N, a Phase 2 clinical trial of vepdegestrant as a monotherapy in the neoadjuvant setting;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TACTIVE-E, a Phase 1 clinical trial of vepdegestrant in combination with everolimus.</w:t>
      </w:r>
    </w:p>
    <w:p>
      <w:pPr>
        <w:spacing w:after="0" w:line="391"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Additionally, VERITAC-3 a clinical trial with a study lead-in of vepdegestrant in combination with palbociclib for the treatment of patients with first-line metastatic breast cancer, is ongoing and enrollment of patients is complete. As previously disclosed, VERITAC-3 will not proceed beyond the study lead-in.</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31" w:right="379" w:bottom="1440" w:gutter="0" w:footer="0" w:header="0"/>
        </w:sectPr>
      </w:pPr>
    </w:p>
    <w:bookmarkStart w:id="126" w:name="page127"/>
    <w:bookmarkEnd w:id="126"/>
    <w:p>
      <w:pPr>
        <w:ind w:left="520"/>
        <w:spacing w:after="0"/>
        <w:rPr>
          <w:sz w:val="20"/>
          <w:szCs w:val="20"/>
          <w:color w:val="auto"/>
        </w:rPr>
      </w:pPr>
      <w:r>
        <w:rPr>
          <w:rFonts w:ascii="Arial" w:cs="Arial" w:eastAsia="Arial" w:hAnsi="Arial"/>
          <w:sz w:val="14"/>
          <w:szCs w:val="14"/>
          <w:i w:val="1"/>
          <w:iCs w:val="1"/>
          <w:color w:val="auto"/>
        </w:rPr>
        <w:t>VERITAC-2 Clinical Trial, New Drug Application</w:t>
      </w:r>
    </w:p>
    <w:p>
      <w:pPr>
        <w:spacing w:after="0" w:line="81"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In the first quarter of 2025, we, along with Pfizer, announced positive topline results from the Phase 3 VERITAC-2 clinical trial in the estrogen receptor 1-mutant, or ESR1m, population, and in the second quarter of 2025, we, along with Pfizer announced detailed results from this clinical trial. These detailed results were presented in a late-breaking oral presentation at the American Society of Clinical Oncology, or ASCO, 2025 Annual Meeting and were highlighted in the ASCO press briefing and selected for Best of ASCO, and were also simultaneously published in the New England Journal of Medicine.</w:t>
      </w:r>
    </w:p>
    <w:p>
      <w:pPr>
        <w:spacing w:after="0" w:line="159" w:lineRule="exact"/>
        <w:rPr>
          <w:sz w:val="20"/>
          <w:szCs w:val="20"/>
          <w:color w:val="auto"/>
        </w:rPr>
      </w:pPr>
    </w:p>
    <w:p>
      <w:pPr>
        <w:ind w:right="200" w:firstLine="509"/>
        <w:spacing w:after="0" w:line="263" w:lineRule="auto"/>
        <w:rPr>
          <w:sz w:val="20"/>
          <w:szCs w:val="20"/>
          <w:color w:val="auto"/>
        </w:rPr>
      </w:pPr>
      <w:r>
        <w:rPr>
          <w:rFonts w:ascii="Arial" w:cs="Arial" w:eastAsia="Arial" w:hAnsi="Arial"/>
          <w:sz w:val="14"/>
          <w:szCs w:val="14"/>
          <w:color w:val="auto"/>
        </w:rPr>
        <w:t>Based on the results from VERITAC-2, in the second quarter of 2025, we and Pfizer submitted an NDA to the FDA for vepdegestrant for the treatment of patients with ER+/HER2- ESR1-mutated advanced or metastatic breast cancer previously treated with endocrine-based therapy. This represents the first NDA submitted for a PROTAC. In the third quarter of 2025, we announced that the FDA accepted the NDA for vepdegestrant and assigned a PDUFA date of June 5, 2026.</w:t>
      </w:r>
    </w:p>
    <w:p>
      <w:pPr>
        <w:spacing w:after="0" w:line="150" w:lineRule="exact"/>
        <w:rPr>
          <w:sz w:val="20"/>
          <w:szCs w:val="20"/>
          <w:color w:val="auto"/>
        </w:rPr>
      </w:pPr>
    </w:p>
    <w:p>
      <w:pPr>
        <w:ind w:right="40" w:firstLine="509"/>
        <w:spacing w:after="0" w:line="251" w:lineRule="auto"/>
        <w:rPr>
          <w:sz w:val="20"/>
          <w:szCs w:val="20"/>
          <w:color w:val="auto"/>
        </w:rPr>
      </w:pPr>
      <w:r>
        <w:rPr>
          <w:rFonts w:ascii="Arial" w:cs="Arial" w:eastAsia="Arial" w:hAnsi="Arial"/>
          <w:sz w:val="14"/>
          <w:szCs w:val="14"/>
          <w:color w:val="auto"/>
        </w:rPr>
        <w:t>As part of our global collaboration with Pfizer, we and Pfizer presented patient reported outcomes, or PRO, data from the VERITAC-2 clinical trial evaluating vepdegestrant versus fulvestrant for previously treated patients with ESR1 mutated- ER+/HER2- advanced breast cancer in the fourth quarter of 2025 at the European Society for Medical Oncology, or ESMO, 2025 Congress. In the VERITAC-2 clinical trial, in patients with ESR1-mutated disease, vepdegestrant demonstrated a reduced risk of deterioration compared to fulvestrant which was statistically significant in several PRO domains including overall health status, pain severity, and functioning (including role, cognitive, emotional, and social functioning), and vepdegestrant consistently showed reduced risk of deterioration versus fulvestrant across all PRO domains. These PRO data from the VERITAC-2 clinical trial support the clinical benefit of vepdegestrant in patients with ESR1-mutated, ER+/HER2- advanced or metastatic breast cancer previously treated with endocrine-based therapy.</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Other Clinical Trials and Information</w:t>
      </w:r>
    </w:p>
    <w:p>
      <w:pPr>
        <w:spacing w:after="0" w:line="92"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In the second quarter of 2025, we announced that we and Pfizer removed two planned Phase 3 combination trials of vepdegestrant from the agreed-upon joint development plan: a first-line Phase 3 combination trial with Pfizer’s novel investigational CDK4 inhibitor, atirmociclib, and a second-line Phase 3 combination trial with a CDK4/6 inhibitor.</w:t>
      </w:r>
    </w:p>
    <w:p>
      <w:pPr>
        <w:spacing w:after="0" w:line="141" w:lineRule="exact"/>
        <w:rPr>
          <w:sz w:val="20"/>
          <w:szCs w:val="20"/>
          <w:color w:val="auto"/>
        </w:rPr>
      </w:pPr>
    </w:p>
    <w:p>
      <w:pPr>
        <w:ind w:right="280" w:firstLine="509"/>
        <w:spacing w:after="0" w:line="274" w:lineRule="auto"/>
        <w:rPr>
          <w:sz w:val="20"/>
          <w:szCs w:val="20"/>
          <w:color w:val="auto"/>
        </w:rPr>
      </w:pPr>
      <w:r>
        <w:rPr>
          <w:rFonts w:ascii="Arial" w:cs="Arial" w:eastAsia="Arial" w:hAnsi="Arial"/>
          <w:sz w:val="14"/>
          <w:szCs w:val="14"/>
          <w:color w:val="auto"/>
        </w:rPr>
        <w:t>Additionally, in the second quarter of 2025, Pfizer added a vepdegestrant combination cohort to its ongoing Phase 1 clinical trial evaluating Pfizer’s investigational KAT6 inhibitor in combination with endocrine therapies following CDK4/6 inhibitor treatment. This clinical trial is being operationalized and funded solely by Pfizer.</w:t>
      </w:r>
    </w:p>
    <w:p>
      <w:pPr>
        <w:spacing w:after="0" w:line="14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4"/>
          <w:szCs w:val="14"/>
          <w:color w:val="auto"/>
        </w:rPr>
        <w:t>As part of our global collaboration with Pfizer, we and Pfizer presented results of the TACTIVE-N Phase 2 clinical trial which evaluated neoadjuvant vepdegestrant in postmenopausal women with ER+/HER2– localized breast cancer in the fourth quarter of 2025 at the ESMO 2025 Congress. The results presented showed that neoadjuvant vepdegestrant demonstrated biological and clinical activity in this treatment-naïve, predominantly ESR1 wild-type population of postmenopausal women with ER+/HER2- localized breast cancer.</w:t>
      </w:r>
    </w:p>
    <w:p>
      <w:pPr>
        <w:spacing w:after="0" w:line="16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4"/>
          <w:szCs w:val="14"/>
          <w:color w:val="auto"/>
        </w:rPr>
        <w:t>In addition, as part of our global collaboration with Pfizer, we presented five posters at the San Antonio Breast Cancer Symposium further supporting the potential of vepdegestrant as a potential treatment option for patients with ESR1-mutated ER+/HER2- advanced or metastatic breast cancer previously treated with endocrine-based therapy potential.</w:t>
      </w:r>
    </w:p>
    <w:p>
      <w:pPr>
        <w:spacing w:after="0" w:line="166" w:lineRule="exact"/>
        <w:rPr>
          <w:sz w:val="20"/>
          <w:szCs w:val="20"/>
          <w:color w:val="auto"/>
        </w:rPr>
      </w:pPr>
    </w:p>
    <w:p>
      <w:pPr>
        <w:ind w:right="120" w:firstLine="509"/>
        <w:spacing w:after="0" w:line="250" w:lineRule="auto"/>
        <w:rPr>
          <w:sz w:val="20"/>
          <w:szCs w:val="20"/>
          <w:color w:val="auto"/>
        </w:rPr>
      </w:pPr>
      <w:r>
        <w:rPr>
          <w:rFonts w:ascii="Arial" w:cs="Arial" w:eastAsia="Arial" w:hAnsi="Arial"/>
          <w:sz w:val="14"/>
          <w:szCs w:val="14"/>
          <w:color w:val="auto"/>
        </w:rPr>
        <w:t>We, along with Pfizer, continue market preparations for vepdegestrant in advance of the PDUFA date. While we continue to believe that vepdegestrant has the potential to be a best-in-class monotherapy treatment for advanced/metastatic breast cancer patients in the second-line ESR1m setting, given our and Pfizer’s decision to remove the two planned Phase 3 combination trials of vepdegestrant from the agreed-upon joint development plan as noted above, we determined that it is no longer viable for us to build out our commercial infrastructure as we had previously planned. As such, in the third quarter of 2025, we announced that we and Pfizer have agreed to jointly select a third party for the commercialization and potential future development of vepdegestrant.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3" w:right="339" w:bottom="1440" w:gutter="0" w:footer="0" w:header="0"/>
        </w:sectPr>
      </w:pPr>
    </w:p>
    <w:bookmarkStart w:id="127" w:name="page128"/>
    <w:bookmarkEnd w:id="127"/>
    <w:p>
      <w:pPr>
        <w:ind w:left="520"/>
        <w:spacing w:after="0"/>
        <w:rPr>
          <w:sz w:val="20"/>
          <w:szCs w:val="20"/>
          <w:color w:val="auto"/>
        </w:rPr>
      </w:pPr>
      <w:r>
        <w:rPr>
          <w:rFonts w:ascii="Arial" w:cs="Arial" w:eastAsia="Arial" w:hAnsi="Arial"/>
          <w:sz w:val="14"/>
          <w:szCs w:val="14"/>
          <w:b w:val="1"/>
          <w:bCs w:val="1"/>
          <w:color w:val="auto"/>
        </w:rPr>
        <w:t>Our Preclinical and Other Programs</w:t>
      </w:r>
    </w:p>
    <w:p>
      <w:pPr>
        <w:spacing w:after="0" w:line="94" w:lineRule="exact"/>
        <w:rPr>
          <w:sz w:val="20"/>
          <w:szCs w:val="20"/>
          <w:color w:val="auto"/>
        </w:rPr>
      </w:pPr>
    </w:p>
    <w:p>
      <w:pPr>
        <w:ind w:right="80" w:firstLine="509"/>
        <w:spacing w:after="0" w:line="290" w:lineRule="auto"/>
        <w:rPr>
          <w:sz w:val="20"/>
          <w:szCs w:val="20"/>
          <w:color w:val="auto"/>
        </w:rPr>
      </w:pPr>
      <w:r>
        <w:rPr>
          <w:rFonts w:ascii="Arial" w:cs="Arial" w:eastAsia="Arial" w:hAnsi="Arial"/>
          <w:sz w:val="14"/>
          <w:szCs w:val="14"/>
          <w:color w:val="auto"/>
        </w:rPr>
        <w:t>We have active preclinical programs and in neurology and oncology. In 2025 we announced two new product candidate nominees, ARV-027 and ARV-6723. As described above, we initiated a Phase 1 clinical trial for ARV-027 in the first quarter of 2026.</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ARV-6723: Oral PROTAC HPK1 Degrader</w:t>
      </w:r>
    </w:p>
    <w:p>
      <w:pPr>
        <w:spacing w:after="0" w:line="92"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ARV-6723 is an investigational, preclinical oral PROTAC designed to degrade HPK1 in solid malignancies. Preclinically, ARV-6723 has shown potent, selective HPK1 degradation and strong anti-tumor immune responses with superior tumor control in low- and high- immunogenic murine syngeneic tumor models. We presented preclinical data at the Society for Immunotherapy of Cancer annual meeting in the fourth quarter of 2025 that we believe supports the potential of ARV-6723 to provide sustained anti-tumor immune response as a single agent or in combination with standards of care with improved clinical benefits, including that: ARV-6723, as a single agent, demonstrates anti-tumor efficacy superior to anti-PD1 or a clinical HPK1 inhibitor and combines with anti-PD1 to further enhance response; and ARV-6723 single agent activity outperforms the HPK1 inhibitor and anti-PD-1 efficacy and reinstitutes the tumor microenvironment. We believe these preclinical results support future investigation of ARV-6723 alone or in combination with other agents in patients with high- or low-immunogenic tumors. In addition, we presented preclinical data for ARV-6723 at the American Association for Cancer Research, or AACR, Immuno-Oncology Conference in the first quarter of 2026 that support clinical investigation of ARV-6723 in patients with solid tumors harboring high- or low-immunogenic tumor microenvironments, or TME, including immune checkpoint inhibitor-resistant tumor settings. This preclinical data showed robust single-agent antitumor and proinflammatory activity in multiple syngeneic tumor models, including those with immunosuppressive TMEs, and showed greater preclinical activity than an investigational HPK1 inhibitor or an anti-PD-1 antibody.</w:t>
      </w:r>
    </w:p>
    <w:p>
      <w:pPr>
        <w:spacing w:after="0" w:line="14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4"/>
          <w:szCs w:val="14"/>
          <w:color w:val="auto"/>
        </w:rPr>
        <w:t>Pending regulatory feedback, we plan to initiate a Phase 1 clinical trial of ARV-6723 in patients with advanced solid tumors in mid-2026. Additionally, we plan to present preclinical data evaluating antitumor and unique immunomodulatory activity of ARV-6723 in immuno-oncology-resistant models compared to SOC checkpoint inhibition in the first half of 2026.</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Pan-KRAS Program</w:t>
      </w:r>
    </w:p>
    <w:p>
      <w:pPr>
        <w:spacing w:after="0" w:line="92"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Our preclinical oral pan-KRAS program targets multiple variants of KRAS that drive solid tumors such as PDAC, colorectal cancer, NSCLC and esophageal cancer, while sparing other RAS isoforms. In the fourth quarter of 2025, a poster presented at the 2025 Triple Meeting, showed that orally bioavailable pan-KRAS degraders have been identified that potently degrade multiple variants of KRAS and spare other RAS isoforms. A tool pan-KRAS PROTAC demonstrated robust single-agent activity and superior combination efficacy with immune checkpoint blockade compared with a pan-RAS ON inhibitor (seven complete responses compared with two complete responses). We plan to present preclinical data evaluating the activity and selectivity of a novel pan-KRAS degrader in multiple KRAS mutants and differentiation over RAS (ON) or pan-KRAS inhibitors in the first quarter of 2026 at the AACR Special Conference in Cancer Research: RAS Oncogenesis and Therapeutics. We also plan to present preclinical data evaluating the efficacy of a novel pan-KRAS degrader in a KRAS syngeneic model, as well as associated immune microenvironment changes in the first half of 2026.</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Programs: Luxdegalutamide (ARV-766) and bavdegalutamide (ARV-110)</w:t>
      </w:r>
    </w:p>
    <w:p>
      <w:pPr>
        <w:spacing w:after="0" w:line="9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had been developing luxdegalutamide and bavdegalutamide, each an investigational, orally bioavailable, AR degrading PROTAC targeted protein degrader, for the treatment of men with metastatic castration-resistant prostate cancer, or mCRPC. Both luxdegalutamide and bavdegalutamide demonstrated activity in preclinical models of AR overexpression and AR mutations, both common mechanisms of resistance to current standard-of-care agents in men with prostate cancer. We believed that the differentiated PROTAC pharmacology of luxdegalutamide and bavdegalutamide, including their iterative activity, had the potential to translate into significantly improved clinical outcomes over current SOC agents. However, a comparison of clinical data from separate studies of luxdegalutamide and bavdegalutamide showed that luxdegalutamide’s tolerability and efficacy was more promising than that of bavdegalutamide. As a result, early in the fourth quarter of 2023, we determined to prioritize the initiation of a Phase 3 clinical trial with luxdegalutamide in mCRPC instead of the previously planned Phase 3 clinical trial for bavdegalutamide. Clinical trials for bavdegalutamide (ARV-110-101 and ARV-110-103) were completed in the second quarter of 2025.</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16" w:right="399" w:bottom="1440" w:gutter="0" w:footer="0" w:header="0"/>
        </w:sectPr>
      </w:pPr>
    </w:p>
    <w:bookmarkStart w:id="128" w:name="page129"/>
    <w:bookmarkEnd w:id="128"/>
    <w:p>
      <w:pPr>
        <w:ind w:right="100" w:firstLine="509"/>
        <w:spacing w:after="0" w:line="262" w:lineRule="auto"/>
        <w:rPr>
          <w:sz w:val="20"/>
          <w:szCs w:val="20"/>
          <w:color w:val="auto"/>
        </w:rPr>
      </w:pPr>
      <w:r>
        <w:rPr>
          <w:rFonts w:ascii="Arial" w:cs="Arial" w:eastAsia="Arial" w:hAnsi="Arial"/>
          <w:sz w:val="14"/>
          <w:szCs w:val="14"/>
          <w:color w:val="auto"/>
        </w:rPr>
        <w:t>In the second quarter of 2024, we completed a transaction with Novartis Pharma AG, or Novartis, which comprised a license agreement, or the Novartis License Agreement, and an asset agreement, or the Novartis Asset Agreement. Pursuant to the Novartis License Agreement, we granted Novartis an exclusive worldwide license for the development, manufacture and commercialization of luxdegalutamide, and we completed the transition of our ongoing and planned clinical trials of luxdegalutamide to Novartis in the fourth quarter of 2024. Pursuant to the Novartis Asset Agreement, we sold Novartis all of our rights, title and interest in our PROTAC protein degrader targeting AR-V7, a splice variant of the AR.</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Operations</w:t>
      </w:r>
    </w:p>
    <w:p>
      <w:pPr>
        <w:spacing w:after="0" w:line="9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We commenced operations in 2013. Our operations to date have been limited to organizing and staffing our company, business planning, raising capital, conducting discovery and research activities, filing patent applications, identifying potential product candidates, undertaking preclinical studies and clinical trials, establishing arrangements with third parties for collaborations and for the manufacture of initial quantities of our product candidates and preparing for potential commercialization. To date, we have not generated any revenue from product sales and have financed our operations primarily through sales of assets and equity, proceeds from collaborations and a licensing arrangement, grant funding and debt financing. Since inception through December 31, 2025, we raised approximately $1.7 billion in gross proceeds from the sale of assets and equity interests and the exercise of stock options, and had received an aggregate of $933.1 million in payments primarily from collaboration partners and a licensing arrangement.</w:t>
      </w:r>
    </w:p>
    <w:p>
      <w:pPr>
        <w:spacing w:after="0" w:line="142" w:lineRule="exact"/>
        <w:rPr>
          <w:sz w:val="20"/>
          <w:szCs w:val="20"/>
          <w:color w:val="auto"/>
        </w:rPr>
      </w:pPr>
    </w:p>
    <w:p>
      <w:pPr>
        <w:ind w:right="60" w:firstLine="433"/>
        <w:spacing w:after="0" w:line="260" w:lineRule="auto"/>
        <w:rPr>
          <w:sz w:val="20"/>
          <w:szCs w:val="20"/>
          <w:color w:val="auto"/>
        </w:rPr>
      </w:pPr>
      <w:r>
        <w:rPr>
          <w:rFonts w:ascii="Arial" w:cs="Arial" w:eastAsia="Arial" w:hAnsi="Arial"/>
          <w:sz w:val="14"/>
          <w:szCs w:val="14"/>
          <w:color w:val="auto"/>
        </w:rPr>
        <w:t>We are a clinical-stage company, with product candidates in clinical development and other drug discovery activities in the research and preclinical development stages. Our ability to generate revenue from product sales sufficient to achieve profitability will depend heavily on the successful development and eventual commercialization of one or more of our product candidates. In June 2025 we announced the submission of an NDA to the FDA with our partner Pfizer for vepdegestrant for the treatment of patients with ER+/HER2-, ESR1-mutated advanced or metastatic breast cancer previously treated with endocrine-based therapy. In August 2025 we announced the FDA's acceptance of this NDA for review and that the FDA had assigned a PDUFA date of June 5, 2026. In September 2025, we and Pfizer announced our plan to jointly select a third party for the commercialization and potential further development of vepdegestrant.</w:t>
      </w:r>
    </w:p>
    <w:p>
      <w:pPr>
        <w:spacing w:after="0" w:line="142"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38"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We regularly review our operations and make decisions we believe best support our business strategy. In April 2025, as part of our decision to streamline operations across our organization and enable the efficient progression of our portfolio, we committed to and approved a reduction of our workforce by approximately 33% across all areas of our company. The workforce reduction was aimed at reducing internal costs while minimally impacting our targeted clinical stage programs to drive value over the next several years by aligning our operations with long-term program development objectives. The workforce reduction was substantially completed by the end of the second quarter of 2025.</w:t>
      </w:r>
    </w:p>
    <w:p>
      <w:pPr>
        <w:spacing w:after="0" w:line="138"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In September 2025, we announced an update on our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supporting activities required for commercialization readiness and identification, with Pfizer, of a third party for the commercialization and potential further development of vepdegestrant; reducing our workforce by an additional 15%, with the most significant reductions being roles related to vepdegestrant commercialization; and proactively managing pipeline cost by seeking strategic business development opportunities and by identifying further efficiencies across the business. The September 2025 workforce reduction was substantially completed in the first quarter of 2026.</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9" w:name="page130"/>
    <w:bookmarkEnd w:id="129"/>
    <w:p>
      <w:pPr>
        <w:ind w:right="100" w:firstLine="509"/>
        <w:spacing w:after="0" w:line="271" w:lineRule="auto"/>
        <w:rPr>
          <w:sz w:val="20"/>
          <w:szCs w:val="20"/>
          <w:color w:val="auto"/>
        </w:rPr>
      </w:pPr>
      <w:r>
        <w:rPr>
          <w:rFonts w:ascii="Arial" w:cs="Arial" w:eastAsia="Arial" w:hAnsi="Arial"/>
          <w:sz w:val="14"/>
          <w:szCs w:val="14"/>
          <w:color w:val="auto"/>
        </w:rPr>
        <w:t xml:space="preserve">We recognized restructuring charges of $3.7 million related to the two actions noted above, including $15.3 million of cash severance and other one-time employee related termination benefit related to the workforce reductions, partially offset by a reversal of $11.6 million of non-cash stock compensation and bonus expenses. We expect to achieve annual operating cost savings of $100.0 million, on a run-rate basis. Refer to Note 14, </w:t>
      </w:r>
      <w:r>
        <w:rPr>
          <w:rFonts w:ascii="Arial" w:cs="Arial" w:eastAsia="Arial" w:hAnsi="Arial"/>
          <w:sz w:val="14"/>
          <w:szCs w:val="14"/>
          <w:i w:val="1"/>
          <w:iCs w:val="1"/>
          <w:color w:val="auto"/>
        </w:rPr>
        <w:t>Restructuring Activity,</w:t>
      </w:r>
      <w:r>
        <w:rPr>
          <w:rFonts w:ascii="Arial" w:cs="Arial" w:eastAsia="Arial" w:hAnsi="Arial"/>
          <w:sz w:val="14"/>
          <w:szCs w:val="14"/>
          <w:color w:val="auto"/>
        </w:rPr>
        <w:t xml:space="preserve"> in this Annual Report on Form 10-K for further details.</w:t>
      </w:r>
    </w:p>
    <w:p>
      <w:pPr>
        <w:spacing w:after="0" w:line="134"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color w:val="auto"/>
        </w:rPr>
        <w:t>In the first quarter of 2026, we announced the appointment of Randy Teel, Ph.D., as our President, Chief Executive Officer and as a member of our board of directors. Dr. Teel, who previously served as our Chief Business Officer, succeeds John Houston, Ph.D., who is retired from his role as President, Chief Executive Officer, and Chair of Arvinas’ board of directors. Dr. Houston will continue to serve as a member of the Board and has entered into a consulting agreement with us whereby he will provide consulting and advisory services. Briggs Morrison, M.D., our lead independent director, has been elected to serve as Chair of our board of directors.</w:t>
      </w:r>
    </w:p>
    <w:p>
      <w:pPr>
        <w:spacing w:after="0" w:line="138" w:lineRule="exact"/>
        <w:rPr>
          <w:sz w:val="20"/>
          <w:szCs w:val="20"/>
          <w:color w:val="auto"/>
        </w:rPr>
      </w:pPr>
    </w:p>
    <w:p>
      <w:pPr>
        <w:ind w:right="160" w:firstLine="433"/>
        <w:spacing w:after="0" w:line="265" w:lineRule="auto"/>
        <w:rPr>
          <w:sz w:val="20"/>
          <w:szCs w:val="20"/>
          <w:color w:val="auto"/>
        </w:rPr>
      </w:pPr>
      <w:r>
        <w:rPr>
          <w:rFonts w:ascii="Arial" w:cs="Arial" w:eastAsia="Arial" w:hAnsi="Arial"/>
          <w:sz w:val="14"/>
          <w:szCs w:val="14"/>
          <w:color w:val="auto"/>
        </w:rPr>
        <w:t>Since inception, we have incurred significant operating losses and, even in light of our workforce reductions and cost optimization decisions, expect to continue to incur operating losses for at least the next several years. In addition to any additional costs not currently contemplated due to the events associated with or resulting from our workforce reductions, our ability to achieve profitability and our financial position will depend, in part, on the rate of our future expenditures, potential collaboration revenue, our ability to successfully implement cost avoidance measures and reduce overhead costs and our ability to obtain additional funding.</w:t>
      </w:r>
    </w:p>
    <w:p>
      <w:pPr>
        <w:spacing w:after="0" w:line="138" w:lineRule="exact"/>
        <w:rPr>
          <w:sz w:val="20"/>
          <w:szCs w:val="20"/>
          <w:color w:val="auto"/>
        </w:rPr>
      </w:pPr>
    </w:p>
    <w:p>
      <w:pPr>
        <w:ind w:right="120" w:firstLine="433"/>
        <w:spacing w:after="0" w:line="262" w:lineRule="auto"/>
        <w:rPr>
          <w:sz w:val="20"/>
          <w:szCs w:val="20"/>
          <w:color w:val="auto"/>
        </w:rPr>
      </w:pPr>
      <w:r>
        <w:rPr>
          <w:rFonts w:ascii="Arial" w:cs="Arial" w:eastAsia="Arial" w:hAnsi="Arial"/>
          <w:sz w:val="14"/>
          <w:szCs w:val="14"/>
          <w:color w:val="auto"/>
        </w:rPr>
        <w:t>We expect to continue to incur significant expenses associated with: our ongoing and anticipated preclinical and clinical activities, development activities, research activities in oncology, neuroscience and other disease areas, managing our employees and retaining key talent in research, clinical trials, quality and other functional areas, expenses incurred with CMOs and CDMOs to supply us with product for our preclinical and clinical studies and expenses incurred with contract research organizations, or CROs, for the synthesis of compounds in our preclinical development activities, as well as other associated costs including those related to partnering with us on our clinical trial portfolio and the management of our intellectual property portfolio.</w:t>
      </w:r>
    </w:p>
    <w:p>
      <w:pPr>
        <w:spacing w:after="0" w:line="14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We do not expect to generate any revenue from product sales in the near future, if ever. 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to grant licenses on terms that may not be favorable to us.</w:t>
      </w:r>
    </w:p>
    <w:p>
      <w:pPr>
        <w:spacing w:after="0" w:line="138" w:lineRule="exact"/>
        <w:rPr>
          <w:sz w:val="20"/>
          <w:szCs w:val="20"/>
          <w:color w:val="auto"/>
        </w:rPr>
      </w:pPr>
    </w:p>
    <w:p>
      <w:pPr>
        <w:ind w:right="300" w:firstLine="509"/>
        <w:spacing w:after="0" w:line="265" w:lineRule="auto"/>
        <w:rPr>
          <w:sz w:val="20"/>
          <w:szCs w:val="20"/>
          <w:color w:val="auto"/>
        </w:rPr>
      </w:pPr>
      <w:r>
        <w:rPr>
          <w:rFonts w:ascii="Arial" w:cs="Arial" w:eastAsia="Arial" w:hAnsi="Arial"/>
          <w:sz w:val="14"/>
          <w:szCs w:val="14"/>
          <w:color w:val="auto"/>
        </w:rPr>
        <w:t>As of December 31, 2025, we had cash, cash equivalents and marketable securities of $ 685.4 million. We believe the existing cash, cash equivalents and marketable securities on hand will be sufficient to fund our operations into the second half of 2028, which will enable us to execute on multiple data readouts across our programs. We have based this estimate on assumptions that may prove to be wrong, and we could exhaust our available capital resources sooner than we expect. See “Liquidity and Capital Resources” below.</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Financial Operations Overview</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Revenue</w:t>
      </w:r>
    </w:p>
    <w:p>
      <w:pPr>
        <w:spacing w:after="0" w:line="9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To date, we have not generated any revenue from product sales and do not expect to generate any revenue from the sale of products in the near future. Our revenues to date have been generated through research collaborations, a licensing arrangement and an asset sale. Revenue is recognized ratably over our expected performance period under each agreement. We expect that any revenue recognized in the near term will be derived primarily from our current collaboration agreements and licensing arrangement and any additional arrangements that we may enter into in the future. During the year ended December 31, 2025, we received a development milestone totaling $20.0 million, pursuant to the terms of the Novartis License Agreement. To date, no other development, regulatory and commercial milestone payments or royalties have been received under any of our other collaboration agreements or licensing arrangement.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30" w:name="page131"/>
    <w:bookmarkEnd w:id="130"/>
    <w:p>
      <w:pPr>
        <w:ind w:left="520"/>
        <w:spacing w:after="0"/>
        <w:rPr>
          <w:sz w:val="20"/>
          <w:szCs w:val="20"/>
          <w:color w:val="auto"/>
        </w:rPr>
      </w:pPr>
      <w:r>
        <w:rPr>
          <w:rFonts w:ascii="Arial" w:cs="Arial" w:eastAsia="Arial" w:hAnsi="Arial"/>
          <w:sz w:val="14"/>
          <w:szCs w:val="14"/>
          <w:b w:val="1"/>
          <w:bCs w:val="1"/>
          <w:i w:val="1"/>
          <w:iCs w:val="1"/>
          <w:color w:val="auto"/>
        </w:rPr>
        <w:t>Pfizer Vepdegestrant (ARV-471) Collaboration Agreement</w:t>
      </w:r>
    </w:p>
    <w:p>
      <w:pPr>
        <w:spacing w:after="0" w:line="92"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In July 2021, we entered into the Vepdegestrant (ARV-471) Collaboration Agreement with Pfizer, pursuant to which we granted Pfizer worldwide co-exclusive rights to develop and commercialize products containing our proprietary compound vepdegestrant (ARV-471), or the Licensed Products.</w:t>
      </w:r>
    </w:p>
    <w:p>
      <w:pPr>
        <w:spacing w:after="0" w:line="35"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Under the Vepdegestrant (ARV-471) Collaboration Agreement, we received an upfront, non-refundable payment of $650 million. In addition, we are eligible to receive up to an additional $1.4 billion in contingent payments based on specified regulatory and sales-based milestones for the Licensed Products. Of the total contingent payments, $400 million in regulatory milestones are related to marketing approvals and $1.0 billion are related to sales-based milestones.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and Pfizer share equally (50/50) all development costs (including costs for conducting any clinical trials) for the Licensed Products, subject to certain exceptions.</w:t>
      </w:r>
    </w:p>
    <w:p>
      <w:pPr>
        <w:spacing w:after="0" w:line="9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Unless earlier terminated in accordance with its terms, the Vepdegestrant (ARV-471) Collaboration Agreement will expire on a Licensed Product-by-Licensed Product and country-by-country basis when such Licensed Product is no longer commercialized or developed for commercialization in such country. Pfizer may terminate the Vepdegestrant (ARV-471) Collaboration Agreement for convenience in its entirety or on a region-by-region basis subject to certain notice periods. Either party may terminate the Vepdegestrant</w:t>
      </w:r>
    </w:p>
    <w:p>
      <w:pPr>
        <w:ind w:right="460"/>
        <w:spacing w:after="0" w:line="261" w:lineRule="auto"/>
        <w:rPr>
          <w:sz w:val="20"/>
          <w:szCs w:val="20"/>
          <w:color w:val="auto"/>
        </w:rPr>
      </w:pPr>
      <w:r>
        <w:rPr>
          <w:rFonts w:ascii="Arial" w:cs="Arial" w:eastAsia="Arial" w:hAnsi="Arial"/>
          <w:sz w:val="14"/>
          <w:szCs w:val="14"/>
          <w:color w:val="auto"/>
        </w:rPr>
        <w:t>(ARV-471) Collaboration Agreement for the other party’s uncured material breach or insolvency. Subject to applicable terms of the Vepdegestrant (ARV-471) Collaboration Agreement, including certain payments to Pfizer upon termination for our uncured material breach, effective upon termination of the Vepdegestrant (ARV-471) Collaboration Agreement, we are entitled to retain specified licenses to be able to continue to exploit the Licensed Products.</w:t>
      </w:r>
    </w:p>
    <w:p>
      <w:pPr>
        <w:spacing w:after="0" w:line="55"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spacing w:after="0" w:line="120"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In the third quarter of 2025, we announced that we and Pfizer have agreed to jointly select a third party for the commercialization and potential future development of vepdegestrant.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Pfizer Research Collaboration Agreement</w:t>
      </w:r>
    </w:p>
    <w:p>
      <w:pPr>
        <w:spacing w:after="0" w:line="92"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In December 2017, we entered into a Research Collaboration and License Agreement with Pfizer, setting forth our collaboration to identify or optimize PROTAC targeted protein degraders that mediate for degradation of targets, using our proprietary platform technology that are identified in the agreement or subsequently selected by Pfizer, subject to certain exclusions. We refer to this agreement as the Pfizer Research Collaboration Agreement.</w:t>
      </w:r>
    </w:p>
    <w:p>
      <w:pPr>
        <w:spacing w:after="0" w:line="134"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Under the Pfizer Research Collaboration Agreement, Pfizer has designated a number of initial targets. For each identified target, we and Pfizer will conduct a separate research program pursuant to a research plan. Pfizer may make substitutions for any of the initial target candidates, subject to the stage of research for such target.</w:t>
      </w:r>
    </w:p>
    <w:p>
      <w:pPr>
        <w:spacing w:after="0" w:line="120" w:lineRule="exact"/>
        <w:rPr>
          <w:sz w:val="20"/>
          <w:szCs w:val="20"/>
          <w:color w:val="auto"/>
        </w:rPr>
      </w:pPr>
    </w:p>
    <w:p>
      <w:pPr>
        <w:ind w:right="140" w:firstLine="509"/>
        <w:spacing w:after="0" w:line="265" w:lineRule="auto"/>
        <w:rPr>
          <w:sz w:val="20"/>
          <w:szCs w:val="20"/>
          <w:color w:val="auto"/>
        </w:rPr>
      </w:pPr>
      <w:r>
        <w:rPr>
          <w:rFonts w:ascii="Arial" w:cs="Arial" w:eastAsia="Arial" w:hAnsi="Arial"/>
          <w:sz w:val="14"/>
          <w:szCs w:val="14"/>
          <w:color w:val="auto"/>
        </w:rPr>
        <w:t>In the year ended December 31, 2018, we received an upfront, non-refundable payment and certain additional payments totaling $28.0 million in exchange for use of the technology license and to fund Pfizer-related research, as defined within the Pfizer Research Collaboration Agreement. As of December 31, 2025, there remains a single target under the Pfizer Research Collaboration Agreement, and, in accordance with the terms of such Agreement, we are eligible to receive up to an additional $3.8 million in non-refundable option payments if Pfizer exercises its option for such target protein.</w:t>
      </w:r>
    </w:p>
    <w:p>
      <w:pPr>
        <w:spacing w:after="0" w:line="138" w:lineRule="exact"/>
        <w:rPr>
          <w:sz w:val="20"/>
          <w:szCs w:val="20"/>
          <w:color w:val="auto"/>
        </w:rPr>
      </w:pPr>
    </w:p>
    <w:p>
      <w:pPr>
        <w:ind w:right="300" w:firstLine="509"/>
        <w:spacing w:after="0" w:line="265" w:lineRule="auto"/>
        <w:rPr>
          <w:sz w:val="20"/>
          <w:szCs w:val="20"/>
          <w:color w:val="auto"/>
        </w:rPr>
      </w:pPr>
      <w:r>
        <w:rPr>
          <w:rFonts w:ascii="Arial" w:cs="Arial" w:eastAsia="Arial" w:hAnsi="Arial"/>
          <w:sz w:val="14"/>
          <w:szCs w:val="14"/>
          <w:color w:val="auto"/>
        </w:rPr>
        <w:t>We are also entitled to receive up to $225.0 million in development milestone payments and up to $550.0 million in sales-based milestone payments for all designated targets under the Pfizer Research Collaboration Agreement, as well as mid- to high-single digit tiered royalties, which may be subject to reductions, on net sales of PROTAC targeted protein degrader-related products. In 2021 and 2020, we received payments totaling $1.2 million and $4.4 million, respectively. Pfizer selected additional targets and initiated additional services totaling $1.0 million and $3.5 million in December 2022 and 2021, respectively.</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18" w:right="419" w:bottom="1440" w:gutter="0" w:footer="0" w:header="0"/>
        </w:sectPr>
      </w:pPr>
    </w:p>
    <w:bookmarkStart w:id="131" w:name="page132"/>
    <w:bookmarkEnd w:id="131"/>
    <w:p>
      <w:pPr>
        <w:ind w:left="520"/>
        <w:spacing w:after="0"/>
        <w:rPr>
          <w:sz w:val="20"/>
          <w:szCs w:val="20"/>
          <w:color w:val="auto"/>
        </w:rPr>
      </w:pPr>
      <w:r>
        <w:rPr>
          <w:rFonts w:ascii="Arial" w:cs="Arial" w:eastAsia="Arial" w:hAnsi="Arial"/>
          <w:sz w:val="14"/>
          <w:szCs w:val="14"/>
          <w:b w:val="1"/>
          <w:bCs w:val="1"/>
          <w:i w:val="1"/>
          <w:iCs w:val="1"/>
          <w:color w:val="auto"/>
        </w:rPr>
        <w:t>Novartis Transaction</w:t>
      </w:r>
    </w:p>
    <w:p>
      <w:pPr>
        <w:spacing w:after="0" w:line="9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In April 2024, we entered into the Novartis License Agreement and the Novartis Asset Agreement, with Novartis, collectively referred to as the Novartis Transaction. The Novartis Transaction closed in May 2024 upon the expiration of the waiting period under the Hart-Scott-Rodino Antitrust Improvements Act of 1976, at which time the Novartis License Agreement and the Novartis Asset Agreement became effective.</w:t>
      </w:r>
    </w:p>
    <w:p>
      <w:pPr>
        <w:spacing w:after="0" w:line="13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spacing w:after="0" w:line="13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 During the year ended December 31, 2025, we received $20.0 million upon the achievement of a development milestone pursuant to the terms of the Novartis License Agreement.</w:t>
      </w:r>
    </w:p>
    <w:p>
      <w:pPr>
        <w:spacing w:after="0" w:line="140"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Genentech License Agreement</w:t>
      </w:r>
    </w:p>
    <w:p>
      <w:pPr>
        <w:spacing w:after="0" w:line="92"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In September 2015, we entered into an Option and License Agreement with Genentech, focused on PROTAC targeted protein degrader discovery and research for target proteins, or Targets, based on our proprietary platform technology, other than excluded Targets as described below. Pursuant to this agreement, Genentech has an option to obtain an exclusive worldwide license to the applicable PROTAC targeted protein degraders directed against an applicable Target, which we refer to as Licensed PROTACs. Each such option must be exercised within a specified time after we deliver the data package for such Licensed PROTAC to Genentech. Once Genentech exercises an option, it is responsible, at its cost, to use diligent efforts to develop and commercialize the Licensed PROTAC through first commercial sale in the United States, the European Union and Japan. This collaboration was expanded in November 2017 through an Amended and Restated Option, License and Collaboration Agreement, which we refer to as the Restated Genentech Agreement. Simultaneous with entering into the Restated Genentech Agreement, Genentech exercised its exclusive option with respect to a PROTAC targeted protein degrader. We receive annual updates on research and development activities related to this option.</w:t>
      </w:r>
    </w:p>
    <w:p>
      <w:pPr>
        <w:spacing w:after="0" w:line="154" w:lineRule="exact"/>
        <w:rPr>
          <w:sz w:val="20"/>
          <w:szCs w:val="20"/>
          <w:color w:val="auto"/>
        </w:rPr>
      </w:pPr>
    </w:p>
    <w:p>
      <w:pPr>
        <w:ind w:right="80" w:firstLine="509"/>
        <w:spacing w:after="0" w:line="246" w:lineRule="auto"/>
        <w:rPr>
          <w:sz w:val="20"/>
          <w:szCs w:val="20"/>
          <w:color w:val="auto"/>
        </w:rPr>
      </w:pPr>
      <w:r>
        <w:rPr>
          <w:rFonts w:ascii="Arial" w:cs="Arial" w:eastAsia="Arial" w:hAnsi="Arial"/>
          <w:sz w:val="14"/>
          <w:szCs w:val="14"/>
          <w:color w:val="auto"/>
        </w:rPr>
        <w:t>Under the Restated Genentech Agreement, Genentech had the right to designate up to ten Targets for further discovery and research utilizing our PROTAC platform technology and also had the right to remove a Target from the collaboration and substitute a different Target that is not an excluded Target at any time prior to us commencing research on such Target or in certain circumstances following commencement of research by us. The research phase of the collaboration with Genentech has ended. Genentech is no longer able to nominate new targets into the collaboration, and there are no active targets in the collaboration for which Arvinas was conducting research activities. The only Target that remains part of the collaboration is the PROTAC targeted protein degrader for which Genentech exercised its exclusive option for as noted above.</w:t>
      </w:r>
    </w:p>
    <w:p>
      <w:pPr>
        <w:spacing w:after="0" w:line="151" w:lineRule="exact"/>
        <w:rPr>
          <w:sz w:val="20"/>
          <w:szCs w:val="20"/>
          <w:color w:val="auto"/>
        </w:rPr>
      </w:pPr>
    </w:p>
    <w:p>
      <w:pPr>
        <w:ind w:right="180" w:firstLine="509"/>
        <w:spacing w:after="0" w:line="265" w:lineRule="auto"/>
        <w:rPr>
          <w:sz w:val="20"/>
          <w:szCs w:val="20"/>
          <w:color w:val="auto"/>
        </w:rPr>
      </w:pPr>
      <w:r>
        <w:rPr>
          <w:rFonts w:ascii="Arial" w:cs="Arial" w:eastAsia="Arial" w:hAnsi="Arial"/>
          <w:sz w:val="14"/>
          <w:szCs w:val="14"/>
          <w:color w:val="auto"/>
        </w:rPr>
        <w:t>At the time we entered into the original agreement with Genentech, we received an upfront payment of $11.0 million, and, at the time we entered into the Restated Genentech Agreement, we received an additional $34.5 million in upfront and expansion target payments. We are eligible to receive payments aggregating up to $44.0 million per Target upon the achievement of specified development milestones; payments aggregating up to $52.5 million per Target (assuming approval of two indications) subject to the achievement of specified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32" w:name="page133"/>
    <w:bookmarkEnd w:id="132"/>
    <w:p>
      <w:pPr>
        <w:ind w:right="80"/>
        <w:spacing w:after="0" w:line="265" w:lineRule="auto"/>
        <w:rPr>
          <w:sz w:val="20"/>
          <w:szCs w:val="20"/>
          <w:color w:val="auto"/>
        </w:rPr>
      </w:pPr>
      <w:r>
        <w:rPr>
          <w:rFonts w:ascii="Arial" w:cs="Arial" w:eastAsia="Arial" w:hAnsi="Arial"/>
          <w:sz w:val="14"/>
          <w:szCs w:val="14"/>
          <w:color w:val="auto"/>
        </w:rPr>
        <w:t>regulatory milestones; and payments aggregating up to $60.0 million per PROTAC targeted protein degrader directed against the applicable Target, subject to the achievement of specified sales milestones. These milestone payments are subject to reduction if we do not have a valid patent claim covering the licensed PROTAC targeted protein degrader at the time the milestone is achieved. We are also eligible to receive, on net sales of licensed PROTAC targeted protein degraders, mid-single digit royalties, which may be subject to reductions.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Bayer Collaboration Agreement</w:t>
      </w:r>
    </w:p>
    <w:p>
      <w:pPr>
        <w:spacing w:after="0" w:line="92" w:lineRule="exact"/>
        <w:rPr>
          <w:sz w:val="20"/>
          <w:szCs w:val="20"/>
          <w:color w:val="auto"/>
        </w:rPr>
      </w:pPr>
    </w:p>
    <w:p>
      <w:pPr>
        <w:jc w:val="both"/>
        <w:ind w:right="420" w:firstLine="509"/>
        <w:spacing w:after="0" w:line="271" w:lineRule="auto"/>
        <w:rPr>
          <w:sz w:val="20"/>
          <w:szCs w:val="20"/>
          <w:color w:val="auto"/>
        </w:rPr>
      </w:pPr>
      <w:r>
        <w:rPr>
          <w:rFonts w:ascii="Arial" w:cs="Arial" w:eastAsia="Arial" w:hAnsi="Arial"/>
          <w:sz w:val="14"/>
          <w:szCs w:val="14"/>
          <w:color w:val="auto"/>
        </w:rPr>
        <w:t>In June 2019, we entered into a Collaboration and License Agreement, or the Bayer Collaboration Agreement, with Bayer, setting forth our collaboration to identify or optimize PROTAC targeted protein degraders that mediate for degradation of Targets, using our proprietary platform technology, that are selected by Bayer, subject to certain exclusions and limitations. The Bayer Collaboration Agreement became effective in July 2019.</w:t>
      </w:r>
    </w:p>
    <w:p>
      <w:pPr>
        <w:spacing w:after="0" w:line="13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Under the Bayer Collaboration Agreement, we and Bayer conducted a research program pursuant to separate research plans mutually agreed to by us and Bayer and tailored to each Target selected by Bayer. During the term of the Bayer Collaboration Agreement, we were not permitted, either directly or indirectly, to design, identify, discover or develop any small molecule pharmacologically-active agent whose primary mechanism of action is, by design, directed to the inhibition or degradation of any Target selected or reserved by Bayer, or grant any license, covenant not to sue or other right to any third party in the field of human disease under the licensed intellectual property for the conduct of such activities.</w:t>
      </w:r>
    </w:p>
    <w:p>
      <w:pPr>
        <w:spacing w:after="0" w:line="140"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Under the terms of the Bayer Collaboration Agreement, we received an aggregate upfront, non-refundable payment of $17.5 million and an additional $12.0 million in aggregate from inception through 2023. We were also eligible to receive up to $ 197.5 million in development milestone payments and up to $490.0 million in sales-based milestone payments for all designated Targets. In addition, we were eligible to receive, on net sales of PROTAC targeted protein degrader-related products, mid-single digit to low-double digit tiered royalties, which were subject to reductions.</w:t>
      </w:r>
    </w:p>
    <w:p>
      <w:pPr>
        <w:spacing w:after="0" w:line="138"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Pursuant to notice from Bayer AG in accordance with the terms of the Bayer Collaboration Agreement, the Bayer Collaboration Agreement was terminated, effective August 12, 2024.</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operating expenses since inception have consisted solely of research and development costs and general and administrative costs.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2" w:lineRule="exact"/>
        <w:rPr>
          <w:sz w:val="20"/>
          <w:szCs w:val="20"/>
          <w:color w:val="auto"/>
        </w:rPr>
      </w:pPr>
    </w:p>
    <w:p>
      <w:pPr>
        <w:ind w:right="340" w:firstLine="509"/>
        <w:spacing w:after="0" w:line="290" w:lineRule="auto"/>
        <w:rPr>
          <w:sz w:val="20"/>
          <w:szCs w:val="20"/>
          <w:color w:val="auto"/>
        </w:rPr>
      </w:pPr>
      <w:r>
        <w:rPr>
          <w:rFonts w:ascii="Arial" w:cs="Arial" w:eastAsia="Arial" w:hAnsi="Arial"/>
          <w:sz w:val="14"/>
          <w:szCs w:val="14"/>
          <w:color w:val="auto"/>
        </w:rPr>
        <w:t>Research and development expenses consist primarily of costs incurred for our research activities, including our discovery efforts, and the development of our product candidates, and include:</w:t>
      </w:r>
    </w:p>
    <w:p>
      <w:pPr>
        <w:spacing w:after="0" w:line="35" w:lineRule="exact"/>
        <w:rPr>
          <w:sz w:val="20"/>
          <w:szCs w:val="20"/>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employee related expenses, including salaries, benefits, stock-based compensation expense and travel, for personnel engaged in research and development functions;</w:t>
      </w:r>
    </w:p>
    <w:p>
      <w:pPr>
        <w:spacing w:after="0" w:line="93"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expenses incurred under agreements with third parties, including CROs and other third parties that conduct research, preclinical and clinical activities on our behalf as well as third parties that manufacture our product candidates for use in our preclinical studies and clinical trials;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costs of outside consultants, including their fees, stock-based compensation and related travel expenses;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costs of laboratory supplies and developing preclinical studies and clinical trial materials;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facility-related expenses, which include direct depreciation costs of equipment and allocated expenses for rent and maintenance of facilities and other operating costs;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costs incurred in the development of intellectual property;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third-party licensing fees.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31" w:right="359" w:bottom="1440" w:gutter="0" w:footer="0" w:header="0"/>
        </w:sectPr>
      </w:pPr>
    </w:p>
    <w:bookmarkStart w:id="133" w:name="page134"/>
    <w:bookmarkEnd w:id="133"/>
    <w:p>
      <w:pPr>
        <w:ind w:left="520"/>
        <w:spacing w:after="0"/>
        <w:rPr>
          <w:sz w:val="20"/>
          <w:szCs w:val="20"/>
          <w:color w:val="auto"/>
        </w:rPr>
      </w:pPr>
      <w:r>
        <w:rPr>
          <w:rFonts w:ascii="Arial" w:cs="Arial" w:eastAsia="Arial" w:hAnsi="Arial"/>
          <w:sz w:val="14"/>
          <w:szCs w:val="14"/>
          <w:color w:val="auto"/>
        </w:rPr>
        <w:t>We expense research and development costs as incurred.</w:t>
      </w:r>
    </w:p>
    <w:p>
      <w:pPr>
        <w:spacing w:after="0" w:line="179" w:lineRule="exact"/>
        <w:rPr>
          <w:sz w:val="20"/>
          <w:szCs w:val="20"/>
          <w:color w:val="auto"/>
        </w:rPr>
      </w:pPr>
    </w:p>
    <w:p>
      <w:pPr>
        <w:jc w:val="both"/>
        <w:ind w:right="380" w:firstLine="509"/>
        <w:spacing w:after="0" w:line="290" w:lineRule="auto"/>
        <w:rPr>
          <w:sz w:val="20"/>
          <w:szCs w:val="20"/>
          <w:color w:val="auto"/>
        </w:rPr>
      </w:pPr>
      <w:r>
        <w:rPr>
          <w:rFonts w:ascii="Arial" w:cs="Arial" w:eastAsia="Arial" w:hAnsi="Arial"/>
          <w:sz w:val="14"/>
          <w:szCs w:val="14"/>
          <w:color w:val="auto"/>
        </w:rPr>
        <w:t>We typically use our employee and infrastructure resources across our development programs, and as such, do not track all of our internal research and development expenses on a program-by-program basis. The following table summarizes our research and development expenses for the years ended December 31, 2025,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r>
      <w:tr>
        <w:trPr>
          <w:trHeight w:val="18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Program-specific external expense: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367"/>
        </w:trPr>
        <w:tc>
          <w:tcPr>
            <w:tcW w:w="6660" w:type="dxa"/>
            <w:vAlign w:val="bottom"/>
          </w:tcPr>
          <w:p>
            <w:pPr>
              <w:ind w:left="180"/>
              <w:spacing w:after="0"/>
              <w:rPr>
                <w:sz w:val="20"/>
                <w:szCs w:val="20"/>
                <w:color w:val="auto"/>
              </w:rPr>
            </w:pPr>
            <w:r>
              <w:rPr>
                <w:rFonts w:ascii="Arial" w:cs="Arial" w:eastAsia="Arial" w:hAnsi="Arial"/>
                <w:sz w:val="14"/>
                <w:szCs w:val="14"/>
                <w:color w:val="auto"/>
              </w:rPr>
              <w:t>Vepdegestrant (ARV-471) (*)</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24"/>
                <w:szCs w:val="2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104.8</w:t>
            </w:r>
          </w:p>
        </w:tc>
      </w:tr>
      <w:tr>
        <w:trPr>
          <w:trHeight w:val="206"/>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ARV-102</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7"/>
        </w:trPr>
        <w:tc>
          <w:tcPr>
            <w:tcW w:w="6660" w:type="dxa"/>
            <w:vAlign w:val="bottom"/>
          </w:tcPr>
          <w:p>
            <w:pPr>
              <w:ind w:left="180"/>
              <w:spacing w:after="0"/>
              <w:rPr>
                <w:sz w:val="20"/>
                <w:szCs w:val="20"/>
                <w:color w:val="auto"/>
              </w:rPr>
            </w:pPr>
            <w:r>
              <w:rPr>
                <w:rFonts w:ascii="Arial" w:cs="Arial" w:eastAsia="Arial" w:hAnsi="Arial"/>
                <w:sz w:val="14"/>
                <w:szCs w:val="14"/>
                <w:color w:val="auto"/>
              </w:rPr>
              <w:t>ARV-806</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ARV-393</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97"/>
        </w:trPr>
        <w:tc>
          <w:tcPr>
            <w:tcW w:w="6660" w:type="dxa"/>
            <w:vAlign w:val="bottom"/>
          </w:tcPr>
          <w:p>
            <w:pPr>
              <w:ind w:left="180"/>
              <w:spacing w:after="0"/>
              <w:rPr>
                <w:sz w:val="20"/>
                <w:szCs w:val="20"/>
                <w:color w:val="auto"/>
              </w:rPr>
            </w:pPr>
            <w:r>
              <w:rPr>
                <w:rFonts w:ascii="Arial" w:cs="Arial" w:eastAsia="Arial" w:hAnsi="Arial"/>
                <w:sz w:val="14"/>
                <w:szCs w:val="14"/>
                <w:color w:val="auto"/>
              </w:rPr>
              <w:t>Bavdegalutamide (ARV-110)</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6"/>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Luxdegalutamide (ARV-766)</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97"/>
        </w:trPr>
        <w:tc>
          <w:tcPr>
            <w:tcW w:w="6660" w:type="dxa"/>
            <w:vAlign w:val="bottom"/>
          </w:tcPr>
          <w:p>
            <w:pPr>
              <w:ind w:left="180"/>
              <w:spacing w:after="0"/>
              <w:rPr>
                <w:sz w:val="20"/>
                <w:szCs w:val="20"/>
                <w:color w:val="auto"/>
              </w:rPr>
            </w:pPr>
            <w:r>
              <w:rPr>
                <w:rFonts w:ascii="Arial" w:cs="Arial" w:eastAsia="Arial" w:hAnsi="Arial"/>
                <w:sz w:val="14"/>
                <w:szCs w:val="14"/>
                <w:color w:val="auto"/>
              </w:rPr>
              <w:t>Other programs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program-specific external expense</w:t>
            </w: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r>
      <w:tr>
        <w:trPr>
          <w:trHeight w:val="201"/>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Non program-specific external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72.4</w:t>
            </w: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Unallocated internal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66"/>
        </w:trPr>
        <w:tc>
          <w:tcPr>
            <w:tcW w:w="6660" w:type="dxa"/>
            <w:vAlign w:val="bottom"/>
          </w:tcPr>
          <w:p>
            <w:pPr>
              <w:ind w:left="180"/>
              <w:spacing w:after="0"/>
              <w:rPr>
                <w:sz w:val="20"/>
                <w:szCs w:val="20"/>
                <w:color w:val="auto"/>
              </w:rPr>
            </w:pPr>
            <w:r>
              <w:rPr>
                <w:rFonts w:ascii="Arial" w:cs="Arial" w:eastAsia="Arial" w:hAnsi="Arial"/>
                <w:sz w:val="14"/>
                <w:szCs w:val="14"/>
                <w:color w:val="auto"/>
              </w:rPr>
              <w:t>Compensation and related personnel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6660" w:type="dxa"/>
            <w:vAlign w:val="bottom"/>
          </w:tcPr>
          <w:p>
            <w:pPr>
              <w:ind w:left="180"/>
              <w:spacing w:after="0"/>
              <w:rPr>
                <w:sz w:val="20"/>
                <w:szCs w:val="20"/>
                <w:color w:val="auto"/>
              </w:rPr>
            </w:pPr>
            <w:r>
              <w:rPr>
                <w:rFonts w:ascii="Arial" w:cs="Arial" w:eastAsia="Arial" w:hAnsi="Arial"/>
                <w:sz w:val="14"/>
                <w:szCs w:val="14"/>
                <w:color w:val="auto"/>
              </w:rPr>
              <w:t>(including stock-based compensation)</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134.2</w:t>
            </w:r>
          </w:p>
        </w:tc>
      </w:tr>
      <w:tr>
        <w:trPr>
          <w:trHeight w:val="206"/>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research and development expense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92"/>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unallocated internal expense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r>
      <w:tr>
        <w:trPr>
          <w:trHeight w:val="21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research and development expense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right="420" w:hanging="255"/>
        <w:spacing w:after="0" w:line="290"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net reimbursement to and from Pfizer pursuant to the Vepdegestrant (ARV-471) Collaboration Agreement which are accounted for pursuant to ASC 808 and are recorded as an offset or an increase to research and development expenses.</w:t>
      </w:r>
    </w:p>
    <w:p>
      <w:pPr>
        <w:spacing w:after="0" w:line="12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 xml:space="preserve">Research and development activities are central to our business model. We expect that our research and development expenses will continue to increase substantially for the foreseeable future as we continue to conduct our ongoing clinical trials of vepdegestrant, ARV-102, ARV-806, ARV-393, ARV-027 and continue to discover and develop additional product candidates. Research and development expenses related to vepdegestrant are shared equally with Pfizer since July 22, 2021, the effective date of the Vepdegestrant (ARV-471) Collaboration Agreement. We may receive reimbursement from, or make payments to, Pfizer to satisfy the cost sharing requirements. These payments are accounted for pursuant to ASC 808, </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which are recorded as an offset or an increase to research and development expenses.</w:t>
      </w:r>
    </w:p>
    <w:p>
      <w:pPr>
        <w:spacing w:after="0" w:line="140" w:lineRule="exact"/>
        <w:rPr>
          <w:sz w:val="20"/>
          <w:szCs w:val="20"/>
          <w:color w:val="auto"/>
        </w:rPr>
      </w:pPr>
    </w:p>
    <w:p>
      <w:pPr>
        <w:ind w:right="140" w:firstLine="509"/>
        <w:spacing w:after="0" w:line="265" w:lineRule="auto"/>
        <w:rPr>
          <w:sz w:val="20"/>
          <w:szCs w:val="20"/>
          <w:color w:val="auto"/>
        </w:rPr>
      </w:pPr>
      <w:r>
        <w:rPr>
          <w:rFonts w:ascii="Arial" w:cs="Arial" w:eastAsia="Arial" w:hAnsi="Arial"/>
          <w:sz w:val="14"/>
          <w:szCs w:val="14"/>
          <w:color w:val="auto"/>
        </w:rPr>
        <w:t>We cannot determine with certainty the duration and costs of ongoing and future clinical trials of vepdegestrant, ARV-102, ARV-806, ARV-393, ARV-027 or unexpected costs of ongoing clinical trials for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successful development and commercialization of our product candidates is highly uncertain. This is due to the numerous risks and uncertainties associated with developing drugs, including the uncertainty of:</w:t>
      </w:r>
    </w:p>
    <w:p>
      <w:pPr>
        <w:spacing w:after="0" w:line="53" w:lineRule="exact"/>
        <w:rPr>
          <w:sz w:val="20"/>
          <w:szCs w:val="20"/>
          <w:color w:val="auto"/>
        </w:rPr>
      </w:pPr>
    </w:p>
    <w:p>
      <w:pPr>
        <w:ind w:left="760" w:hanging="246"/>
        <w:spacing w:after="0"/>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successfully completing preclinical studies and clinical trials;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receipt and related terms of marketing approvals from applicable regulatory authorities;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for our product candidates;</w:t>
      </w:r>
    </w:p>
    <w:p>
      <w:pPr>
        <w:spacing w:after="0" w:line="93" w:lineRule="exact"/>
        <w:rPr>
          <w:rFonts w:ascii="Arial" w:cs="Arial" w:eastAsia="Arial" w:hAnsi="Arial"/>
          <w:sz w:val="14"/>
          <w:szCs w:val="14"/>
          <w:color w:val="auto"/>
        </w:rPr>
      </w:pPr>
    </w:p>
    <w:p>
      <w:pPr>
        <w:ind w:left="760" w:right="120" w:hanging="246"/>
        <w:spacing w:after="0" w:line="290" w:lineRule="auto"/>
        <w:tabs>
          <w:tab w:leader="none" w:pos="756"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making or maintaining arrangements with third-party manufacturers, or establishing manufacturing capabilities, for both clinical and commercial supplies of our product candidates;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34" w:name="page135"/>
    <w:bookmarkEnd w:id="134"/>
    <w:p>
      <w:pPr>
        <w:ind w:left="760" w:right="220" w:hanging="246"/>
        <w:spacing w:after="0" w:line="290" w:lineRule="auto"/>
        <w:tabs>
          <w:tab w:leader="none" w:pos="756" w:val="left"/>
        </w:tabs>
        <w:numPr>
          <w:ilvl w:val="0"/>
          <w:numId w:val="78"/>
        </w:numPr>
        <w:rPr>
          <w:rFonts w:ascii="Arial" w:cs="Arial" w:eastAsia="Arial" w:hAnsi="Arial"/>
          <w:sz w:val="14"/>
          <w:szCs w:val="14"/>
          <w:color w:val="auto"/>
        </w:rPr>
      </w:pPr>
      <w:r>
        <w:rPr>
          <w:rFonts w:ascii="Arial" w:cs="Arial" w:eastAsia="Arial" w:hAnsi="Arial"/>
          <w:sz w:val="14"/>
          <w:szCs w:val="14"/>
          <w:color w:val="auto"/>
        </w:rPr>
        <w:t>establishing sales, marketing, market access and distribution capabilities and launching commercial sales of our products, if and when approved, whether alone or in collaboration with others;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acceptance of our products, if and when approved, by patients, the medical community and third-party payors;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obtaining and maintaining third-party coverage and adequate reimbursement;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the products following approval;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effectively competing with other therapies.</w:t>
      </w:r>
    </w:p>
    <w:p>
      <w:pPr>
        <w:spacing w:after="0" w:line="179"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2"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38"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We expect that our general and administrative expenses will increase in the future as we manage our personnel, including retaining or hiring of key employees, and, as a result of any future need to increase our headcount to support research and development activities relating to our product candidates, develop our infrastructure and build out commercial operations for any potential launch of commercial sales of our products. We also expect to incur increased expenses associated with being a public company, including costs of accounting, audit, legal, regulatory and tax-related services associated with maintaining compliance with Nasdaq Stock Market and Securities and Exchange Commission requirements; director and officer insurance costs; and investor and public relations costs.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income consists primarily of interest income from marketable securities and money market accounts and losses on the disposal of fixed assets.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Taxes</w:t>
      </w:r>
    </w:p>
    <w:p>
      <w:pPr>
        <w:spacing w:after="0" w:line="94" w:lineRule="exact"/>
        <w:rPr>
          <w:sz w:val="20"/>
          <w:szCs w:val="20"/>
          <w:color w:val="auto"/>
        </w:rPr>
      </w:pPr>
    </w:p>
    <w:p>
      <w:pPr>
        <w:ind w:right="240" w:firstLine="509"/>
        <w:spacing w:after="0" w:line="290" w:lineRule="auto"/>
        <w:rPr>
          <w:sz w:val="20"/>
          <w:szCs w:val="20"/>
          <w:color w:val="auto"/>
        </w:rPr>
      </w:pPr>
      <w:r>
        <w:rPr>
          <w:rFonts w:ascii="Arial" w:cs="Arial" w:eastAsia="Arial" w:hAnsi="Arial"/>
          <w:sz w:val="14"/>
          <w:szCs w:val="14"/>
          <w:color w:val="auto"/>
        </w:rPr>
        <w:t>Since our inception in 2013, we have not recorded any U.S. federal or state income tax benefits for the net losses we have incurred in any year or for our federal or state earned research and development tax credits, due to our uncertainty of realizing a benefit from those items.</w:t>
      </w:r>
    </w:p>
    <w:p>
      <w:pPr>
        <w:spacing w:after="0" w:line="120"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As of December 31, 2025, we had $533.6 million of federal net operating loss carryforwards, all of which may be carried forward indefinitely, but the deductibility of such carryforwards is limited to 80% of our taxable income in the year in which carryforwards are used, $563.2 million of state and local net operating loss carryforwards which expire at various dates beginning in 2035, $44.7 million of federal tax credit carryforwards and $22.3 million of state tax credit carryforwards as of December 31, 2025 which expire at various dates beginning in 2035.</w:t>
      </w:r>
    </w:p>
    <w:p>
      <w:pPr>
        <w:spacing w:after="0" w:line="1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of December 31, 2025, Arvinas, Inc. had four wholly owned subsidiaries organized as C-corporations: Arvinas Operations, Inc., Arvinas Androgen Receptor, Inc., Arvinas Estrogen Receptor, Inc., and Arvinas Winchester, Inc. Prior to December 31, 2018, these subsidiaries were separate filers for federal tax purposes. Net operating loss carryforwards are generated from the C-corporation subsidiaries’ filings. We have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35" w:name="page136"/>
    <w:bookmarkEnd w:id="135"/>
    <w:p>
      <w:pPr>
        <w:spacing w:after="0" w:line="290" w:lineRule="auto"/>
        <w:rPr>
          <w:sz w:val="20"/>
          <w:szCs w:val="20"/>
          <w:color w:val="auto"/>
        </w:rPr>
      </w:pPr>
      <w:r>
        <w:rPr>
          <w:rFonts w:ascii="Arial" w:cs="Arial" w:eastAsia="Arial" w:hAnsi="Arial"/>
          <w:sz w:val="14"/>
          <w:szCs w:val="14"/>
          <w:color w:val="auto"/>
        </w:rPr>
        <w:t>provided a valuation allowance against the full amount of the deferred tax assets since, in the opinion of management, based upon our earnings history, it is more likely than not that the benefits will not be realized.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2"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While our significant accounting policies are described in more detail in the notes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2"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 xml:space="preserve">We recognize revenue under Accounting Standards Codification, or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Our revenue is primarily generated through research collaboration and license agreements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we evaluate whether the license agreement, research and development services and participation in research and development steering committees represent separate or combined performance obligations. We have determined that these services within our existing contracts represent combined single performance obligations. We also generated revenue through the sale of assets based on fair value.</w:t>
      </w:r>
    </w:p>
    <w:p>
      <w:pPr>
        <w:spacing w:after="0" w:line="142"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We continually assess the probability of significant reversals for any amounts that become likely to be realized prior to recognizing the variable consideration associated with these payments within the transaction price.</w:t>
      </w:r>
    </w:p>
    <w:p>
      <w:pPr>
        <w:spacing w:after="0" w:line="13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4"/>
          <w:szCs w:val="14"/>
          <w:color w:val="auto"/>
        </w:rPr>
        <w:t>Revenue is recognized ratably over our expected performance period under each respective arrangement. We make our best estimate of the period over which we expect to fulfill our performance obligations, which includes access to technology through the license agreement and research activities. Given the uncertainties of these collaboration arrangements, significant judgment is required to determine the duration of the performance period.</w:t>
      </w:r>
    </w:p>
    <w:p>
      <w:pPr>
        <w:spacing w:after="0" w:line="13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For the years ended December 31, 2025, 2024 and 2023, the transaction price allocated to the combined performance obligations identified under the individual research collaboration and license agreements was recognized as revenue on either a straight-line basis over the estimated performance period under the arrangement or over the estimated performance period based on our best estimate of costs to be incurred. Straight-line basis was considered the best measure of progress for certain agreements in which control of the combined obligation transfers to the customers, due to the contract containing license rights to technology, research and development services, and joint committee participation, which in totality are expected to occur ratably over the performance period.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36" w:name="page137"/>
    <w:bookmarkEnd w:id="136"/>
    <w:p>
      <w:pPr>
        <w:ind w:right="60" w:firstLine="509"/>
        <w:spacing w:after="0" w:line="262" w:lineRule="auto"/>
        <w:rPr>
          <w:sz w:val="20"/>
          <w:szCs w:val="20"/>
          <w:color w:val="auto"/>
        </w:rPr>
      </w:pPr>
      <w:r>
        <w:rPr>
          <w:rFonts w:ascii="Arial" w:cs="Arial" w:eastAsia="Arial" w:hAnsi="Arial"/>
          <w:sz w:val="14"/>
          <w:szCs w:val="14"/>
          <w:color w:val="auto"/>
        </w:rPr>
        <w:t>Our contracts may also call for certain sales-based milestones and royalty payments upon successful commercialization of a target. In accordance with ASC 606-10-55-65, we recognize revenues from sales-based milestone and royalty payments at the later of (i) the occurrence of the subsequent sale, or (ii) the performance obligation to which some or all of the sales-based milestone or royalty payments has been allocated has been satisfied (or partially satisfied). We anticipate recognizing these milestones and royalty payments if and when subsequent sales are generated by customers from the use of the technology. To date, no revenue from these sales-based milestone and royalty payments has been recognized for any periods.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Amounts received prior to satisfying the above revenue recognition criteria are recorded as contract liabilities in our accompanying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Contract Costs and Accruals</w:t>
      </w:r>
    </w:p>
    <w:p>
      <w:pPr>
        <w:spacing w:after="0" w:line="92"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57" w:lineRule="exact"/>
        <w:rPr>
          <w:sz w:val="20"/>
          <w:szCs w:val="20"/>
          <w:color w:val="auto"/>
        </w:rPr>
      </w:pPr>
    </w:p>
    <w:p>
      <w:pPr>
        <w:ind w:left="760" w:hanging="246"/>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vendors in connection with clinical development activities;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CROs and investigative sites in connection with preclinical, non-clinical, and human clinical trials; and</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CMOs and CDMOs in connection with drug substance and drug product formulation of preclinical and clinical trial materials.</w:t>
      </w:r>
    </w:p>
    <w:p>
      <w:pPr>
        <w:spacing w:after="0" w:line="179"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We base the expense recorded related to external research and development on our estimates of the services received and efforts expended pursuant to quotes and contracts with multiple CMOs, CDMOs and CROs that supply, conduct and manage clinical trials on our behalf. The financial terms of these agreements are subject to negotiation, vary from contract to contract and may result in uneven payment streams.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Accounting Pronouncements</w:t>
      </w:r>
    </w:p>
    <w:p>
      <w:pPr>
        <w:spacing w:after="0" w:line="92"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 xml:space="preserve">For information on new accounting standards,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our consolidated financial statements appearing elsewhere in this Annual Report on Form 10-K.</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4"/>
          <w:szCs w:val="14"/>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Years Ended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Years Ended December 31,</w:t>
            </w: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5980" w:type="dxa"/>
            <w:vAlign w:val="bottom"/>
          </w:tcPr>
          <w:p>
            <w:pPr>
              <w:ind w:left="180"/>
              <w:spacing w:after="0"/>
              <w:rPr>
                <w:sz w:val="20"/>
                <w:szCs w:val="20"/>
                <w:color w:val="auto"/>
              </w:rPr>
            </w:pPr>
            <w:r>
              <w:rPr>
                <w:rFonts w:ascii="Arial" w:cs="Arial" w:eastAsia="Arial" w:hAnsi="Arial"/>
                <w:sz w:val="14"/>
                <w:szCs w:val="14"/>
                <w:color w:val="auto"/>
              </w:rPr>
              <w:t>Research and development expenses</w:t>
            </w:r>
          </w:p>
        </w:tc>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(348.2)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80"/>
        </w:trPr>
        <w:tc>
          <w:tcPr>
            <w:tcW w:w="598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12"/>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5980" w:type="dxa"/>
            <w:vAlign w:val="bottom"/>
          </w:tcPr>
          <w:p>
            <w:pPr>
              <w:ind w:left="700"/>
              <w:spacing w:after="0"/>
              <w:rPr>
                <w:sz w:val="20"/>
                <w:szCs w:val="20"/>
                <w:color w:val="auto"/>
              </w:rPr>
            </w:pPr>
            <w:r>
              <w:rPr>
                <w:rFonts w:ascii="Arial" w:cs="Arial" w:eastAsia="Arial" w:hAnsi="Arial"/>
                <w:sz w:val="14"/>
                <w:szCs w:val="14"/>
                <w:b w:val="1"/>
                <w:bCs w:val="1"/>
                <w:color w:val="auto"/>
              </w:rPr>
              <w:t>Net loss</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Reconciliation of GAAP and Non-GAAP Information</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4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Research and development reconciliation</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color w:val="auto"/>
              </w:rPr>
              <w:t>GAAP research and development expenses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
              <w:spacing w:after="0"/>
              <w:rPr>
                <w:sz w:val="20"/>
                <w:szCs w:val="20"/>
                <w:color w:val="auto"/>
              </w:rPr>
            </w:pPr>
            <w:r>
              <w:rPr>
                <w:rFonts w:ascii="Arial" w:cs="Arial" w:eastAsia="Arial" w:hAnsi="Arial"/>
                <w:sz w:val="14"/>
                <w:szCs w:val="14"/>
                <w:color w:val="auto"/>
              </w:rPr>
              <w:t>285.2</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restructuring expense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stock-based compensation expense (*)</w:t>
            </w:r>
          </w:p>
        </w:tc>
        <w:tc>
          <w:tcPr>
            <w:tcW w:w="4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30.7</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Non-GAAP research and development expenses</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252.2</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16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General and administrative reconciliation</w:t>
            </w: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general and administrative expenses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rPr>
                <w:sz w:val="20"/>
                <w:szCs w:val="20"/>
                <w:color w:val="auto"/>
              </w:rPr>
            </w:pPr>
            <w:r>
              <w:rPr>
                <w:rFonts w:ascii="Arial" w:cs="Arial" w:eastAsia="Arial" w:hAnsi="Arial"/>
                <w:sz w:val="14"/>
                <w:szCs w:val="14"/>
                <w:color w:val="auto"/>
              </w:rPr>
              <w:t>Less: restructuring expense</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12"/>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stock-based compensation expense (*)</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2"/>
        </w:trPr>
        <w:tc>
          <w:tcPr>
            <w:tcW w:w="5980" w:type="dxa"/>
            <w:vAlign w:val="bottom"/>
          </w:tcPr>
          <w:p>
            <w:pPr>
              <w:ind w:left="360"/>
              <w:spacing w:after="0"/>
              <w:rPr>
                <w:sz w:val="20"/>
                <w:szCs w:val="20"/>
                <w:color w:val="auto"/>
              </w:rPr>
            </w:pPr>
            <w:r>
              <w:rPr>
                <w:rFonts w:ascii="Arial" w:cs="Arial" w:eastAsia="Arial" w:hAnsi="Arial"/>
                <w:sz w:val="14"/>
                <w:szCs w:val="14"/>
                <w:b w:val="1"/>
                <w:bCs w:val="1"/>
                <w:color w:val="auto"/>
              </w:rPr>
              <w:t>Non-GAAP general and administrative expenses</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71.2</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Excludes restructuring related stock-based compensation. See Note 14, </w:t>
      </w:r>
      <w:r>
        <w:rPr>
          <w:rFonts w:ascii="Arial" w:cs="Arial" w:eastAsia="Arial" w:hAnsi="Arial"/>
          <w:sz w:val="14"/>
          <w:szCs w:val="14"/>
          <w:i w:val="1"/>
          <w:iCs w:val="1"/>
          <w:color w:val="auto"/>
        </w:rPr>
        <w:t>Restructuring Activity</w:t>
      </w:r>
      <w:r>
        <w:rPr>
          <w:rFonts w:ascii="Arial" w:cs="Arial" w:eastAsia="Arial" w:hAnsi="Arial"/>
          <w:sz w:val="14"/>
          <w:szCs w:val="14"/>
          <w:color w:val="auto"/>
        </w:rPr>
        <w:t>, to the consolidated financial statements for further details.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w:t>
      </w:r>
    </w:p>
    <w:p>
      <w:pPr>
        <w:spacing w:after="0" w:line="92"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Revenues for the year ended December 31, 2025 totaled $262.6 million, compared with $263.4 million for the year ended December 31, 2024. The decrease of $0.8 million was primarily due to a decrease of $162.4 million of revenue from the Novartis License Agreement and the Novartis Asset Agreement as we completed the technology transfer of our ongoing and planned clinical trials of luxdegalutamide (ARV-766) to Novartis in 2024, a decrease of $5.1 million of revenue from the Pfizer Research Collaboration Agreement due to changes in estimates of the performance period duration under the agreement resulting from updated research timelines and a decrease of $ 3.8 million in revenue from the Bayer Collaboration Agreement as a result of the termination of the Bayer Collaboration Agreement in August 2024, partially offset by an increase in revenue from the Vepdegestrant (ARV-471) Collaboration Agreement with Pfizer of $150.5 million related primarily to changes in total program cost estimates resulting from the removal of the first-line Phase 3 combination trial with Pfizer’s novel investigational CDK4 inhibitor, atirmociclib, and the removal of the second-line Phase 3 combination trial with a CDK4/6 inhibitor from the development plan and the recognition of $20.0 million for achievement of a development milestone pursuant to the terms of the Novartis License Agreement.</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2" w:lineRule="exact"/>
        <w:rPr>
          <w:sz w:val="20"/>
          <w:szCs w:val="20"/>
          <w:color w:val="auto"/>
        </w:rPr>
      </w:pPr>
    </w:p>
    <w:p>
      <w:pPr>
        <w:ind w:right="120" w:firstLine="509"/>
        <w:spacing w:after="0" w:line="290" w:lineRule="auto"/>
        <w:rPr>
          <w:sz w:val="20"/>
          <w:szCs w:val="20"/>
          <w:color w:val="auto"/>
        </w:rPr>
      </w:pPr>
      <w:r>
        <w:rPr>
          <w:rFonts w:ascii="Arial" w:cs="Arial" w:eastAsia="Arial" w:hAnsi="Arial"/>
          <w:sz w:val="14"/>
          <w:szCs w:val="14"/>
          <w:color w:val="auto"/>
        </w:rPr>
        <w:t>Research and development expenses for the year ended December 31, 2025 totaled $285.2 million, compared with $348.2 million for the year ended December 31, 2024. The decrease of $63.0 million was primarily due to a decrease in compensation and related personnel expenses of $35.8 million, which are not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38" w:name="page139"/>
    <w:bookmarkEnd w:id="138"/>
    <w:p>
      <w:pPr>
        <w:ind w:right="120"/>
        <w:spacing w:after="0" w:line="288" w:lineRule="auto"/>
        <w:rPr>
          <w:sz w:val="20"/>
          <w:szCs w:val="20"/>
          <w:color w:val="auto"/>
        </w:rPr>
      </w:pPr>
      <w:r>
        <w:rPr>
          <w:rFonts w:ascii="Arial" w:cs="Arial" w:eastAsia="Arial" w:hAnsi="Arial"/>
          <w:sz w:val="14"/>
          <w:szCs w:val="14"/>
          <w:color w:val="auto"/>
        </w:rPr>
        <w:t>allocated by program, and a decrease in external expenses of $25.4 million. External expenses include program-specific expenses, which decreased by $11.7 million, driven by decreases in our luxdegalutamide, vepdegestrant and bavdegalutamide programs of $19.7 million</w:t>
      </w:r>
      <w:r>
        <w:rPr>
          <w:rFonts w:ascii="Arial" w:cs="Arial" w:eastAsia="Arial" w:hAnsi="Arial"/>
          <w:sz w:val="16"/>
          <w:szCs w:val="16"/>
          <w:color w:val="auto"/>
        </w:rPr>
        <w:t>,</w:t>
      </w:r>
      <w:r>
        <w:rPr>
          <w:rFonts w:ascii="Arial" w:cs="Arial" w:eastAsia="Arial" w:hAnsi="Arial"/>
          <w:sz w:val="14"/>
          <w:szCs w:val="14"/>
          <w:color w:val="auto"/>
        </w:rPr>
        <w:t xml:space="preserve"> $14.2 million and $5.8 million, respectively, partially offset by increases in our ARV-806, ARV-102 and ARV-393 programs of $11.2 million</w:t>
      </w:r>
      <w:r>
        <w:rPr>
          <w:rFonts w:ascii="Arial" w:cs="Arial" w:eastAsia="Arial" w:hAnsi="Arial"/>
          <w:sz w:val="16"/>
          <w:szCs w:val="16"/>
          <w:color w:val="auto"/>
        </w:rPr>
        <w:t>,</w:t>
      </w:r>
      <w:r>
        <w:rPr>
          <w:rFonts w:ascii="Arial" w:cs="Arial" w:eastAsia="Arial" w:hAnsi="Arial"/>
          <w:sz w:val="14"/>
          <w:szCs w:val="14"/>
          <w:color w:val="auto"/>
        </w:rPr>
        <w:t xml:space="preserve"> $8.0 million and $4.3 million, respectively, and our non-program specific expenses, which decreased by $13.7 million.</w:t>
      </w:r>
    </w:p>
    <w:p>
      <w:pPr>
        <w:spacing w:after="0" w:line="108" w:lineRule="exact"/>
        <w:rPr>
          <w:sz w:val="20"/>
          <w:szCs w:val="20"/>
          <w:color w:val="auto"/>
        </w:rPr>
      </w:pPr>
    </w:p>
    <w:p>
      <w:pPr>
        <w:ind w:right="520" w:firstLine="509"/>
        <w:spacing w:after="0" w:line="265" w:lineRule="auto"/>
        <w:rPr>
          <w:sz w:val="20"/>
          <w:szCs w:val="20"/>
          <w:color w:val="auto"/>
        </w:rPr>
      </w:pPr>
      <w:r>
        <w:rPr>
          <w:rFonts w:ascii="Arial" w:cs="Arial" w:eastAsia="Arial" w:hAnsi="Arial"/>
          <w:sz w:val="14"/>
          <w:szCs w:val="14"/>
          <w:color w:val="auto"/>
        </w:rPr>
        <w:t>Non-GAAP research and development expenses for the year ended December 31, 2025 totaled $252.2 million, compared to $298.5 million for the year ended December 31, 2024, excluding $2.3 million of restructuring expense for the year ended December 31, 2025, and $30.7 million and $49.7 million of non-cash stock-based compensation expense for the years ended December 31, 2025 and 2024, respectively. We define non-GAAP research and development expenses as GAAP research and development expenses excluding restructuring and stock-based compensation expense.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2"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General and administrative expenses totaled $95.9 million for the year ended December 31, 2025, compared with $165.4 million for the year ended December 31, 2024. The decrease of $69.5 million was primarily due to a loss on the termination of our laboratory and office space lease with 101 College Street LLC in August 2024 of $43.4 million, a decrease in personnel and infrastructure related costs of $18.9 million and a decrease in professional fees of $6.6 million.</w:t>
      </w:r>
    </w:p>
    <w:p>
      <w:pPr>
        <w:spacing w:after="0" w:line="13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Non-GAAP general and administrative expenses for the year ended December 31, 2025 totaled $71.2 million, compared to $126.9 million for the year ended December 31, 2024, excluding $ 1.3 million of restructuring related reversal of previously recognized expense for the year ended December 31, 2025, and $23.4 million and $38.5 million of non-cash stock-based compensation expense for the years ended December 31, 2025 and 2024, respectively. We define non-GAAP general and administrative expenses as GAAP general and administrative expenses excluding restructuring and stock-based compensation expense.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Income</w:t>
      </w:r>
    </w:p>
    <w:p>
      <w:pPr>
        <w:spacing w:after="0" w:line="92"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Other income totaled $38.0 million for the year ended December 31, 2025, compared with $51.9 million for the year ended December 31, 2024. The decrease of $ 13.9 million was primarily due to lower interest income of $16.4 million from marketable securities and money market accounts, partially offset by a loss on the disposal of fixed assets of $2.4 million related to the termination of our laboratory and office space lease with 101 College Street LLC in August 2024.</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92"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Income tax expense totaled $0.3 million for the year ended December 31, 2025, compared with $0.6 million for the year ended December 31, 2024. For the year ended December 31, 2025, we generated a taxable loss primarily due to losses from operations. For the year ended December 31, 2024, we generated a taxable income primarily due to the Novartis License Agreement, the Novartis Asset Agreement and the required capitalization of research and development expenses, partially offset by operating losses.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 — Years Ended December 31, 2024 and 2023</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Discussion and analysis of the results of operations for the year ended December 31, 2024 compared to the year ended December 31, 2023 is included under the heading "Comparison of Years Ended December 31, 2024 and 2023" in Part II, Item 7, Management’s Discussion and Analysis of Financial Condition and Results of Operations, in our 2024 Annual Report on Form 10-K as filed with the SEC on February 11, 2025 and incorporated by reference into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Information</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We use the non-GAAP financial measures non-GAAP research and development expense and non-GAAP general and administrative expense, to evaluate our ongoing operations and for internal planning and forecasting purposes. We believe that non-GAAP financial information, when taken collectively, may be helpful to investors because it provides consistency and comparability with past financial performance. However, non-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139" w:name="page140"/>
    <w:bookmarkEnd w:id="139"/>
    <w:p>
      <w:pPr>
        <w:ind w:right="140"/>
        <w:spacing w:after="0" w:line="262" w:lineRule="auto"/>
        <w:rPr>
          <w:sz w:val="20"/>
          <w:szCs w:val="20"/>
          <w:color w:val="auto"/>
        </w:rPr>
      </w:pPr>
      <w:r>
        <w:rPr>
          <w:rFonts w:ascii="Arial" w:cs="Arial" w:eastAsia="Arial" w:hAnsi="Arial"/>
          <w:sz w:val="14"/>
          <w:szCs w:val="14"/>
          <w:color w:val="auto"/>
        </w:rPr>
        <w:t>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Liquidity and Capital Resources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92"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We do not currently have any approved products and have never generated any revenue from product sales. To date, we have financed our operations primarily through sales of assets and equity interests, proceeds from collaborations and a licensing arrangement, grant funding and debt financing. Since inception through December 31, 2025, we had received an aggregate of $933.1 million in payments from collaboration partners and a licensing arrangement, grant funding and forgivable and partially forgivable loans from the State of Connecticut, and raised approximately $1.7 billion in gross proceeds from the sale of assets and equity and the exercise of stock options, including:</w:t>
      </w:r>
    </w:p>
    <w:p>
      <w:pPr>
        <w:spacing w:after="0" w:line="53" w:lineRule="exact"/>
        <w:rPr>
          <w:sz w:val="20"/>
          <w:szCs w:val="20"/>
          <w:color w:val="auto"/>
        </w:rPr>
      </w:pPr>
    </w:p>
    <w:p>
      <w:pPr>
        <w:ind w:left="760" w:hanging="246"/>
        <w:spacing w:after="0" w:line="290"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October 2018: completion of our initial public offering in which we issued and sold an aggregate of 7,700,482 shares of common stock for aggregate gross proceeds of $123.2 million, before fees and expenses;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July 2019: sale of 1,346,313 shares of common stock to Bayer AG for aggregate gross proceeds of $32.5 million;</w:t>
      </w:r>
    </w:p>
    <w:p>
      <w:pPr>
        <w:spacing w:after="0" w:line="93" w:lineRule="exact"/>
        <w:rPr>
          <w:rFonts w:ascii="Arial" w:cs="Arial" w:eastAsia="Arial" w:hAnsi="Arial"/>
          <w:sz w:val="14"/>
          <w:szCs w:val="14"/>
          <w:color w:val="auto"/>
        </w:rPr>
      </w:pPr>
    </w:p>
    <w:p>
      <w:pPr>
        <w:ind w:left="760" w:right="240" w:hanging="246"/>
        <w:spacing w:after="0" w:line="290"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November 2019: completion of a follow-on offering in which we issued and sold 5,227,273 shares of common stock for aggregate gross proceeds of $115.0 million, before fees and expenses;</w:t>
      </w:r>
    </w:p>
    <w:p>
      <w:pPr>
        <w:spacing w:after="0" w:line="35"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September - December 2020: sale of 2,593,637 shares of common stock in an “at-the-market offering” for aggregate gross proceeds of $65.6 million, before fees and expenses;</w:t>
      </w:r>
    </w:p>
    <w:p>
      <w:pPr>
        <w:spacing w:after="0" w:line="35" w:lineRule="exact"/>
        <w:rPr>
          <w:rFonts w:ascii="Arial" w:cs="Arial" w:eastAsia="Arial" w:hAnsi="Arial"/>
          <w:sz w:val="14"/>
          <w:szCs w:val="14"/>
          <w:color w:val="auto"/>
        </w:rPr>
      </w:pPr>
    </w:p>
    <w:p>
      <w:pPr>
        <w:ind w:left="760" w:right="240" w:hanging="246"/>
        <w:spacing w:after="0" w:line="290" w:lineRule="auto"/>
        <w:tabs>
          <w:tab w:leader="none" w:pos="7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December 2020: completion of a follow-on offering in which we issued and sold 6,571,428 shares of common stock for aggregate gross proceeds of $460.0 million, before fees and expenses;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September 2021: issuance of 3,457,815 shares of common stock to Pfizer for aggregate gross proceeds of $350.0 million.</w:t>
      </w:r>
    </w:p>
    <w:p>
      <w:pPr>
        <w:spacing w:after="0" w:line="93" w:lineRule="exact"/>
        <w:rPr>
          <w:rFonts w:ascii="Arial" w:cs="Arial" w:eastAsia="Arial" w:hAnsi="Arial"/>
          <w:sz w:val="14"/>
          <w:szCs w:val="14"/>
          <w:color w:val="auto"/>
        </w:rPr>
      </w:pPr>
    </w:p>
    <w:p>
      <w:pPr>
        <w:ind w:left="760" w:right="520" w:hanging="246"/>
        <w:spacing w:after="0" w:line="290" w:lineRule="auto"/>
        <w:tabs>
          <w:tab w:leader="none" w:pos="756" w:val="left"/>
        </w:tabs>
        <w:numPr>
          <w:ilvl w:val="0"/>
          <w:numId w:val="80"/>
        </w:numPr>
        <w:rPr>
          <w:rFonts w:ascii="Arial" w:cs="Arial" w:eastAsia="Arial" w:hAnsi="Arial"/>
          <w:sz w:val="14"/>
          <w:szCs w:val="14"/>
          <w:i w:val="1"/>
          <w:iCs w:val="1"/>
          <w:color w:val="auto"/>
        </w:rPr>
      </w:pPr>
      <w:r>
        <w:rPr>
          <w:rFonts w:ascii="Arial" w:cs="Arial" w:eastAsia="Arial" w:hAnsi="Arial"/>
          <w:sz w:val="14"/>
          <w:szCs w:val="14"/>
          <w:color w:val="auto"/>
        </w:rPr>
        <w:t>July - September 2023: sale of 1,449,275 shares of common stock in an “at-the-market" offering for aggregate gross proceeds of $37.2 million before fees and expenses;</w:t>
      </w:r>
    </w:p>
    <w:p>
      <w:pPr>
        <w:spacing w:after="0" w:line="35" w:lineRule="exact"/>
        <w:rPr>
          <w:rFonts w:ascii="Arial" w:cs="Arial" w:eastAsia="Arial" w:hAnsi="Arial"/>
          <w:sz w:val="14"/>
          <w:szCs w:val="14"/>
          <w:i w:val="1"/>
          <w:iCs w:val="1"/>
          <w:color w:val="auto"/>
        </w:rPr>
      </w:pPr>
    </w:p>
    <w:p>
      <w:pPr>
        <w:ind w:left="760" w:right="360" w:hanging="246"/>
        <w:spacing w:after="0" w:line="290" w:lineRule="auto"/>
        <w:tabs>
          <w:tab w:leader="none" w:pos="756" w:val="left"/>
        </w:tabs>
        <w:numPr>
          <w:ilvl w:val="0"/>
          <w:numId w:val="80"/>
        </w:numPr>
        <w:rPr>
          <w:rFonts w:ascii="Arial" w:cs="Arial" w:eastAsia="Arial" w:hAnsi="Arial"/>
          <w:sz w:val="14"/>
          <w:szCs w:val="14"/>
          <w:i w:val="1"/>
          <w:iCs w:val="1"/>
          <w:color w:val="auto"/>
        </w:rPr>
      </w:pPr>
      <w:r>
        <w:rPr>
          <w:rFonts w:ascii="Arial" w:cs="Arial" w:eastAsia="Arial" w:hAnsi="Arial"/>
          <w:sz w:val="14"/>
          <w:szCs w:val="14"/>
          <w:color w:val="auto"/>
        </w:rPr>
        <w:t>November 2023: sale of 12,963,542 shares of common stock and pre-funded warrants to purchase 3,422,380 shares of common stock in a private placement for aggregate gross proceeds of $350.0 million before fees and expenses; and</w:t>
      </w:r>
    </w:p>
    <w:p>
      <w:pPr>
        <w:spacing w:after="0" w:line="35" w:lineRule="exact"/>
        <w:rPr>
          <w:rFonts w:ascii="Arial" w:cs="Arial" w:eastAsia="Arial" w:hAnsi="Arial"/>
          <w:sz w:val="14"/>
          <w:szCs w:val="14"/>
          <w:i w:val="1"/>
          <w:iCs w:val="1"/>
          <w:color w:val="auto"/>
        </w:rPr>
      </w:pPr>
    </w:p>
    <w:p>
      <w:pPr>
        <w:ind w:left="760" w:hanging="246"/>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April 2024: sale of AR-V7 to Novartis under the Novartis Asset Agreement for $20.0 million.</w:t>
      </w:r>
    </w:p>
    <w:p>
      <w:pPr>
        <w:spacing w:after="0" w:line="179"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In November 2023, we amended and restated the Equity Distribution Agreement with Piper Sandler &amp; Company and Cantor Fitzgerald &amp; Co., pursuant to which we may offer and sell from time to time, through the agents, up to approximately $262.8 million of the common stock registered under our universal shelf registration statement pursuant to one or more “at-the-market” offerings. During the years ended December 31, 2025 and 2024, no shares were issued under the amended and restated agreement.</w:t>
      </w:r>
    </w:p>
    <w:p>
      <w:pPr>
        <w:spacing w:after="0" w:line="8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4"/>
          <w:szCs w:val="14"/>
          <w:color w:val="auto"/>
        </w:rPr>
        <w:t>In July 2021, we entered into the Vepdegestrant (ARV-471) Collaboration Agreement with Pfizer, pursuant to which we granted Pfizer worldwide co-exclusive rights to develop and commercialize products containing our proprietary compound vepdegestrant. Under the Vepdegestrant (ARV-471) Collaboration Agreement, Pfizer made an upfront, nonrefundable payment of $650.0 million.</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46" w:right="4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Our cash, cash equivalents and marketable securities totaled $685.4 million and $1.0 billion as of December 31, 2025 and 2024, respectively. We had an outstanding loan balance of $0.6 million and $0.8 million as of December 31, 2025 and 2024, respectively.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sources and uses of cash for the period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2023</w:t>
            </w:r>
          </w:p>
        </w:tc>
      </w:tr>
      <w:tr>
        <w:trPr>
          <w:trHeight w:val="19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w:t>
            </w: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(259.3)</w:t>
            </w: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center"/>
              <w:ind w:left="572"/>
              <w:spacing w:after="0"/>
              <w:rPr>
                <w:sz w:val="20"/>
                <w:szCs w:val="20"/>
                <w:color w:val="auto"/>
              </w:rPr>
            </w:pPr>
            <w:r>
              <w:rPr>
                <w:rFonts w:ascii="Arial" w:cs="Arial" w:eastAsia="Arial" w:hAnsi="Arial"/>
                <w:sz w:val="14"/>
                <w:szCs w:val="14"/>
                <w:color w:val="auto"/>
                <w:w w:val="99"/>
              </w:rPr>
              <w:t>(347.8)</w:t>
            </w:r>
          </w:p>
        </w:tc>
      </w:tr>
      <w:tr>
        <w:trPr>
          <w:trHeight w:val="202"/>
        </w:trPr>
        <w:tc>
          <w:tcPr>
            <w:tcW w:w="6660" w:type="dxa"/>
            <w:vAlign w:val="bottom"/>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center"/>
              <w:ind w:left="572"/>
              <w:spacing w:after="0"/>
              <w:rPr>
                <w:sz w:val="20"/>
                <w:szCs w:val="20"/>
                <w:color w:val="auto"/>
              </w:rPr>
            </w:pPr>
            <w:r>
              <w:rPr>
                <w:rFonts w:ascii="Arial" w:cs="Arial" w:eastAsia="Arial" w:hAnsi="Arial"/>
                <w:sz w:val="14"/>
                <w:szCs w:val="14"/>
                <w:color w:val="auto"/>
              </w:rPr>
              <w:t>203.5</w:t>
            </w: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center"/>
              <w:ind w:left="572"/>
              <w:spacing w:after="0"/>
              <w:rPr>
                <w:sz w:val="20"/>
                <w:szCs w:val="20"/>
                <w:color w:val="auto"/>
              </w:rPr>
            </w:pPr>
            <w:r>
              <w:rPr>
                <w:rFonts w:ascii="Arial" w:cs="Arial" w:eastAsia="Arial" w:hAnsi="Arial"/>
                <w:sz w:val="14"/>
                <w:szCs w:val="14"/>
                <w:color w:val="auto"/>
              </w:rPr>
              <w:t>374.7</w:t>
            </w:r>
          </w:p>
        </w:tc>
      </w:tr>
      <w:tr>
        <w:trPr>
          <w:trHeight w:val="188"/>
        </w:trPr>
        <w:tc>
          <w:tcPr>
            <w:tcW w:w="6660" w:type="dxa"/>
            <w:vAlign w:val="bottom"/>
          </w:tcPr>
          <w:p>
            <w:pPr>
              <w:ind w:left="18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color w:val="auto"/>
              </w:rPr>
              <w:t>230.4</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9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Net cash used in operating activities for the year ended December 31, 2025 increased by $14.5 million, compared with the year ended December 31, 2024, primarily due to a decrease in deferred revenue of $141.6 million, driven by changes in total Vepdegestrant (ARV-471) Collaboration Agreement program cost estimates resulting from the removal of two Phase 3 combination trials from the development plan and a decrease in non-cash charges of $39.5 million, partially offset by a decrease in our net loss of $118.1 million, changes in accounts payable and accrued liabilities of $19.5 million, prepaid expenses and other assets of $12.3 million and accounts receivable of $10.4 million. The change in non-cash charges was primarily due to a decrease in stock compensation expense of $44.2 million.</w:t>
      </w:r>
    </w:p>
    <w:p>
      <w:pPr>
        <w:spacing w:after="0" w:line="140"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Net cash used in operating activities for the year ended December 31, 2024 decreased by $ 88.5 million, compared with the year ended December 31, 2023, primarily due to a decrease in our net loss of $168.4 million and a net increase in non-cash charges of $16.4 million, partially offset by changes in accounts payable and accrued liabilities of $38.5 million, deferred revenue of $26.4 million, prepaid expenses and other assets of $21.1 million and accounts receivable of $6.7 million. The change in non-cash charges was primarily due to an increase in stock compensation expense of $16.7 million.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92"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Net cash provided by investing activities for the year ended December 31, 2025 increased by $372.9 million, compared with the year ended December 31, 2024, primarily due to a net decrease in purchases and sales of marketable securities over maturities of $373.0 million.</w:t>
      </w:r>
    </w:p>
    <w:p>
      <w:pPr>
        <w:spacing w:after="0" w:line="12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4"/>
          <w:szCs w:val="14"/>
          <w:color w:val="auto"/>
        </w:rPr>
        <w:t>Net cash provided by investing activities for the year ended December 31, 2024 decreased by $ 168.8 million, compared with the year ended December 31, 2023, primarily due to a net decrease in maturities and sales of marketable securities in excess of purchases of $170.1 million, partially offset by a decrease in purchases of property and equipment of $1.1 million.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92"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Net cash used in financing activities for the year ended December 31, 2025 decreased by $99.3 million, compared with the year ended December 31, 2024, primarily due to repurchases of common shares of $91.9 million, including commissions and excise tax, under our share repurchase plan and a decrease in proceeds from the exercise of stock options and issuance of ESPP shares of $7.6 million.</w:t>
      </w:r>
    </w:p>
    <w:p>
      <w:pPr>
        <w:spacing w:after="0" w:line="134"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4"/>
          <w:szCs w:val="14"/>
          <w:color w:val="auto"/>
        </w:rPr>
        <w:t>Net cash provided by financing activities for the year ended December 31, 2024 decreased by $ 366.8 million, compared with the year ended December 31, 2023, primarily due to net proceeds from the issuance of common stock and pre-funded warrants to purchase shares of our common stock in a private placement in 2023 of approximately $334.1 million and net proceeds from the issuance of common stock under our "at-the-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41" w:name="page142"/>
    <w:bookmarkEnd w:id="141"/>
    <w:p>
      <w:pPr>
        <w:ind w:right="180"/>
        <w:spacing w:after="0" w:line="290" w:lineRule="auto"/>
        <w:rPr>
          <w:sz w:val="20"/>
          <w:szCs w:val="20"/>
          <w:color w:val="auto"/>
        </w:rPr>
      </w:pPr>
      <w:r>
        <w:rPr>
          <w:rFonts w:ascii="Arial" w:cs="Arial" w:eastAsia="Arial" w:hAnsi="Arial"/>
          <w:sz w:val="14"/>
          <w:szCs w:val="14"/>
          <w:color w:val="auto"/>
        </w:rPr>
        <w:t>market" offering program in 2023 of approximately $36.1 million, neither of which reoccurred in 2024, partially offset by increased proceeds from the exercise of stock options and issuance of ESPP shares of $3.8 million.</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Share Repurchase Activities</w:t>
      </w:r>
    </w:p>
    <w:p>
      <w:pPr>
        <w:spacing w:after="0" w:line="92"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On September 17, 2025, we announced that our board of directors authorized and approved a share repurchase program for the repurchase of up to $100.0 million of the currently outstanding shares of our common stock. Share repurchases under the share repurchase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we might otherwise be precluded from doing so under insider trading laws. The share repurchase program is funded using our working capital. The share repurchase program has no time limit and can be modified, suspended or discontinued at any time without prior notice.</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of December 31, 2025, we have utilized approximately $91.9 million to repurchase shares of our outstanding common stock pursuant to our authorized share repurchase program. We believe we have met our objectives for the stock repurchase program. As of December 31, 2025, we suspended the program and have no further plans to repurchase additional shares.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92" w:lineRule="exact"/>
        <w:rPr>
          <w:sz w:val="20"/>
          <w:szCs w:val="20"/>
          <w:color w:val="auto"/>
        </w:rPr>
      </w:pPr>
    </w:p>
    <w:p>
      <w:pPr>
        <w:ind w:right="140" w:firstLine="509"/>
        <w:spacing w:after="0" w:line="290" w:lineRule="auto"/>
        <w:rPr>
          <w:sz w:val="20"/>
          <w:szCs w:val="20"/>
          <w:color w:val="auto"/>
        </w:rPr>
      </w:pPr>
      <w:r>
        <w:rPr>
          <w:rFonts w:ascii="Arial" w:cs="Arial" w:eastAsia="Arial" w:hAnsi="Arial"/>
          <w:sz w:val="14"/>
          <w:szCs w:val="14"/>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Specifically, we anticipate that our expenses will increase substantially if, and as we:</w:t>
      </w:r>
    </w:p>
    <w:p>
      <w:pPr>
        <w:spacing w:after="0" w:line="94" w:lineRule="exact"/>
        <w:rPr>
          <w:sz w:val="20"/>
          <w:szCs w:val="20"/>
          <w:color w:val="auto"/>
        </w:rPr>
      </w:pPr>
    </w:p>
    <w:p>
      <w:pPr>
        <w:ind w:left="760" w:right="260" w:hanging="246"/>
        <w:spacing w:after="0" w:line="265" w:lineRule="auto"/>
        <w:tabs>
          <w:tab w:leader="none" w:pos="756"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continue our ongoing and planned clinical trials of our product candidates, including ARV-102, our PROTAC protein degrader designed to target the LRRK2 protein, ARV-806, our PROTAC protein degrader designed to target KRAS G12D for mutated cancers, ARV-393, our PROTAC protein degrader designed to target the BCL6 protein, ARV-027, our PROTAC protein degrader designed to target the polyQ-AR protein, and vepdegestrant, for the treatment of patients with locally advanced or metastatic ER+/HER2- breast cancer;</w:t>
      </w:r>
    </w:p>
    <w:p>
      <w:pPr>
        <w:spacing w:after="0" w:line="52"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progress our preclinical programs, including ARV-6723 and our pan-KRAS degrader program;</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progress additional PROTAC protein degrader programs into IND- or CTA-enabling studies;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apply our PROTAC Discovery Engine to advance additional product candidates into preclinical and clinical development;</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expand the capabilities of our PROTAC Discovery Engine;</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seek marketing approvals for any product candidates that successfully complete clinical trials;</w:t>
      </w:r>
    </w:p>
    <w:p>
      <w:pPr>
        <w:spacing w:after="0" w:line="93" w:lineRule="exact"/>
        <w:rPr>
          <w:rFonts w:ascii="Arial" w:cs="Arial" w:eastAsia="Arial" w:hAnsi="Arial"/>
          <w:sz w:val="14"/>
          <w:szCs w:val="14"/>
          <w:color w:val="auto"/>
        </w:rPr>
      </w:pPr>
    </w:p>
    <w:p>
      <w:pPr>
        <w:ind w:left="760" w:right="500" w:hanging="246"/>
        <w:spacing w:after="0" w:line="290" w:lineRule="auto"/>
        <w:tabs>
          <w:tab w:leader="none" w:pos="756" w:val="left"/>
        </w:tabs>
        <w:numPr>
          <w:ilvl w:val="0"/>
          <w:numId w:val="81"/>
        </w:numPr>
        <w:rPr>
          <w:rFonts w:ascii="Arial" w:cs="Arial" w:eastAsia="Arial" w:hAnsi="Arial"/>
          <w:sz w:val="14"/>
          <w:szCs w:val="14"/>
          <w:color w:val="auto"/>
        </w:rPr>
      </w:pPr>
      <w:r>
        <w:rPr>
          <w:rFonts w:ascii="Arial" w:cs="Arial" w:eastAsia="Arial" w:hAnsi="Arial"/>
          <w:sz w:val="14"/>
          <w:szCs w:val="14"/>
          <w:color w:val="auto"/>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spacing w:after="0" w:line="35" w:lineRule="exact"/>
        <w:rPr>
          <w:rFonts w:ascii="Arial" w:cs="Arial" w:eastAsia="Arial" w:hAnsi="Arial"/>
          <w:sz w:val="14"/>
          <w:szCs w:val="14"/>
          <w:color w:val="auto"/>
        </w:rPr>
      </w:pPr>
    </w:p>
    <w:p>
      <w:pPr>
        <w:ind w:left="760" w:right="100" w:hanging="246"/>
        <w:spacing w:after="0" w:line="290" w:lineRule="auto"/>
        <w:tabs>
          <w:tab w:leader="none" w:pos="756" w:val="left"/>
        </w:tabs>
        <w:numPr>
          <w:ilvl w:val="0"/>
          <w:numId w:val="81"/>
        </w:numPr>
        <w:rPr>
          <w:rFonts w:ascii="Arial" w:cs="Arial" w:eastAsia="Arial" w:hAnsi="Arial"/>
          <w:sz w:val="14"/>
          <w:szCs w:val="14"/>
          <w:color w:val="auto"/>
        </w:rPr>
      </w:pPr>
      <w:r>
        <w:rPr>
          <w:rFonts w:ascii="Arial" w:cs="Arial" w:eastAsia="Arial" w:hAnsi="Arial"/>
          <w:sz w:val="14"/>
          <w:szCs w:val="14"/>
          <w:color w:val="auto"/>
        </w:rPr>
        <w:t>make decisions with respect to our infrastructure and capabilities, including to support our operations as a public company and our research, product development and future commercialization efforts;</w:t>
      </w:r>
    </w:p>
    <w:p>
      <w:pPr>
        <w:spacing w:after="0" w:line="35" w:lineRule="exact"/>
        <w:rPr>
          <w:rFonts w:ascii="Arial" w:cs="Arial" w:eastAsia="Arial" w:hAnsi="Arial"/>
          <w:sz w:val="14"/>
          <w:szCs w:val="14"/>
          <w:color w:val="auto"/>
        </w:rPr>
      </w:pPr>
    </w:p>
    <w:p>
      <w:pPr>
        <w:ind w:left="760" w:right="600" w:hanging="246"/>
        <w:spacing w:after="0" w:line="290" w:lineRule="auto"/>
        <w:tabs>
          <w:tab w:leader="none" w:pos="756" w:val="left"/>
        </w:tabs>
        <w:numPr>
          <w:ilvl w:val="0"/>
          <w:numId w:val="81"/>
        </w:numPr>
        <w:rPr>
          <w:rFonts w:ascii="Arial" w:cs="Arial" w:eastAsia="Arial" w:hAnsi="Arial"/>
          <w:sz w:val="14"/>
          <w:szCs w:val="14"/>
          <w:color w:val="auto"/>
        </w:rPr>
      </w:pPr>
      <w:r>
        <w:rPr>
          <w:rFonts w:ascii="Arial" w:cs="Arial" w:eastAsia="Arial" w:hAnsi="Arial"/>
          <w:sz w:val="14"/>
          <w:szCs w:val="14"/>
          <w:color w:val="auto"/>
        </w:rPr>
        <w:t>make or maintain arrangements with third-party manufacturers, or establish manufacturing capabilities, for both clinical and commercial supplies of our product candidates; and</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expand, maintain and protect our intellectual property portfolio.</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2" w:name="page143"/>
    <w:bookmarkEnd w:id="142"/>
    <w:p>
      <w:pPr>
        <w:ind w:right="120" w:firstLine="509"/>
        <w:spacing w:after="0" w:line="265" w:lineRule="auto"/>
        <w:rPr>
          <w:sz w:val="20"/>
          <w:szCs w:val="20"/>
          <w:color w:val="auto"/>
        </w:rPr>
      </w:pPr>
      <w:r>
        <w:rPr>
          <w:rFonts w:ascii="Arial" w:cs="Arial" w:eastAsia="Arial" w:hAnsi="Arial"/>
          <w:sz w:val="14"/>
          <w:szCs w:val="14"/>
          <w:color w:val="auto"/>
        </w:rPr>
        <w:t>We had cash, cash equivalents and marketable securities of approximately $685.4 million as of December 31, 2025. We believe that our cash, cash equivalents and marketable securities as of December 31, 2025 will enable us to fund our planned operating expenses and capital expenditure requirements into the second half of 2028. We have based this estimate on assumptions that may prove to be wrong and we could use our capital resources sooner than we currently expect. Our future capital requirements will depend on many factors, including:</w:t>
      </w:r>
    </w:p>
    <w:p>
      <w:pPr>
        <w:spacing w:after="0" w:line="53" w:lineRule="exact"/>
        <w:rPr>
          <w:sz w:val="20"/>
          <w:szCs w:val="20"/>
          <w:color w:val="auto"/>
        </w:rPr>
      </w:pPr>
    </w:p>
    <w:p>
      <w:pPr>
        <w:ind w:left="760" w:hanging="246"/>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progress, scope, costs and results of our ongoing and planned clinical trials of ARV-102, ARV-806, ARV-393, ARV-027 and vepdegestrant;</w:t>
      </w:r>
    </w:p>
    <w:p>
      <w:pPr>
        <w:spacing w:after="0" w:line="93" w:lineRule="exact"/>
        <w:rPr>
          <w:rFonts w:ascii="Arial" w:cs="Arial" w:eastAsia="Arial" w:hAnsi="Arial"/>
          <w:sz w:val="14"/>
          <w:szCs w:val="14"/>
          <w:color w:val="auto"/>
        </w:rPr>
      </w:pPr>
    </w:p>
    <w:p>
      <w:pPr>
        <w:ind w:left="760" w:right="80" w:hanging="246"/>
        <w:spacing w:after="0" w:line="290" w:lineRule="auto"/>
        <w:tabs>
          <w:tab w:leader="none" w:pos="756"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progress, scope, costs and results of preclinical and clinical development for our other product candidates and development programs, including ARV-6723 and our pan-KRAS degrader program;</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number of, and development requirements for, other product candidates that we pursue, including our other oncology and neurology research programs;</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success of our collaborations, including with Pfizer and Genentech;</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w:t>
      </w:r>
    </w:p>
    <w:p>
      <w:pPr>
        <w:spacing w:after="0" w:line="93" w:lineRule="exact"/>
        <w:rPr>
          <w:rFonts w:ascii="Arial" w:cs="Arial" w:eastAsia="Arial" w:hAnsi="Arial"/>
          <w:sz w:val="14"/>
          <w:szCs w:val="14"/>
          <w:color w:val="auto"/>
        </w:rPr>
      </w:pPr>
    </w:p>
    <w:p>
      <w:pPr>
        <w:ind w:left="760" w:hanging="246"/>
        <w:spacing w:after="0" w:line="290" w:lineRule="auto"/>
        <w:tabs>
          <w:tab w:leader="none" w:pos="756"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product manufacturing, marketing, sales and distribution, for any of our product candidates for which we receive marketing approval and which we choose to commercialize ourselves;</w:t>
      </w:r>
    </w:p>
    <w:p>
      <w:pPr>
        <w:spacing w:after="0" w:line="35" w:lineRule="exact"/>
        <w:rPr>
          <w:rFonts w:ascii="Arial" w:cs="Arial" w:eastAsia="Arial" w:hAnsi="Arial"/>
          <w:sz w:val="14"/>
          <w:szCs w:val="14"/>
          <w:color w:val="auto"/>
        </w:rPr>
      </w:pPr>
    </w:p>
    <w:p>
      <w:pPr>
        <w:ind w:left="760" w:hanging="246"/>
        <w:spacing w:after="0"/>
        <w:tabs>
          <w:tab w:leader="none" w:pos="7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93" w:lineRule="exact"/>
        <w:rPr>
          <w:rFonts w:ascii="Arial" w:cs="Arial" w:eastAsia="Arial" w:hAnsi="Arial"/>
          <w:sz w:val="14"/>
          <w:szCs w:val="14"/>
          <w:color w:val="auto"/>
        </w:rPr>
      </w:pPr>
    </w:p>
    <w:p>
      <w:pPr>
        <w:ind w:left="760" w:right="320" w:hanging="246"/>
        <w:spacing w:after="0" w:line="290" w:lineRule="auto"/>
        <w:tabs>
          <w:tab w:leader="none" w:pos="756"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and enforcing our intellectual property rights and defending any intellectual property-related claims; and</w:t>
      </w:r>
    </w:p>
    <w:p>
      <w:pPr>
        <w:spacing w:after="0" w:line="35" w:lineRule="exact"/>
        <w:rPr>
          <w:rFonts w:ascii="Arial" w:cs="Arial" w:eastAsia="Arial" w:hAnsi="Arial"/>
          <w:sz w:val="14"/>
          <w:szCs w:val="14"/>
          <w:color w:val="auto"/>
        </w:rPr>
      </w:pPr>
    </w:p>
    <w:p>
      <w:pPr>
        <w:ind w:left="760" w:right="260" w:hanging="246"/>
        <w:spacing w:after="0" w:line="290" w:lineRule="auto"/>
        <w:tabs>
          <w:tab w:leader="none" w:pos="756" w:val="left"/>
        </w:tabs>
        <w:numPr>
          <w:ilvl w:val="0"/>
          <w:numId w:val="82"/>
        </w:numPr>
        <w:rPr>
          <w:rFonts w:ascii="Arial" w:cs="Arial" w:eastAsia="Arial" w:hAnsi="Arial"/>
          <w:sz w:val="14"/>
          <w:szCs w:val="14"/>
          <w:color w:val="auto"/>
        </w:rPr>
      </w:pPr>
      <w:r>
        <w:rPr>
          <w:rFonts w:ascii="Arial" w:cs="Arial" w:eastAsia="Arial" w:hAnsi="Arial"/>
          <w:sz w:val="14"/>
          <w:szCs w:val="14"/>
          <w:color w:val="auto"/>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spacing w:after="0" w:line="120"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including with Pfizer and Genentech, and our out-license to Novartis,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4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4"/>
          <w:szCs w:val="14"/>
          <w:color w:val="auto"/>
        </w:rPr>
        <w:t>To the extent that we raise additional capital through the sale of equity or convertible debt securities,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29" w:lineRule="exact"/>
        <w:rPr>
          <w:sz w:val="20"/>
          <w:szCs w:val="20"/>
          <w:color w:val="auto"/>
        </w:rPr>
      </w:pPr>
    </w:p>
    <w:p>
      <w:pPr>
        <w:ind w:right="420" w:firstLine="509"/>
        <w:spacing w:after="0" w:line="290"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Borrowings</w:t>
      </w:r>
    </w:p>
    <w:p>
      <w:pPr>
        <w:spacing w:after="0" w:line="92"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In June 2018, we entered into an additional Assistance Agreement with the State of Connecticut, or the 2018 Assistance Agreement, to provide funding for the expansion and renovation of laboratory and office space. We borrowed $2.0 million under the 2018 Assistance Agreement in September 2018, of which $1.0 million was forgiven upon meeting certain employment conditions. Borrowings under the agreement bear an interest rate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3" w:name="page144"/>
    <w:bookmarkEnd w:id="143"/>
    <w:p>
      <w:pPr>
        <w:ind w:right="120"/>
        <w:spacing w:after="0" w:line="271" w:lineRule="auto"/>
        <w:rPr>
          <w:sz w:val="20"/>
          <w:szCs w:val="20"/>
          <w:color w:val="auto"/>
        </w:rPr>
      </w:pPr>
      <w:r>
        <w:rPr>
          <w:rFonts w:ascii="Arial" w:cs="Arial" w:eastAsia="Arial" w:hAnsi="Arial"/>
          <w:sz w:val="14"/>
          <w:szCs w:val="14"/>
          <w:color w:val="auto"/>
        </w:rPr>
        <w:t>3.25% per annum, with interest only payments required for the first 60 months, and mature in September 2028. The 2018 Assistance Agreement requires that we be located in the State of Connecticut through September 2028 with a default penalty of repayment of the full original funding amount of $2.0 million plus liquidated damages of 7.5% of the total amount of funding received. As of December 31, 2025, $0.6 million remains outstanding under the 2018 Assistance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94"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Our interest-earning assets consist of cash, cash equivalents and marketable securities. Interest income earned on these assets totaled $38.5 million in 2025. Our interest income is sensitive to changes in the general level of interest rates, primarily U.S. interest rates. As of December 31, 2025, our cash equivalents consisted of bank deposits and money market funds and our marketable securities included interest-earning securities. Such interest-earning instruments carry a degree of interest rate risk. Our outstanding debt totaled $0.6 million as of December 31, 2025 and carries a fixed interest rate of 3.25% per annum.</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financial statements, together with the report of our independent registered public accounting firm, appear on pages F-1 through F-31 of this Annual Report on Form 10-</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K.</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92" w:lineRule="exact"/>
        <w:rPr>
          <w:sz w:val="20"/>
          <w:szCs w:val="20"/>
          <w:color w:val="auto"/>
        </w:rPr>
      </w:pPr>
    </w:p>
    <w:p>
      <w:pPr>
        <w:ind w:right="20" w:firstLine="509"/>
        <w:spacing w:after="0" w:line="256" w:lineRule="auto"/>
        <w:rPr>
          <w:sz w:val="20"/>
          <w:szCs w:val="20"/>
          <w:color w:val="auto"/>
        </w:rPr>
      </w:pPr>
      <w:r>
        <w:rPr>
          <w:rFonts w:ascii="Arial" w:cs="Arial" w:eastAsia="Arial" w:hAnsi="Arial"/>
          <w:sz w:val="14"/>
          <w:szCs w:val="14"/>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Management’s Annual Report on Internal Control over Financial Reporting</w:t>
      </w:r>
    </w:p>
    <w:p>
      <w:pPr>
        <w:spacing w:after="0" w:line="9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55" w:lineRule="exact"/>
        <w:rPr>
          <w:sz w:val="20"/>
          <w:szCs w:val="20"/>
          <w:color w:val="auto"/>
        </w:rPr>
      </w:pPr>
    </w:p>
    <w:p>
      <w:pPr>
        <w:ind w:left="760" w:hanging="246"/>
        <w:spacing w:after="0"/>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4" w:name="page145"/>
    <w:bookmarkEnd w:id="144"/>
    <w:p>
      <w:pPr>
        <w:ind w:left="760" w:right="340" w:hanging="246"/>
        <w:spacing w:after="0" w:line="271" w:lineRule="auto"/>
        <w:tabs>
          <w:tab w:leader="none" w:pos="756" w:val="left"/>
        </w:tabs>
        <w:numPr>
          <w:ilvl w:val="0"/>
          <w:numId w:val="84"/>
        </w:numPr>
        <w:rPr>
          <w:rFonts w:ascii="Arial" w:cs="Arial" w:eastAsia="Arial" w:hAnsi="Arial"/>
          <w:sz w:val="14"/>
          <w:szCs w:val="14"/>
          <w:i w:val="1"/>
          <w:iCs w:val="1"/>
          <w:color w:val="auto"/>
        </w:rPr>
      </w:pPr>
      <w:r>
        <w:rPr>
          <w:rFonts w:ascii="Arial" w:cs="Arial" w:eastAsia="Arial" w:hAnsi="Arial"/>
          <w:sz w:val="14"/>
          <w:szCs w:val="14"/>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48" w:lineRule="exact"/>
        <w:rPr>
          <w:rFonts w:ascii="Arial" w:cs="Arial" w:eastAsia="Arial" w:hAnsi="Arial"/>
          <w:sz w:val="14"/>
          <w:szCs w:val="14"/>
          <w:i w:val="1"/>
          <w:iCs w:val="1"/>
          <w:color w:val="auto"/>
        </w:rPr>
      </w:pPr>
    </w:p>
    <w:p>
      <w:pPr>
        <w:ind w:left="760" w:right="500" w:hanging="246"/>
        <w:spacing w:after="0" w:line="290" w:lineRule="auto"/>
        <w:tabs>
          <w:tab w:leader="none" w:pos="756"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 - Integrated Framework (2013). Based on that assessment, our management concluded that, as of December 31, 2025, our internal control over financial reporting was effective.</w:t>
      </w:r>
    </w:p>
    <w:p>
      <w:pPr>
        <w:spacing w:after="0" w:line="134" w:lineRule="exact"/>
        <w:rPr>
          <w:sz w:val="20"/>
          <w:szCs w:val="20"/>
          <w:color w:val="auto"/>
        </w:rPr>
      </w:pPr>
    </w:p>
    <w:p>
      <w:pPr>
        <w:ind w:right="200" w:firstLine="509"/>
        <w:spacing w:after="0" w:line="290" w:lineRule="auto"/>
        <w:rPr>
          <w:sz w:val="20"/>
          <w:szCs w:val="20"/>
          <w:color w:val="auto"/>
        </w:rPr>
      </w:pPr>
      <w:r>
        <w:rPr>
          <w:rFonts w:ascii="Arial" w:cs="Arial" w:eastAsia="Arial" w:hAnsi="Arial"/>
          <w:sz w:val="14"/>
          <w:szCs w:val="14"/>
          <w:color w:val="auto"/>
        </w:rPr>
        <w:t>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2025, included below.</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2" w:lineRule="exact"/>
        <w:rPr>
          <w:sz w:val="20"/>
          <w:szCs w:val="20"/>
          <w:color w:val="auto"/>
        </w:rPr>
      </w:pPr>
    </w:p>
    <w:p>
      <w:pPr>
        <w:ind w:right="660" w:firstLine="509"/>
        <w:spacing w:after="0" w:line="290" w:lineRule="auto"/>
        <w:rPr>
          <w:sz w:val="20"/>
          <w:szCs w:val="20"/>
          <w:color w:val="auto"/>
        </w:rPr>
      </w:pPr>
      <w:r>
        <w:rPr>
          <w:rFonts w:ascii="Arial" w:cs="Arial" w:eastAsia="Arial" w:hAnsi="Arial"/>
          <w:sz w:val="14"/>
          <w:szCs w:val="14"/>
          <w:color w:val="auto"/>
        </w:rPr>
        <w:t>No change in our internal control over financial reporting (as defined in Rules 13a-15(f) and 15d-15(f) under the Exchange Act) occurred during the quarter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Arvinas, Inc.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9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 xml:space="preserve">We have audited the internal control over financial reporting of Arvinas, Inc. and subsidiaries (the “Company”) as of December 31, 2025,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(2013) </w:t>
      </w:r>
      <w:r>
        <w:rPr>
          <w:rFonts w:ascii="Arial" w:cs="Arial" w:eastAsia="Arial" w:hAnsi="Arial"/>
          <w:sz w:val="14"/>
          <w:szCs w:val="14"/>
          <w:color w:val="auto"/>
        </w:rPr>
        <w:t>issued by the Committee of Sponsoring Organizations of the Treadway Commission (COSO). In our opinion, the Company maintained,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all material respects, effective internal control over financial reporting as of December 31, 2025,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COSO.</w:t>
      </w:r>
    </w:p>
    <w:p>
      <w:pPr>
        <w:spacing w:after="0" w:line="15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60" w:firstLine="5"/>
        <w:spacing w:after="0" w:line="258" w:lineRule="auto"/>
        <w:tabs>
          <w:tab w:leader="none" w:pos="2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2026</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color w:val="auto"/>
        </w:rPr>
        <w:t>Item 9B. Other Information.</w:t>
      </w:r>
    </w:p>
    <w:p>
      <w:pPr>
        <w:spacing w:after="0" w:line="189" w:lineRule="exact"/>
        <w:rPr>
          <w:sz w:val="20"/>
          <w:szCs w:val="20"/>
          <w:color w:val="auto"/>
        </w:rPr>
      </w:pPr>
    </w:p>
    <w:p>
      <w:pPr>
        <w:jc w:val="both"/>
        <w:ind w:firstLine="514"/>
        <w:spacing w:after="0" w:line="249" w:lineRule="auto"/>
        <w:tabs>
          <w:tab w:leader="none" w:pos="721" w:val="left"/>
        </w:tabs>
        <w:numPr>
          <w:ilvl w:val="0"/>
          <w:numId w:val="86"/>
        </w:numPr>
        <w:rPr>
          <w:rFonts w:ascii="Arial" w:cs="Arial" w:eastAsia="Arial" w:hAnsi="Arial"/>
          <w:sz w:val="14"/>
          <w:szCs w:val="14"/>
          <w:color w:val="auto"/>
        </w:rPr>
      </w:pPr>
      <w:r>
        <w:rPr>
          <w:rFonts w:ascii="Arial" w:cs="Arial" w:eastAsia="Arial" w:hAnsi="Arial"/>
          <w:sz w:val="14"/>
          <w:szCs w:val="14"/>
          <w:color w:val="auto"/>
        </w:rPr>
        <w:t>On February 24, 2026, we issued a press release announcing unaudited financial results for the quarter and year ended December 31, 2025, which was furnished on a Current Report on Form 8-K filed on February 24, 2026, or collectively, the Earnings Materials. We also held a conference call and webcast discussing such results. Subsequent to presenting our Earnings Materials, we made an immaterial adjustment to the fourth quarter 2025 basic and diluted net loss per common share. The amount reported for fourth quarter 2025 basic and diluted net loss per common share in the Earnings Materials was reported as $(1.10) and should be $(1.04).</w:t>
      </w:r>
    </w:p>
    <w:p>
      <w:pPr>
        <w:spacing w:after="0" w:line="235" w:lineRule="exact"/>
        <w:rPr>
          <w:rFonts w:ascii="Arial" w:cs="Arial" w:eastAsia="Arial" w:hAnsi="Arial"/>
          <w:sz w:val="14"/>
          <w:szCs w:val="14"/>
          <w:color w:val="auto"/>
        </w:rPr>
      </w:pPr>
    </w:p>
    <w:p>
      <w:pPr>
        <w:ind w:left="720" w:hanging="206"/>
        <w:spacing w:after="0"/>
        <w:tabs>
          <w:tab w:leader="none" w:pos="720" w:val="left"/>
        </w:tabs>
        <w:numPr>
          <w:ilvl w:val="0"/>
          <w:numId w:val="86"/>
        </w:numPr>
        <w:rPr>
          <w:rFonts w:ascii="Arial" w:cs="Arial" w:eastAsia="Arial" w:hAnsi="Arial"/>
          <w:sz w:val="14"/>
          <w:szCs w:val="14"/>
          <w:color w:val="auto"/>
        </w:rPr>
      </w:pPr>
      <w:r>
        <w:rPr>
          <w:rFonts w:ascii="Arial" w:cs="Arial" w:eastAsia="Arial" w:hAnsi="Arial"/>
          <w:sz w:val="14"/>
          <w:szCs w:val="14"/>
          <w:b w:val="1"/>
          <w:bCs w:val="1"/>
          <w:i w:val="1"/>
          <w:iCs w:val="1"/>
          <w:color w:val="auto"/>
        </w:rPr>
        <w:t>Director and Officer Trading Arrangements</w:t>
      </w:r>
    </w:p>
    <w:p>
      <w:pPr>
        <w:spacing w:after="0" w:line="92" w:lineRule="exact"/>
        <w:rPr>
          <w:sz w:val="20"/>
          <w:szCs w:val="20"/>
          <w:color w:val="auto"/>
        </w:rPr>
      </w:pPr>
    </w:p>
    <w:p>
      <w:pPr>
        <w:ind w:right="540" w:firstLine="509"/>
        <w:spacing w:after="0" w:line="290" w:lineRule="auto"/>
        <w:rPr>
          <w:sz w:val="20"/>
          <w:szCs w:val="20"/>
          <w:color w:val="auto"/>
        </w:rPr>
      </w:pPr>
      <w:r>
        <w:rPr>
          <w:rFonts w:ascii="Arial" w:cs="Arial" w:eastAsia="Arial" w:hAnsi="Arial"/>
          <w:sz w:val="14"/>
          <w:szCs w:val="14"/>
          <w:color w:val="auto"/>
        </w:rPr>
        <w:t>None of our directors or officers adopted or terminated a Rule 10b5-1 trading arrangement or a non-Rule 10b5-1 trading arrangement (as defined in Item 408(c) of Regulation S-K) during the fourth quarter of 2025.</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16" w:right="41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The information required by this Item is incorporated by reference from the information that will be contained in our Proxy Statement for our 2026 Annual Meeting of Stockholders, which we intend to file with the SEC within 120 days of the end of the fiscal year to which this Annual Report on Form 10-K relates pursuant to General Instruction G(3) of Form 10-K.</w:t>
      </w:r>
    </w:p>
    <w:p>
      <w:pPr>
        <w:spacing w:after="0" w:line="134"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We have adopted a Code of Business Conduct and Ethics that applies to our officers, including our principal executive, financial and accounting officers and our directors and employees. We have posted the text of our Code of Business Conduct and Ethics under the “Investors and Media – Corporate Governance” section of our website, www.arvinas.com. We intend to disclose on our website any amendments to, or waivers from, the Code of Business Conduct and Ethics that are required to be disclosed pursuant to the disclosure requirements of Item 5.05 of Form 8-K.</w:t>
      </w:r>
    </w:p>
    <w:p>
      <w:pPr>
        <w:spacing w:after="0" w:line="138"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We have adopted an Insider Trading Policy governing the purchase, sale and/or other dispositions of Company securities by our directors, officers and employees and other covered persons. We believe the Insider Trading Policy is reasonably designed to promote compliance with insider trading laws, rules and regulations, and Nasdaq listing standards. A copy of our Insider Trading Policy is incorporated by reference as Exhibit 19.1 to this Annual Report on Form 10-K for the fiscal year ended December 31, 2025.</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68" w:lineRule="exact"/>
        <w:rPr>
          <w:sz w:val="20"/>
          <w:szCs w:val="20"/>
          <w:color w:val="auto"/>
        </w:rPr>
      </w:pPr>
    </w:p>
    <w:p>
      <w:pPr>
        <w:ind w:right="260" w:firstLine="509"/>
        <w:spacing w:after="0" w:line="255" w:lineRule="auto"/>
        <w:rPr>
          <w:sz w:val="20"/>
          <w:szCs w:val="20"/>
          <w:color w:val="auto"/>
        </w:rPr>
      </w:pPr>
      <w:r>
        <w:rPr>
          <w:rFonts w:ascii="Arial" w:cs="Arial" w:eastAsia="Arial" w:hAnsi="Arial"/>
          <w:sz w:val="14"/>
          <w:szCs w:val="14"/>
          <w:color w:val="auto"/>
        </w:rPr>
        <w:t>The information required by this Item (other than the information required by Item 402(v) of Regulation S-K) is incorporated by reference from the information that will be contained in our Proxy Statement for our 2026 Annual Meeting of Stockholders, which we intend to file with the SEC within 120 days of the end of the fiscal year to which this Annual Report on Form 10-K relates pursuant to General Instruction G(3) of Form 10-K.</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The information required by this Item is incorporated by reference from the information that will be contained in our Proxy Statement for our 2026 Annual Meeting of Stockholders, which we intend to file with the SEC within 120 days of the end of the fiscal year to which this Annual Report on Form 10-K relates pursuant to General Instruction G(3) of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The information required by this Item is incorporated by reference from the information that will be contained in our Proxy Statement for our 2026 Annual Meeting of Stockholders, which we intend to file with the SEC within 120 days of the end of the fiscal year to which this Annual Report on Form 10-K relates pursuant to General Instruction G(3) of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9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4"/>
          <w:szCs w:val="14"/>
          <w:color w:val="auto"/>
        </w:rPr>
        <w:t>The information required by this Item is incorporated by reference from the information that will be contained in our Proxy Statement for our 2026 Annual Meeting of Stockholders, which we intend to file with the SEC within 120 days of the end of the fiscal year to which this Annual Report on Form 10-K relates pursuant to General Instruction G(3) of Form 10-K.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94" w:lineRule="exact"/>
        <w:rPr>
          <w:sz w:val="20"/>
          <w:szCs w:val="20"/>
          <w:color w:val="auto"/>
        </w:rPr>
      </w:pPr>
    </w:p>
    <w:p>
      <w:pPr>
        <w:ind w:left="500" w:hanging="495"/>
        <w:spacing w:after="0"/>
        <w:tabs>
          <w:tab w:leader="none" w:pos="500" w:val="left"/>
        </w:tabs>
        <w:numPr>
          <w:ilvl w:val="0"/>
          <w:numId w:val="87"/>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 xml:space="preserve">Financial Statements </w:t>
      </w:r>
      <w:r>
        <w:rPr>
          <w:rFonts w:ascii="Arial" w:cs="Arial" w:eastAsia="Arial" w:hAnsi="Arial"/>
          <w:sz w:val="14"/>
          <w:szCs w:val="14"/>
          <w:color w:val="auto"/>
        </w:rPr>
        <w:t>- The following consolidated financial statements are filed as part of this Annual Report on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3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Page</w:t>
            </w:r>
          </w:p>
        </w:tc>
      </w:tr>
      <w:tr>
        <w:trPr>
          <w:trHeight w:val="151"/>
        </w:trPr>
        <w:tc>
          <w:tcPr>
            <w:tcW w:w="20" w:type="dxa"/>
            <w:vAlign w:val="bottom"/>
            <w:shd w:val="clear" w:color="auto" w:fill="CCEEFF"/>
          </w:tcPr>
          <w:p>
            <w:pPr>
              <w:spacing w:after="0"/>
              <w:rPr>
                <w:sz w:val="13"/>
                <w:szCs w:val="13"/>
                <w:color w:val="auto"/>
              </w:rPr>
            </w:pPr>
          </w:p>
        </w:tc>
        <w:tc>
          <w:tcPr>
            <w:tcW w:w="10180" w:type="dxa"/>
            <w:vAlign w:val="bottom"/>
            <w:gridSpan w:val="8"/>
            <w:shd w:val="clear" w:color="auto" w:fill="CCEEFF"/>
          </w:tcPr>
          <w:p>
            <w:pPr>
              <w:spacing w:after="0" w:line="139" w:lineRule="exact"/>
              <w:rPr>
                <w:sz w:val="20"/>
                <w:szCs w:val="20"/>
                <w:color w:val="auto"/>
              </w:rPr>
            </w:pPr>
            <w:r>
              <w:rPr>
                <w:rFonts w:ascii="Arial" w:cs="Arial" w:eastAsia="Arial" w:hAnsi="Arial"/>
                <w:sz w:val="14"/>
                <w:szCs w:val="14"/>
                <w:color w:val="0000FF"/>
              </w:rPr>
              <w:t>Report of Independent Registered Public Accounting Firm (PCAOB ID No.</w:t>
            </w:r>
            <w:r>
              <w:rPr>
                <w:rFonts w:ascii="Arial" w:cs="Arial" w:eastAsia="Arial" w:hAnsi="Arial"/>
                <w:sz w:val="14"/>
                <w:szCs w:val="14"/>
                <w:color w:val="000000"/>
              </w:rPr>
              <w:t>34</w:t>
            </w:r>
            <w:r>
              <w:rPr>
                <w:rFonts w:ascii="Arial" w:cs="Arial" w:eastAsia="Arial" w:hAnsi="Arial"/>
                <w:sz w:val="14"/>
                <w:szCs w:val="14"/>
                <w:u w:val="single" w:color="auto"/>
                <w:color w:val="0000FF"/>
              </w:rPr>
              <w:t>)</w:t>
            </w:r>
          </w:p>
        </w:tc>
        <w:tc>
          <w:tcPr>
            <w:tcW w:w="10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F-2</w:t>
            </w:r>
          </w:p>
        </w:tc>
      </w:tr>
      <w:tr>
        <w:trPr>
          <w:trHeight w:val="212"/>
        </w:trPr>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rPr>
              <w:t>Consolidated Balance Sheets</w:t>
            </w:r>
          </w:p>
        </w:tc>
        <w:tc>
          <w:tcPr>
            <w:tcW w:w="6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3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520" w:type="dxa"/>
            <w:vAlign w:val="bottom"/>
            <w:gridSpan w:val="2"/>
          </w:tcPr>
          <w:p>
            <w:pPr>
              <w:ind w:left="380"/>
              <w:spacing w:after="0"/>
              <w:rPr>
                <w:sz w:val="20"/>
                <w:szCs w:val="20"/>
                <w:color w:val="auto"/>
              </w:rPr>
            </w:pPr>
            <w:r>
              <w:rPr>
                <w:rFonts w:ascii="Arial" w:cs="Arial" w:eastAsia="Arial" w:hAnsi="Arial"/>
                <w:sz w:val="14"/>
                <w:szCs w:val="14"/>
                <w:color w:val="auto"/>
              </w:rPr>
              <w:t>December 31, 2025 and 2024</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F-4</w:t>
            </w:r>
          </w:p>
        </w:tc>
      </w:tr>
      <w:tr>
        <w:trPr>
          <w:trHeight w:val="212"/>
        </w:trPr>
        <w:tc>
          <w:tcPr>
            <w:tcW w:w="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10180" w:type="dxa"/>
            <w:vAlign w:val="bottom"/>
            <w:gridSpan w:val="8"/>
          </w:tcPr>
          <w:p>
            <w:pPr>
              <w:spacing w:after="0" w:line="149" w:lineRule="exact"/>
              <w:rPr>
                <w:sz w:val="20"/>
                <w:szCs w:val="20"/>
                <w:color w:val="auto"/>
              </w:rPr>
            </w:pPr>
            <w:r>
              <w:rPr>
                <w:rFonts w:ascii="Arial" w:cs="Arial" w:eastAsia="Arial" w:hAnsi="Arial"/>
                <w:sz w:val="14"/>
                <w:szCs w:val="14"/>
                <w:color w:val="0000FF"/>
              </w:rPr>
              <w:t>Consolidated Statements of Operations and Comprehensive Loss</w:t>
            </w:r>
          </w:p>
        </w:tc>
        <w:tc>
          <w:tcPr>
            <w:tcW w:w="108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2520" w:type="dxa"/>
            <w:vAlign w:val="bottom"/>
            <w:tcBorders>
              <w:top w:val="single" w:sz="8" w:color="0000FF"/>
            </w:tcBorders>
            <w:gridSpan w:val="2"/>
            <w:shd w:val="clear" w:color="auto" w:fill="CCEEFF"/>
          </w:tcPr>
          <w:p>
            <w:pPr>
              <w:ind w:left="380"/>
              <w:spacing w:after="0"/>
              <w:rPr>
                <w:sz w:val="20"/>
                <w:szCs w:val="20"/>
                <w:color w:val="auto"/>
              </w:rPr>
            </w:pPr>
            <w:r>
              <w:rPr>
                <w:rFonts w:ascii="Arial" w:cs="Arial" w:eastAsia="Arial" w:hAnsi="Arial"/>
                <w:sz w:val="14"/>
                <w:szCs w:val="14"/>
                <w:color w:val="auto"/>
              </w:rPr>
              <w:t>Years ended December 31, 2025,</w:t>
            </w:r>
          </w:p>
        </w:tc>
        <w:tc>
          <w:tcPr>
            <w:tcW w:w="1580" w:type="dxa"/>
            <w:vAlign w:val="bottom"/>
            <w:tcBorders>
              <w:top w:val="single" w:sz="8" w:color="0000FF"/>
            </w:tcBorders>
            <w:gridSpan w:val="3"/>
            <w:shd w:val="clear" w:color="auto" w:fill="CCEEFF"/>
          </w:tcPr>
          <w:p>
            <w:pPr>
              <w:spacing w:after="0"/>
              <w:rPr>
                <w:sz w:val="20"/>
                <w:szCs w:val="20"/>
                <w:color w:val="auto"/>
              </w:rPr>
            </w:pPr>
            <w:r>
              <w:rPr>
                <w:rFonts w:ascii="Arial" w:cs="Arial" w:eastAsia="Arial" w:hAnsi="Arial"/>
                <w:sz w:val="14"/>
                <w:szCs w:val="14"/>
                <w:color w:val="auto"/>
              </w:rPr>
              <w:t>2024 and 2023</w:t>
            </w:r>
          </w:p>
        </w:tc>
        <w:tc>
          <w:tcPr>
            <w:tcW w:w="6080" w:type="dxa"/>
            <w:vAlign w:val="bottom"/>
            <w:gridSpan w:val="3"/>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F-5</w:t>
            </w:r>
          </w:p>
        </w:tc>
      </w:t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2520" w:type="dxa"/>
            <w:vAlign w:val="bottom"/>
            <w:tcBorders>
              <w:bottom w:val="single" w:sz="8" w:color="0000FF"/>
            </w:tcBorders>
            <w:gridSpan w:val="2"/>
            <w:shd w:val="clear" w:color="auto" w:fill="CCEEFF"/>
          </w:tcPr>
          <w:p>
            <w:pPr>
              <w:spacing w:after="0" w:line="149" w:lineRule="exact"/>
              <w:rPr>
                <w:sz w:val="20"/>
                <w:szCs w:val="20"/>
                <w:color w:val="auto"/>
              </w:rPr>
            </w:pPr>
            <w:r>
              <w:rPr>
                <w:rFonts w:ascii="Arial" w:cs="Arial" w:eastAsia="Arial" w:hAnsi="Arial"/>
                <w:sz w:val="14"/>
                <w:szCs w:val="14"/>
                <w:color w:val="0000FF"/>
              </w:rPr>
              <w:t>Consolidated Statements of Changes in</w:t>
            </w:r>
          </w:p>
        </w:tc>
        <w:tc>
          <w:tcPr>
            <w:tcW w:w="1300" w:type="dxa"/>
            <w:vAlign w:val="bottom"/>
            <w:tcBorders>
              <w:bottom w:val="single" w:sz="8" w:color="0000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0000FF"/>
                <w:w w:val="99"/>
              </w:rPr>
              <w:t>Stockholders’ Equity</w:t>
            </w:r>
          </w:p>
        </w:tc>
        <w:tc>
          <w:tcPr>
            <w:tcW w:w="6360" w:type="dxa"/>
            <w:vAlign w:val="bottom"/>
            <w:tcBorders>
              <w:bottom w:val="single" w:sz="8" w:color="CCEEFF"/>
            </w:tcBorders>
            <w:gridSpan w:val="4"/>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520" w:type="dxa"/>
            <w:vAlign w:val="bottom"/>
            <w:gridSpan w:val="2"/>
          </w:tcPr>
          <w:p>
            <w:pPr>
              <w:ind w:left="380"/>
              <w:spacing w:after="0"/>
              <w:rPr>
                <w:sz w:val="20"/>
                <w:szCs w:val="20"/>
                <w:color w:val="auto"/>
              </w:rPr>
            </w:pPr>
            <w:r>
              <w:rPr>
                <w:rFonts w:ascii="Arial" w:cs="Arial" w:eastAsia="Arial" w:hAnsi="Arial"/>
                <w:sz w:val="14"/>
                <w:szCs w:val="14"/>
                <w:color w:val="auto"/>
              </w:rPr>
              <w:t>Years ended December 31, 2025,</w:t>
            </w:r>
          </w:p>
        </w:tc>
        <w:tc>
          <w:tcPr>
            <w:tcW w:w="7660" w:type="dxa"/>
            <w:vAlign w:val="bottom"/>
            <w:gridSpan w:val="6"/>
          </w:tcPr>
          <w:p>
            <w:pPr>
              <w:spacing w:after="0"/>
              <w:rPr>
                <w:sz w:val="20"/>
                <w:szCs w:val="20"/>
                <w:color w:val="auto"/>
              </w:rPr>
            </w:pPr>
            <w:r>
              <w:rPr>
                <w:rFonts w:ascii="Arial" w:cs="Arial" w:eastAsia="Arial" w:hAnsi="Arial"/>
                <w:sz w:val="14"/>
                <w:szCs w:val="14"/>
                <w:color w:val="auto"/>
              </w:rPr>
              <w:t>2024 and 2023</w:t>
            </w: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F-6</w:t>
            </w:r>
          </w:p>
        </w:tc>
      </w:tr>
      <w:tr>
        <w:trPr>
          <w:trHeight w:val="212"/>
        </w:trPr>
        <w:tc>
          <w:tcPr>
            <w:tcW w:w="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252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rPr>
              <w:t>Consolidated Statements of Cash Flows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Years ended December 31, 2025,</w:t>
            </w:r>
          </w:p>
        </w:tc>
        <w:tc>
          <w:tcPr>
            <w:tcW w:w="766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2024 and 2023</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F-7</w:t>
            </w:r>
          </w:p>
        </w:tc>
      </w:t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0000FF"/>
            </w:tcBorders>
            <w:gridSpan w:val="3"/>
            <w:shd w:val="clear" w:color="auto" w:fill="CCEEFF"/>
          </w:tcPr>
          <w:p>
            <w:pPr>
              <w:spacing w:after="0" w:line="149" w:lineRule="exact"/>
              <w:rPr>
                <w:sz w:val="20"/>
                <w:szCs w:val="20"/>
                <w:color w:val="auto"/>
              </w:rPr>
            </w:pPr>
            <w:r>
              <w:rPr>
                <w:rFonts w:ascii="Arial" w:cs="Arial" w:eastAsia="Arial" w:hAnsi="Arial"/>
                <w:sz w:val="14"/>
                <w:szCs w:val="14"/>
                <w:color w:val="0000FF"/>
              </w:rPr>
              <w:t>Notes to Consolidated Financial Statements</w:t>
            </w:r>
          </w:p>
        </w:tc>
        <w:tc>
          <w:tcPr>
            <w:tcW w:w="7420" w:type="dxa"/>
            <w:vAlign w:val="bottom"/>
            <w:tcBorders>
              <w:bottom w:val="single" w:sz="8" w:color="CCEEFF"/>
            </w:tcBorders>
            <w:gridSpan w:val="5"/>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F-8</w:t>
            </w:r>
          </w:p>
        </w:tc>
      </w:tr>
    </w:tbl>
    <w:p>
      <w:pPr>
        <w:spacing w:after="0" w:line="314" w:lineRule="exact"/>
        <w:rPr>
          <w:sz w:val="20"/>
          <w:szCs w:val="20"/>
          <w:color w:val="auto"/>
        </w:rPr>
      </w:pPr>
    </w:p>
    <w:p>
      <w:pPr>
        <w:ind w:left="500" w:hanging="495"/>
        <w:spacing w:after="0"/>
        <w:tabs>
          <w:tab w:leader="none" w:pos="50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 Schedules</w:t>
      </w:r>
    </w:p>
    <w:p>
      <w:pPr>
        <w:spacing w:after="0" w:line="94" w:lineRule="exact"/>
        <w:rPr>
          <w:sz w:val="20"/>
          <w:szCs w:val="20"/>
          <w:color w:val="auto"/>
        </w:rPr>
      </w:pPr>
    </w:p>
    <w:p>
      <w:pPr>
        <w:ind w:right="600" w:firstLine="491"/>
        <w:spacing w:after="0" w:line="290" w:lineRule="auto"/>
        <w:rPr>
          <w:sz w:val="20"/>
          <w:szCs w:val="20"/>
          <w:color w:val="auto"/>
        </w:rPr>
      </w:pPr>
      <w:r>
        <w:rPr>
          <w:rFonts w:ascii="Arial" w:cs="Arial" w:eastAsia="Arial" w:hAnsi="Arial"/>
          <w:sz w:val="14"/>
          <w:szCs w:val="14"/>
          <w:color w:val="auto"/>
        </w:rPr>
        <w:t>All financial statement schedules have been omitted because they are not applicable, not required or the information required is shown in the consolidated financial statements or the notes thereto.</w:t>
      </w:r>
    </w:p>
    <w:p>
      <w:pPr>
        <w:spacing w:after="0" w:line="205" w:lineRule="exact"/>
        <w:rPr>
          <w:sz w:val="20"/>
          <w:szCs w:val="20"/>
          <w:color w:val="auto"/>
        </w:rPr>
      </w:pPr>
    </w:p>
    <w:p>
      <w:pPr>
        <w:ind w:left="500" w:hanging="495"/>
        <w:spacing w:after="0"/>
        <w:tabs>
          <w:tab w:leader="none" w:pos="500"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Index to Exhibits</w:t>
      </w:r>
    </w:p>
    <w:p>
      <w:pPr>
        <w:spacing w:after="0" w:line="93"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following is a list of exhibits filed as part of this Annual Report on Form 10-K.</w:t>
      </w:r>
    </w:p>
    <w:p>
      <w:pPr>
        <w:sectPr>
          <w:pgSz w:w="11900" w:h="16838" w:orient="portrait"/>
          <w:cols w:equalWidth="0" w:num="1">
            <w:col w:w="11280"/>
          </w:cols>
          <w:pgMar w:left="300" w:top="1016" w:right="319" w:bottom="1440" w:gutter="0" w:footer="0" w:header="0"/>
        </w:sectPr>
      </w:pPr>
    </w:p>
    <w:p>
      <w:pPr>
        <w:spacing w:after="0" w:line="240"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auto"/>
        </w:rPr>
        <w:t>Exhibit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43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375" cy="6985"/>
                    </a:xfrm>
                    <a:prstGeom prst="rect">
                      <a:avLst/>
                    </a:prstGeom>
                    <a:noFill/>
                  </pic:spPr>
                </pic:pic>
              </a:graphicData>
            </a:graphic>
          </wp:anchor>
        </w:drawing>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3.1</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3.2</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4.1</w:t>
      </w:r>
    </w:p>
    <w:p>
      <w:pPr>
        <w:spacing w:after="0" w:line="26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164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534289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2890" cy="6985"/>
                    </a:xfrm>
                    <a:prstGeom prst="rect">
                      <a:avLst/>
                    </a:prstGeom>
                    <a:noFill/>
                  </pic:spPr>
                </pic:pic>
              </a:graphicData>
            </a:graphic>
          </wp:anchor>
        </w:drawing>
      </w:r>
    </w:p>
    <w:p>
      <w:pPr>
        <w:spacing w:after="0" w:line="47" w:lineRule="exact"/>
        <w:rPr>
          <w:sz w:val="20"/>
          <w:szCs w:val="20"/>
          <w:color w:val="auto"/>
        </w:rPr>
      </w:pPr>
    </w:p>
    <w:p>
      <w:pPr>
        <w:jc w:val="both"/>
        <w:ind w:right="1800"/>
        <w:spacing w:after="0" w:line="242" w:lineRule="auto"/>
        <w:rPr>
          <w:rFonts w:ascii="Arial" w:cs="Arial" w:eastAsia="Arial" w:hAnsi="Arial"/>
          <w:sz w:val="14"/>
          <w:szCs w:val="14"/>
          <w:u w:val="single" w:color="auto"/>
          <w:color w:val="0000FF"/>
        </w:rPr>
      </w:pPr>
      <w:hyperlink r:id="rId169">
        <w:r>
          <w:rPr>
            <w:rFonts w:ascii="Arial" w:cs="Arial" w:eastAsia="Arial" w:hAnsi="Arial"/>
            <w:sz w:val="14"/>
            <w:szCs w:val="14"/>
            <w:u w:val="single" w:color="auto"/>
            <w:color w:val="0000FF"/>
          </w:rPr>
          <w:t>Restated Certificate of Incorporation of the Registrant (incorporated by reference to Exhibit 3.1 to the Registrant’s Current Report on</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Form 8-K (File No. 001-38672) filed with the SEC on October 1, 2018).</w:t>
        </w:r>
      </w:hyperlink>
    </w:p>
    <w:p>
      <w:pPr>
        <w:spacing w:after="0" w:line="47" w:lineRule="exact"/>
        <w:rPr>
          <w:sz w:val="20"/>
          <w:szCs w:val="20"/>
          <w:color w:val="auto"/>
        </w:rPr>
      </w:pPr>
    </w:p>
    <w:p>
      <w:pPr>
        <w:ind w:right="1760"/>
        <w:spacing w:after="0" w:line="242" w:lineRule="auto"/>
        <w:rPr>
          <w:rFonts w:ascii="Arial" w:cs="Arial" w:eastAsia="Arial" w:hAnsi="Arial"/>
          <w:sz w:val="14"/>
          <w:szCs w:val="14"/>
          <w:u w:val="single" w:color="auto"/>
          <w:color w:val="0000FF"/>
        </w:rPr>
      </w:pPr>
      <w:hyperlink r:id="rId170">
        <w:r>
          <w:rPr>
            <w:rFonts w:ascii="Arial" w:cs="Arial" w:eastAsia="Arial" w:hAnsi="Arial"/>
            <w:sz w:val="14"/>
            <w:szCs w:val="14"/>
            <w:u w:val="single" w:color="auto"/>
            <w:color w:val="0000FF"/>
          </w:rPr>
          <w:t>Second Amended and Restated Bylaws of the Registrant (incorporated by reference to Exhibit 3.1 to the Registrant’s Current Report</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on Form 8-K (File No. 001-38672) filed with the SEC on June 21, 2023).</w:t>
        </w:r>
      </w:hyperlink>
    </w:p>
    <w:p>
      <w:pPr>
        <w:spacing w:after="0" w:line="68" w:lineRule="exact"/>
        <w:rPr>
          <w:sz w:val="20"/>
          <w:szCs w:val="20"/>
          <w:color w:val="auto"/>
        </w:rPr>
      </w:pPr>
    </w:p>
    <w:p>
      <w:pPr>
        <w:ind w:right="2100"/>
        <w:spacing w:after="0" w:line="274" w:lineRule="auto"/>
        <w:rPr>
          <w:rFonts w:ascii="Arial" w:cs="Arial" w:eastAsia="Arial" w:hAnsi="Arial"/>
          <w:sz w:val="14"/>
          <w:szCs w:val="14"/>
          <w:u w:val="single" w:color="auto"/>
          <w:color w:val="0000FF"/>
        </w:rPr>
      </w:pPr>
      <w:hyperlink r:id="rId171">
        <w:r>
          <w:rPr>
            <w:rFonts w:ascii="Arial" w:cs="Arial" w:eastAsia="Arial" w:hAnsi="Arial"/>
            <w:sz w:val="14"/>
            <w:szCs w:val="14"/>
            <w:u w:val="single" w:color="auto"/>
            <w:color w:val="0000FF"/>
          </w:rPr>
          <w:t>Specimen Stock Certificate evidencing the shares of common stock (incorporated by reference to Exhibit 4.1 to the Registrant's</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Registration Statement on Form S-1 (File No. 333-227112) filed with the SEC on August 30, 2018).</w:t>
        </w:r>
      </w:hyperlink>
    </w:p>
    <w:p>
      <w:pPr>
        <w:spacing w:after="0" w:line="57" w:lineRule="exact"/>
        <w:rPr>
          <w:sz w:val="20"/>
          <w:szCs w:val="20"/>
          <w:color w:val="auto"/>
        </w:rPr>
      </w:pPr>
    </w:p>
    <w:p>
      <w:pPr>
        <w:jc w:val="both"/>
        <w:ind w:right="1800"/>
        <w:spacing w:after="0" w:line="255" w:lineRule="auto"/>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Second Amended and Restated Put Agreement among the Registrant, Connecticut Innovations, Incorporated and the other parties</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thereto, dated March 29, 2018 (incorporated by reference to Exhibit 4.3 to the Registrant's Registration Statement on Form S-1 (File</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No. 333-2271121) filed with the SEC on August 30. 2018)</w:t>
        </w:r>
        <w:r>
          <w:rPr>
            <w:rFonts w:ascii="Arial" w:cs="Arial" w:eastAsia="Arial" w:hAnsi="Arial"/>
            <w:sz w:val="14"/>
            <w:szCs w:val="14"/>
            <w:u w:val="single" w:color="auto"/>
            <w:color w:val="0000FF"/>
            <w:highlight w:val="white"/>
          </w:rPr>
          <w:t>.</w:t>
        </w:r>
      </w:hyperlink>
    </w:p>
    <w:p>
      <w:pPr>
        <w:spacing w:after="0" w:line="49" w:lineRule="exact"/>
        <w:rPr>
          <w:rFonts w:ascii="Arial" w:cs="Arial" w:eastAsia="Arial" w:hAnsi="Arial"/>
          <w:sz w:val="14"/>
          <w:szCs w:val="14"/>
          <w:u w:val="single" w:color="auto"/>
          <w:color w:val="0000FF"/>
        </w:rPr>
      </w:pPr>
    </w:p>
    <w:p>
      <w:pPr>
        <w:ind w:right="1660"/>
        <w:spacing w:after="0" w:line="229" w:lineRule="auto"/>
        <w:rPr>
          <w:rFonts w:ascii="Arial" w:cs="Arial" w:eastAsia="Arial" w:hAnsi="Arial"/>
          <w:sz w:val="14"/>
          <w:szCs w:val="14"/>
          <w:u w:val="single" w:color="auto"/>
          <w:color w:val="0000FF"/>
          <w:highlight w:val="white"/>
        </w:rPr>
      </w:pPr>
      <w:hyperlink r:id="rId173">
        <w:r>
          <w:rPr>
            <w:rFonts w:ascii="Arial" w:cs="Arial" w:eastAsia="Arial" w:hAnsi="Arial"/>
            <w:sz w:val="14"/>
            <w:szCs w:val="14"/>
            <w:color w:val="0000FF"/>
          </w:rPr>
          <w:t xml:space="preserve">Registration Rights Agreement, dated November 24, 2023, by and among the Company and the other parties thereto </w:t>
        </w:r>
        <w:r>
          <w:rPr>
            <w:rFonts w:ascii="Arial" w:cs="Arial" w:eastAsia="Arial" w:hAnsi="Arial"/>
            <w:sz w:val="14"/>
            <w:szCs w:val="14"/>
            <w:color w:val="0000FF"/>
            <w:highlight w:val="white"/>
          </w:rPr>
          <w:t>(incorporate</w:t>
        </w:r>
        <w:r>
          <w:rPr>
            <w:rFonts w:ascii="Arial" w:cs="Arial" w:eastAsia="Arial" w:hAnsi="Arial"/>
            <w:sz w:val="14"/>
            <w:szCs w:val="14"/>
            <w:u w:val="single" w:color="auto"/>
            <w:color w:val="0000FF"/>
            <w:highlight w:val="white"/>
          </w:rPr>
          <w:t>d by</w:t>
        </w:r>
      </w:hyperlink>
      <w:r>
        <w:rPr>
          <w:rFonts w:ascii="Arial" w:cs="Arial" w:eastAsia="Arial" w:hAnsi="Arial"/>
          <w:sz w:val="14"/>
          <w:szCs w:val="14"/>
          <w:color w:val="0000FF"/>
        </w:rPr>
        <w:t xml:space="preserve"> </w:t>
      </w:r>
      <w:hyperlink r:id="rId173">
        <w:r>
          <w:rPr>
            <w:rFonts w:ascii="Arial" w:cs="Arial" w:eastAsia="Arial" w:hAnsi="Arial"/>
            <w:sz w:val="14"/>
            <w:szCs w:val="14"/>
            <w:color w:val="0000FF"/>
            <w:highlight w:val="white"/>
          </w:rPr>
          <w:t>refere</w:t>
        </w:r>
        <w:r>
          <w:rPr>
            <w:rFonts w:ascii="Arial" w:cs="Arial" w:eastAsia="Arial" w:hAnsi="Arial"/>
            <w:sz w:val="14"/>
            <w:szCs w:val="14"/>
            <w:u w:val="single" w:color="auto"/>
            <w:color w:val="0000FF"/>
            <w:highlight w:val="white"/>
          </w:rPr>
          <w:t>nce to Exhibit 10.2 to the Registrant’s Current Report on Form 8-K (File No. 001-38672) filed with the SEC on November 27,</w:t>
        </w:r>
      </w:hyperlink>
      <w:r>
        <w:rPr>
          <w:rFonts w:ascii="Arial" w:cs="Arial" w:eastAsia="Arial" w:hAnsi="Arial"/>
          <w:sz w:val="14"/>
          <w:szCs w:val="14"/>
          <w:color w:val="0000FF"/>
          <w:highlight w:val="white"/>
        </w:rPr>
        <w:t xml:space="preserve"> </w:t>
      </w:r>
      <w:hyperlink r:id="rId173">
        <w:r>
          <w:rPr>
            <w:rFonts w:ascii="Arial" w:cs="Arial" w:eastAsia="Arial" w:hAnsi="Arial"/>
            <w:sz w:val="14"/>
            <w:szCs w:val="14"/>
            <w:u w:val="single" w:color="auto"/>
            <w:color w:val="0000FF"/>
            <w:highlight w:val="white"/>
          </w:rPr>
          <w:t>2023).</w:t>
        </w:r>
      </w:hyperlink>
    </w:p>
    <w:p>
      <w:pPr>
        <w:spacing w:after="0" w:line="200" w:lineRule="exact"/>
        <w:rPr>
          <w:rFonts w:ascii="Arial" w:cs="Arial" w:eastAsia="Arial" w:hAnsi="Arial"/>
          <w:sz w:val="14"/>
          <w:szCs w:val="14"/>
          <w:color w:val="0000FF"/>
        </w:rPr>
      </w:pPr>
    </w:p>
    <w:p>
      <w:pPr>
        <w:sectPr>
          <w:pgSz w:w="11900" w:h="16838" w:orient="portrait"/>
          <w:cols w:equalWidth="0" w:num="2">
            <w:col w:w="780" w:space="460"/>
            <w:col w:w="10040"/>
          </w:cols>
          <w:pgMar w:left="300" w:top="1016" w:right="319" w:bottom="1440" w:gutter="0" w:footer="0" w:header="0"/>
          <w:type w:val="continuous"/>
        </w:sectPr>
      </w:pPr>
    </w:p>
    <w:p>
      <w:pPr>
        <w:spacing w:after="0" w:line="200" w:lineRule="exact"/>
        <w:rPr>
          <w:rFonts w:ascii="Arial" w:cs="Arial" w:eastAsia="Arial" w:hAnsi="Arial"/>
          <w:sz w:val="14"/>
          <w:szCs w:val="14"/>
          <w:color w:val="0000FF"/>
        </w:rPr>
      </w:pPr>
    </w:p>
    <w:p>
      <w:pPr>
        <w:spacing w:after="0" w:line="243" w:lineRule="exact"/>
        <w:rPr>
          <w:rFonts w:ascii="Arial" w:cs="Arial" w:eastAsia="Arial" w:hAnsi="Arial"/>
          <w:sz w:val="14"/>
          <w:szCs w:val="14"/>
          <w:color w:val="0000FF"/>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4"/>
          <w:szCs w:val="14"/>
          <w:color w:val="auto"/>
        </w:rPr>
        <w:t>4.4</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10.3+</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10.10+</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10.11+</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10.13+</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10.14+</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10.15+</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10.16+*</w:t>
      </w:r>
    </w:p>
    <w:p>
      <w:pPr>
        <w:spacing w:after="0" w:line="20" w:lineRule="exact"/>
        <w:rPr>
          <w:sz w:val="20"/>
          <w:szCs w:val="20"/>
          <w:color w:val="auto"/>
        </w:rPr>
      </w:pPr>
      <w:r>
        <w:rPr>
          <w:sz w:val="20"/>
          <w:szCs w:val="20"/>
          <w:color w:val="auto"/>
        </w:rPr>
        <w:br w:type="column"/>
      </w:r>
    </w:p>
    <w:p>
      <w:pPr>
        <w:ind w:right="659"/>
        <w:spacing w:after="0" w:line="242" w:lineRule="auto"/>
        <w:rPr>
          <w:rFonts w:ascii="Arial" w:cs="Arial" w:eastAsia="Arial" w:hAnsi="Arial"/>
          <w:sz w:val="14"/>
          <w:szCs w:val="14"/>
          <w:u w:val="single" w:color="auto"/>
          <w:color w:val="0000FF"/>
        </w:rPr>
      </w:pPr>
      <w:hyperlink r:id="rId175">
        <w:r>
          <w:rPr>
            <w:rFonts w:ascii="Arial" w:cs="Arial" w:eastAsia="Arial" w:hAnsi="Arial"/>
            <w:sz w:val="14"/>
            <w:szCs w:val="14"/>
            <w:u w:val="single" w:color="auto"/>
            <w:color w:val="0000FF"/>
          </w:rPr>
          <w:t>Description of the Registrant’s Securities Registered Under Section 12 of the Exchange Act (incorporated by reference to Exhibit 4.4</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to the Registrant’s Annual Report on Form 10-K (File No. 001-38672) filed with the SEC on March 16, 2020).</w:t>
        </w:r>
      </w:hyperlink>
    </w:p>
    <w:p>
      <w:pPr>
        <w:spacing w:after="0" w:line="68" w:lineRule="exact"/>
        <w:rPr>
          <w:sz w:val="20"/>
          <w:szCs w:val="20"/>
          <w:color w:val="auto"/>
        </w:rPr>
      </w:pPr>
    </w:p>
    <w:p>
      <w:pPr>
        <w:jc w:val="both"/>
        <w:ind w:right="779"/>
        <w:spacing w:after="0" w:line="263" w:lineRule="auto"/>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Incentive Share Plan, as amended by First Amendment, dated October 16, 2015, Second Amendment, dated December 22, 2016,</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Third Amendment, dated September 8, 2017, and Fourth Amendment, dated March 29, 2018 (incorporated by reference to Exhibit</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10.1 to the Registrant’s Registration Statement on Form S-1 (File No. 333-227112) filed with the SEC on August 30, 2018).</w:t>
        </w:r>
      </w:hyperlink>
    </w:p>
    <w:p>
      <w:pPr>
        <w:spacing w:after="0" w:line="54" w:lineRule="exact"/>
        <w:rPr>
          <w:rFonts w:ascii="Arial" w:cs="Arial" w:eastAsia="Arial" w:hAnsi="Arial"/>
          <w:sz w:val="14"/>
          <w:szCs w:val="14"/>
          <w:u w:val="single" w:color="auto"/>
          <w:color w:val="0000FF"/>
        </w:rPr>
      </w:pPr>
    </w:p>
    <w:p>
      <w:pPr>
        <w:ind w:right="679"/>
        <w:spacing w:after="0" w:line="274" w:lineRule="auto"/>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Form of Incentive Share Award Agreement under Incentive Share Plan (incorporated by reference to Exhibit 10.2 to the Registrant’s</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Registration Statement on Form S-1 (File No. 333-227112) filed with the SEC on August 30, 2018</w:t>
        </w:r>
        <w:r>
          <w:rPr>
            <w:rFonts w:ascii="Arial" w:cs="Arial" w:eastAsia="Arial" w:hAnsi="Arial"/>
            <w:sz w:val="14"/>
            <w:szCs w:val="14"/>
            <w:u w:val="single" w:color="auto"/>
            <w:color w:val="0000FF"/>
            <w:highlight w:val="white"/>
          </w:rPr>
          <w:t>).</w:t>
        </w:r>
      </w:hyperlink>
    </w:p>
    <w:p>
      <w:pPr>
        <w:spacing w:after="0" w:line="57" w:lineRule="exact"/>
        <w:rPr>
          <w:sz w:val="20"/>
          <w:szCs w:val="20"/>
          <w:color w:val="auto"/>
        </w:rPr>
      </w:pPr>
    </w:p>
    <w:p>
      <w:pPr>
        <w:ind w:right="1079"/>
        <w:spacing w:after="0" w:line="274" w:lineRule="auto"/>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Form of Restricted Stock Agreement under Incentive Share Plan (incorporated by reference to Exhibit 10.3 to the Registrant’s</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Registration Statement on Form S-1/A (File No. 333-227112) filed with the SEC on September 14, 2018).</w:t>
        </w:r>
      </w:hyperlink>
    </w:p>
    <w:p>
      <w:pPr>
        <w:spacing w:after="0" w:line="57" w:lineRule="exact"/>
        <w:rPr>
          <w:sz w:val="20"/>
          <w:szCs w:val="20"/>
          <w:color w:val="auto"/>
        </w:rPr>
      </w:pPr>
    </w:p>
    <w:p>
      <w:pPr>
        <w:ind w:right="719"/>
        <w:spacing w:after="0" w:line="274" w:lineRule="auto"/>
        <w:rPr>
          <w:rFonts w:ascii="Arial" w:cs="Arial" w:eastAsia="Arial" w:hAnsi="Arial"/>
          <w:sz w:val="14"/>
          <w:szCs w:val="14"/>
          <w:u w:val="single" w:color="auto"/>
          <w:color w:val="0000FF"/>
        </w:rPr>
      </w:pPr>
      <w:hyperlink r:id="rId179">
        <w:r>
          <w:rPr>
            <w:rFonts w:ascii="Arial" w:cs="Arial" w:eastAsia="Arial" w:hAnsi="Arial"/>
            <w:sz w:val="14"/>
            <w:szCs w:val="14"/>
            <w:u w:val="single" w:color="auto"/>
            <w:color w:val="0000FF"/>
          </w:rPr>
          <w:t>2018 Stock Incentive Plan (incorporated by reference to Exhibit 10.4 to the Registrant’s Registration Statement on Form S-1/A (File</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No. 333-227112) filed with the SEC on September 14, 2018).</w:t>
        </w:r>
      </w:hyperlink>
    </w:p>
    <w:p>
      <w:pPr>
        <w:spacing w:after="0" w:line="57" w:lineRule="exact"/>
        <w:rPr>
          <w:sz w:val="20"/>
          <w:szCs w:val="20"/>
          <w:color w:val="auto"/>
        </w:rPr>
      </w:pPr>
    </w:p>
    <w:p>
      <w:pPr>
        <w:ind w:right="959"/>
        <w:spacing w:after="0" w:line="274" w:lineRule="auto"/>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Form of Stock Option Agreement under 2018 Stock Incentive Plan (incorporated by reference to Exhibit 10.5 to the Registrant’s</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Registration Statement on Form S-1/A (File No. 333-227112) filed with the SEC on September 14, 2018).</w:t>
        </w:r>
      </w:hyperlink>
    </w:p>
    <w:p>
      <w:pPr>
        <w:spacing w:after="0" w:line="57" w:lineRule="exact"/>
        <w:rPr>
          <w:sz w:val="20"/>
          <w:szCs w:val="20"/>
          <w:color w:val="auto"/>
        </w:rPr>
      </w:pPr>
    </w:p>
    <w:p>
      <w:pPr>
        <w:ind w:right="1239"/>
        <w:spacing w:after="0" w:line="274" w:lineRule="auto"/>
        <w:rPr>
          <w:rFonts w:ascii="Arial" w:cs="Arial" w:eastAsia="Arial" w:hAnsi="Arial"/>
          <w:sz w:val="14"/>
          <w:szCs w:val="14"/>
          <w:u w:val="single" w:color="auto"/>
          <w:color w:val="0000FF"/>
        </w:rPr>
      </w:pPr>
      <w:hyperlink r:id="rId181">
        <w:r>
          <w:rPr>
            <w:rFonts w:ascii="Arial" w:cs="Arial" w:eastAsia="Arial" w:hAnsi="Arial"/>
            <w:sz w:val="14"/>
            <w:szCs w:val="14"/>
            <w:u w:val="single" w:color="auto"/>
            <w:color w:val="0000FF"/>
          </w:rPr>
          <w:t>Form of Restricted Stock Unit Agreement under 2018 Stock Incentive Plan (incorporated by reference to Exhibit 10.6 to the</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Registrant’s Annual Report on Form 10-K (File No. 001-38672) filed with the SEC on March 26, 2019).</w:t>
        </w:r>
      </w:hyperlink>
    </w:p>
    <w:p>
      <w:pPr>
        <w:spacing w:after="0" w:line="36" w:lineRule="exact"/>
        <w:rPr>
          <w:sz w:val="20"/>
          <w:szCs w:val="20"/>
          <w:color w:val="auto"/>
        </w:rPr>
      </w:pPr>
    </w:p>
    <w:p>
      <w:pPr>
        <w:ind w:right="559"/>
        <w:spacing w:after="0" w:line="242" w:lineRule="auto"/>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2018 Employee Stock Purchase Plan (incorporated by reference to Exhibit 10.6 to the Registrant’s Registration Statement on Form S-</w:t>
        </w:r>
      </w:hyperlink>
      <w:hyperlink r:id="rId182">
        <w:r>
          <w:rPr>
            <w:rFonts w:ascii="Arial" w:cs="Arial" w:eastAsia="Arial" w:hAnsi="Arial"/>
            <w:sz w:val="14"/>
            <w:szCs w:val="14"/>
            <w:u w:val="single" w:color="auto"/>
            <w:color w:val="0000FF"/>
          </w:rPr>
          <w:t>1/A (File No. 333-227112) filed with the SEC on September 14, 2018).</w:t>
        </w:r>
      </w:hyperlink>
    </w:p>
    <w:p>
      <w:pPr>
        <w:spacing w:after="0" w:line="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Form of Restricted Stock Unit Agreement under 2018 Stock Incentive Plan.</w:t>
      </w:r>
    </w:p>
    <w:p>
      <w:pPr>
        <w:spacing w:after="0" w:line="62" w:lineRule="exact"/>
        <w:rPr>
          <w:sz w:val="20"/>
          <w:szCs w:val="20"/>
          <w:color w:val="auto"/>
        </w:rPr>
      </w:pPr>
    </w:p>
    <w:p>
      <w:pPr>
        <w:ind w:right="1039"/>
        <w:spacing w:after="0" w:line="242" w:lineRule="auto"/>
        <w:rPr>
          <w:rFonts w:ascii="Arial" w:cs="Arial" w:eastAsia="Arial" w:hAnsi="Arial"/>
          <w:sz w:val="14"/>
          <w:szCs w:val="14"/>
          <w:u w:val="single" w:color="auto"/>
          <w:color w:val="0000FF"/>
          <w:highlight w:val="white"/>
        </w:rPr>
      </w:pPr>
      <w:hyperlink r:id="rId183">
        <w:r>
          <w:rPr>
            <w:rFonts w:ascii="Arial" w:cs="Arial" w:eastAsia="Arial" w:hAnsi="Arial"/>
            <w:sz w:val="14"/>
            <w:szCs w:val="14"/>
            <w:color w:val="0000FF"/>
          </w:rPr>
          <w:t xml:space="preserve">Form of Inducement Stock Option Award Agreement </w:t>
        </w:r>
        <w:r>
          <w:rPr>
            <w:rFonts w:ascii="Arial" w:cs="Arial" w:eastAsia="Arial" w:hAnsi="Arial"/>
            <w:sz w:val="14"/>
            <w:szCs w:val="14"/>
            <w:color w:val="0000FF"/>
            <w:highlight w:val="white"/>
          </w:rPr>
          <w:t>(incorporated by reference to Exhi</w:t>
        </w:r>
        <w:r>
          <w:rPr>
            <w:rFonts w:ascii="Arial" w:cs="Arial" w:eastAsia="Arial" w:hAnsi="Arial"/>
            <w:sz w:val="14"/>
            <w:szCs w:val="14"/>
            <w:u w:val="single" w:color="auto"/>
            <w:color w:val="0000FF"/>
            <w:highlight w:val="white"/>
          </w:rPr>
          <w:t>bit 99.3 to the Registrant’s Registration</w:t>
        </w:r>
      </w:hyperlink>
      <w:r>
        <w:rPr>
          <w:rFonts w:ascii="Arial" w:cs="Arial" w:eastAsia="Arial" w:hAnsi="Arial"/>
          <w:sz w:val="14"/>
          <w:szCs w:val="14"/>
          <w:color w:val="0000FF"/>
        </w:rPr>
        <w:t xml:space="preserve"> </w:t>
      </w:r>
      <w:hyperlink r:id="rId183">
        <w:r>
          <w:rPr>
            <w:rFonts w:ascii="Arial" w:cs="Arial" w:eastAsia="Arial" w:hAnsi="Arial"/>
            <w:sz w:val="14"/>
            <w:szCs w:val="14"/>
            <w:u w:val="single" w:color="auto"/>
            <w:color w:val="0000FF"/>
            <w:highlight w:val="white"/>
          </w:rPr>
          <w:t>Statement on Form S-8 (File No. 333-276519) filed with the SEC on January 16, 2024).</w:t>
        </w:r>
      </w:hyperlink>
    </w:p>
    <w:p>
      <w:pPr>
        <w:spacing w:after="0" w:line="47" w:lineRule="exact"/>
        <w:rPr>
          <w:sz w:val="20"/>
          <w:szCs w:val="20"/>
          <w:color w:val="auto"/>
        </w:rPr>
      </w:pPr>
    </w:p>
    <w:p>
      <w:pPr>
        <w:ind w:right="1319"/>
        <w:spacing w:after="0" w:line="242" w:lineRule="auto"/>
        <w:rPr>
          <w:rFonts w:ascii="Arial" w:cs="Arial" w:eastAsia="Arial" w:hAnsi="Arial"/>
          <w:sz w:val="14"/>
          <w:szCs w:val="14"/>
          <w:u w:val="single" w:color="auto"/>
          <w:color w:val="0000FF"/>
          <w:highlight w:val="white"/>
        </w:rPr>
      </w:pPr>
      <w:hyperlink r:id="rId184">
        <w:r>
          <w:rPr>
            <w:rFonts w:ascii="Arial" w:cs="Arial" w:eastAsia="Arial" w:hAnsi="Arial"/>
            <w:sz w:val="14"/>
            <w:szCs w:val="14"/>
            <w:color w:val="0000FF"/>
          </w:rPr>
          <w:t>Form of Inducement Restricted Stock Unit Award Agreement (incorporated by reference to Exhibit 9</w:t>
        </w:r>
        <w:r>
          <w:rPr>
            <w:rFonts w:ascii="Arial" w:cs="Arial" w:eastAsia="Arial" w:hAnsi="Arial"/>
            <w:sz w:val="14"/>
            <w:szCs w:val="14"/>
            <w:u w:val="single" w:color="auto"/>
            <w:color w:val="0000FF"/>
          </w:rPr>
          <w:t>9.4 to the Registrant’s</w:t>
        </w:r>
      </w:hyperlink>
      <w:r>
        <w:rPr>
          <w:rFonts w:ascii="Arial" w:cs="Arial" w:eastAsia="Arial" w:hAnsi="Arial"/>
          <w:sz w:val="14"/>
          <w:szCs w:val="14"/>
          <w:color w:val="0000FF"/>
        </w:rPr>
        <w:t xml:space="preserve"> </w:t>
      </w:r>
      <w:hyperlink r:id="rId184">
        <w:r>
          <w:rPr>
            <w:rFonts w:ascii="Arial" w:cs="Arial" w:eastAsia="Arial" w:hAnsi="Arial"/>
            <w:sz w:val="14"/>
            <w:szCs w:val="14"/>
            <w:u w:val="single" w:color="auto"/>
            <w:color w:val="0000FF"/>
            <w:highlight w:val="white"/>
          </w:rPr>
          <w:t>Registration Statement on Form S-8 (File No. 333-276519) filed with the SEC on January 16, 2024).</w:t>
        </w:r>
      </w:hyperlink>
    </w:p>
    <w:p>
      <w:pPr>
        <w:spacing w:after="0" w:line="68" w:lineRule="exact"/>
        <w:rPr>
          <w:sz w:val="20"/>
          <w:szCs w:val="20"/>
          <w:color w:val="auto"/>
        </w:rPr>
      </w:pPr>
    </w:p>
    <w:p>
      <w:pPr>
        <w:ind w:right="839"/>
        <w:spacing w:after="0" w:line="274" w:lineRule="auto"/>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Form of Director and Officer Indemnification Agreement (incorporated by reference to Exhibit 10.7 to the Registrant’s Registration</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Statement on Form S-1/A (File No. 333-227112) filed with the SEC on September 14, 2018)</w:t>
        </w:r>
        <w:r>
          <w:rPr>
            <w:rFonts w:ascii="Arial" w:cs="Arial" w:eastAsia="Arial" w:hAnsi="Arial"/>
            <w:sz w:val="14"/>
            <w:szCs w:val="14"/>
            <w:u w:val="single" w:color="auto"/>
            <w:color w:val="0000FF"/>
            <w:highlight w:val="white"/>
          </w:rPr>
          <w:t>.</w:t>
        </w:r>
      </w:hyperlink>
    </w:p>
    <w:p>
      <w:pPr>
        <w:spacing w:after="0" w:line="57" w:lineRule="exact"/>
        <w:rPr>
          <w:sz w:val="20"/>
          <w:szCs w:val="20"/>
          <w:color w:val="auto"/>
        </w:rPr>
      </w:pPr>
    </w:p>
    <w:p>
      <w:pPr>
        <w:ind w:right="679"/>
        <w:spacing w:after="0" w:line="263" w:lineRule="auto"/>
        <w:rPr>
          <w:rFonts w:ascii="Arial" w:cs="Arial" w:eastAsia="Arial" w:hAnsi="Arial"/>
          <w:sz w:val="14"/>
          <w:szCs w:val="14"/>
          <w:u w:val="single" w:color="auto"/>
          <w:color w:val="0000FF"/>
        </w:rPr>
      </w:pPr>
      <w:hyperlink r:id="rId185">
        <w:r>
          <w:rPr>
            <w:rFonts w:ascii="Arial" w:cs="Arial" w:eastAsia="Arial" w:hAnsi="Arial"/>
            <w:sz w:val="14"/>
            <w:szCs w:val="14"/>
            <w:u w:val="single" w:color="auto"/>
            <w:color w:val="0000FF"/>
          </w:rPr>
          <w:t>Employment Agreement between the Registrant and John Houston, Ph.D., dated September 13, 2018 (incorporated by reference to</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u w:val="single" w:color="auto"/>
            <w:color w:val="0000FF"/>
          </w:rPr>
          <w:t>Exhibit 10.8 to the Registrant’s Registration Statement on Form S-1/A (File No. 333-227112) filed with the SEC on September 14,</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u w:val="single" w:color="auto"/>
            <w:color w:val="0000FF"/>
          </w:rPr>
          <w:t>2018).</w:t>
        </w:r>
      </w:hyperlink>
    </w:p>
    <w:p>
      <w:pPr>
        <w:spacing w:after="0" w:line="44" w:lineRule="exact"/>
        <w:rPr>
          <w:rFonts w:ascii="Arial" w:cs="Arial" w:eastAsia="Arial" w:hAnsi="Arial"/>
          <w:sz w:val="14"/>
          <w:szCs w:val="14"/>
          <w:u w:val="single" w:color="auto"/>
          <w:color w:val="0000FF"/>
        </w:rPr>
      </w:pPr>
    </w:p>
    <w:p>
      <w:pPr>
        <w:ind w:right="639"/>
        <w:spacing w:after="0" w:line="242" w:lineRule="auto"/>
        <w:rPr>
          <w:rFonts w:ascii="Arial" w:cs="Arial" w:eastAsia="Arial" w:hAnsi="Arial"/>
          <w:sz w:val="14"/>
          <w:szCs w:val="14"/>
          <w:u w:val="single" w:color="auto"/>
          <w:color w:val="0000FF"/>
        </w:rPr>
      </w:pPr>
      <w:hyperlink r:id="rId186">
        <w:r>
          <w:rPr>
            <w:rFonts w:ascii="Arial" w:cs="Arial" w:eastAsia="Arial" w:hAnsi="Arial"/>
            <w:sz w:val="14"/>
            <w:szCs w:val="14"/>
            <w:u w:val="single" w:color="auto"/>
            <w:color w:val="0000FF"/>
          </w:rPr>
          <w:t>Employment Agreement between the Registrant and Andrew Saik, dated June 17, 2024 (incorporated by reference to Exhibit 10.1 to</w:t>
        </w:r>
      </w:hyperlink>
      <w:r>
        <w:rPr>
          <w:rFonts w:ascii="Arial" w:cs="Arial" w:eastAsia="Arial" w:hAnsi="Arial"/>
          <w:sz w:val="14"/>
          <w:szCs w:val="14"/>
          <w:u w:val="single" w:color="auto"/>
          <w:color w:val="0000FF"/>
        </w:rPr>
        <w:t xml:space="preserve"> </w:t>
      </w:r>
      <w:hyperlink r:id="rId186">
        <w:r>
          <w:rPr>
            <w:rFonts w:ascii="Arial" w:cs="Arial" w:eastAsia="Arial" w:hAnsi="Arial"/>
            <w:sz w:val="14"/>
            <w:szCs w:val="14"/>
            <w:u w:val="single" w:color="auto"/>
            <w:color w:val="0000FF"/>
          </w:rPr>
          <w:t>the Registrant’s Quarterly Report on Form 10-Q (File No. 001-38672) filed with the SEC on July 30, 2024).</w:t>
        </w:r>
      </w:hyperlink>
    </w:p>
    <w:p>
      <w:pPr>
        <w:spacing w:after="0" w:line="68" w:lineRule="exact"/>
        <w:rPr>
          <w:sz w:val="20"/>
          <w:szCs w:val="20"/>
          <w:color w:val="auto"/>
        </w:rPr>
      </w:pPr>
    </w:p>
    <w:p>
      <w:pPr>
        <w:ind w:right="679"/>
        <w:spacing w:after="0" w:line="274" w:lineRule="auto"/>
        <w:rPr>
          <w:rFonts w:ascii="Arial" w:cs="Arial" w:eastAsia="Arial" w:hAnsi="Arial"/>
          <w:sz w:val="14"/>
          <w:szCs w:val="14"/>
          <w:u w:val="single" w:color="auto"/>
          <w:color w:val="0000FF"/>
        </w:rPr>
      </w:pPr>
      <w:hyperlink r:id="rId187">
        <w:r>
          <w:rPr>
            <w:rFonts w:ascii="Arial" w:cs="Arial" w:eastAsia="Arial" w:hAnsi="Arial"/>
            <w:sz w:val="14"/>
            <w:szCs w:val="14"/>
            <w:u w:val="single" w:color="auto"/>
            <w:color w:val="0000FF"/>
          </w:rPr>
          <w:t>Employment Agreement between the Registrant and Noah Berkowitz M.D., Ph.D., dated March 18, 2024 (incorporated by reference</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to Exhibit 10.1 to the Registrant’s Quarterly Report on Form 10-Q (File No. 001-38672) filed with the SEC on May 7, 2024).</w:t>
        </w:r>
      </w:hyperlink>
    </w:p>
    <w:p>
      <w:pPr>
        <w:spacing w:after="0" w:line="36" w:lineRule="exact"/>
        <w:rPr>
          <w:sz w:val="20"/>
          <w:szCs w:val="20"/>
          <w:color w:val="auto"/>
        </w:rPr>
      </w:pPr>
    </w:p>
    <w:p>
      <w:pPr>
        <w:ind w:right="539"/>
        <w:spacing w:after="0" w:line="223" w:lineRule="auto"/>
        <w:rPr>
          <w:rFonts w:ascii="Arial" w:cs="Arial" w:eastAsia="Arial" w:hAnsi="Arial"/>
          <w:sz w:val="14"/>
          <w:szCs w:val="14"/>
          <w:u w:val="single" w:color="auto"/>
          <w:color w:val="0000FF"/>
          <w:highlight w:val="white"/>
        </w:rPr>
      </w:pPr>
      <w:hyperlink r:id="rId188">
        <w:r>
          <w:rPr>
            <w:rFonts w:ascii="Arial" w:cs="Arial" w:eastAsia="Arial" w:hAnsi="Arial"/>
            <w:sz w:val="14"/>
            <w:szCs w:val="14"/>
            <w:color w:val="0000FF"/>
          </w:rPr>
          <w:t xml:space="preserve">Amended and Restated Employment Agreement, </w:t>
        </w:r>
        <w:r>
          <w:rPr>
            <w:rFonts w:ascii="Arial" w:cs="Arial" w:eastAsia="Arial" w:hAnsi="Arial"/>
            <w:sz w:val="14"/>
            <w:szCs w:val="14"/>
            <w:color w:val="0000FF"/>
            <w:highlight w:val="white"/>
          </w:rPr>
          <w:t>dated November 4</w:t>
        </w:r>
        <w:r>
          <w:rPr>
            <w:rFonts w:ascii="Arial" w:cs="Arial" w:eastAsia="Arial" w:hAnsi="Arial"/>
            <w:sz w:val="14"/>
            <w:szCs w:val="14"/>
            <w:u w:val="single" w:color="auto"/>
            <w:color w:val="0000FF"/>
            <w:highlight w:val="white"/>
          </w:rPr>
          <w:t>,</w:t>
        </w:r>
        <w:r>
          <w:rPr>
            <w:rFonts w:ascii="Arial" w:cs="Arial" w:eastAsia="Arial" w:hAnsi="Arial"/>
            <w:sz w:val="14"/>
            <w:szCs w:val="14"/>
            <w:color w:val="0000FF"/>
          </w:rPr>
          <w:t xml:space="preserve"> </w:t>
        </w:r>
        <w:r>
          <w:rPr>
            <w:rFonts w:ascii="Arial" w:cs="Arial" w:eastAsia="Arial" w:hAnsi="Arial"/>
            <w:sz w:val="14"/>
            <w:szCs w:val="14"/>
            <w:color w:val="0000FF"/>
            <w:highlight w:val="white"/>
          </w:rPr>
          <w:t>2025, by and between the Registrant and Angela Cacace,</w:t>
        </w:r>
        <w:r>
          <w:rPr>
            <w:rFonts w:ascii="Arial" w:cs="Arial" w:eastAsia="Arial" w:hAnsi="Arial"/>
            <w:sz w:val="14"/>
            <w:szCs w:val="14"/>
            <w:color w:val="0000FF"/>
          </w:rPr>
          <w:t xml:space="preserve"> Ph.D.</w:t>
        </w:r>
      </w:hyperlink>
      <w:r>
        <w:rPr>
          <w:rFonts w:ascii="Arial" w:cs="Arial" w:eastAsia="Arial" w:hAnsi="Arial"/>
          <w:sz w:val="14"/>
          <w:szCs w:val="14"/>
          <w:color w:val="0000FF"/>
        </w:rPr>
        <w:t xml:space="preserve"> </w:t>
      </w:r>
      <w:hyperlink r:id="rId188">
        <w:r>
          <w:rPr>
            <w:rFonts w:ascii="Arial" w:cs="Arial" w:eastAsia="Arial" w:hAnsi="Arial"/>
            <w:sz w:val="14"/>
            <w:szCs w:val="14"/>
            <w:u w:val="single" w:color="auto"/>
            <w:color w:val="0000FF"/>
            <w:highlight w:val="white"/>
          </w:rPr>
          <w:t>(incorporated by reference to Exhibit 10.1 to the Registrant’s Quarterly Report on Form 10-Q (File No. 001-38672) filed with the SEC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-92710</wp:posOffset>
            </wp:positionV>
            <wp:extent cx="247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24765" cy="6985"/>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-92710</wp:posOffset>
            </wp:positionV>
            <wp:extent cx="742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4295" cy="6985"/>
                    </a:xfrm>
                    <a:prstGeom prst="rect">
                      <a:avLst/>
                    </a:prstGeom>
                    <a:noFill/>
                  </pic:spPr>
                </pic:pic>
              </a:graphicData>
            </a:graphic>
          </wp:anchor>
        </w:drawing>
      </w:r>
    </w:p>
    <w:p>
      <w:pPr>
        <w:spacing w:after="0"/>
        <w:rPr>
          <w:rFonts w:ascii="Arial" w:cs="Arial" w:eastAsia="Arial" w:hAnsi="Arial"/>
          <w:sz w:val="14"/>
          <w:szCs w:val="14"/>
          <w:u w:val="single" w:color="auto"/>
          <w:color w:val="0000FF"/>
          <w:highlight w:val="white"/>
        </w:rPr>
      </w:pPr>
      <w:hyperlink r:id="rId188">
        <w:r>
          <w:rPr>
            <w:rFonts w:ascii="Arial" w:cs="Arial" w:eastAsia="Arial" w:hAnsi="Arial"/>
            <w:sz w:val="14"/>
            <w:szCs w:val="14"/>
            <w:u w:val="single" w:color="auto"/>
            <w:color w:val="0000FF"/>
            <w:highlight w:val="white"/>
          </w:rPr>
          <w:t>on November 5, 2025).</w:t>
        </w:r>
      </w:hyperlink>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Amended and Restated</w:t>
      </w:r>
      <w:r>
        <w:rPr>
          <w:rFonts w:ascii="Arial" w:cs="Arial" w:eastAsia="Arial" w:hAnsi="Arial"/>
          <w:sz w:val="14"/>
          <w:szCs w:val="14"/>
          <w:color w:val="0000FF"/>
        </w:rPr>
        <w:t xml:space="preserve"> </w:t>
      </w:r>
      <w:r>
        <w:rPr>
          <w:rFonts w:ascii="Arial" w:cs="Arial" w:eastAsia="Arial" w:hAnsi="Arial"/>
          <w:sz w:val="14"/>
          <w:szCs w:val="14"/>
          <w:color w:val="0000FF"/>
          <w:highlight w:val="white"/>
        </w:rPr>
        <w:t>Employment Agreement</w:t>
      </w:r>
      <w:r>
        <w:rPr>
          <w:rFonts w:ascii="Arial" w:cs="Arial" w:eastAsia="Arial" w:hAnsi="Arial"/>
          <w:sz w:val="14"/>
          <w:szCs w:val="14"/>
          <w:u w:val="single" w:color="auto"/>
          <w:color w:val="0000FF"/>
          <w:highlight w:val="white"/>
        </w:rPr>
        <w:t>, dated</w:t>
      </w:r>
      <w:r>
        <w:rPr>
          <w:rFonts w:ascii="Arial" w:cs="Arial" w:eastAsia="Arial" w:hAnsi="Arial"/>
          <w:sz w:val="14"/>
          <w:szCs w:val="14"/>
          <w:color w:val="0000FF"/>
        </w:rPr>
        <w:t xml:space="preserve"> </w:t>
      </w:r>
      <w:r>
        <w:rPr>
          <w:rFonts w:ascii="Arial" w:cs="Arial" w:eastAsia="Arial" w:hAnsi="Arial"/>
          <w:sz w:val="14"/>
          <w:szCs w:val="14"/>
          <w:color w:val="0000FF"/>
          <w:highlight w:val="white"/>
        </w:rPr>
        <w:t>February 12, 2026</w:t>
      </w:r>
      <w:r>
        <w:rPr>
          <w:rFonts w:ascii="Arial" w:cs="Arial" w:eastAsia="Arial" w:hAnsi="Arial"/>
          <w:sz w:val="14"/>
          <w:szCs w:val="14"/>
          <w:u w:val="single" w:color="auto"/>
          <w:color w:val="0000FF"/>
          <w:highlight w:val="white"/>
        </w:rPr>
        <w:t>, by and</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between the Registrant and</w:t>
      </w:r>
      <w:r>
        <w:rPr>
          <w:rFonts w:ascii="Arial" w:cs="Arial" w:eastAsia="Arial" w:hAnsi="Arial"/>
          <w:sz w:val="14"/>
          <w:szCs w:val="14"/>
          <w:color w:val="0000FF"/>
        </w:rPr>
        <w:t xml:space="preserve"> </w:t>
      </w:r>
      <w:r>
        <w:rPr>
          <w:rFonts w:ascii="Arial" w:cs="Arial" w:eastAsia="Arial" w:hAnsi="Arial"/>
          <w:sz w:val="14"/>
          <w:szCs w:val="14"/>
          <w:color w:val="0000FF"/>
          <w:highlight w:val="white"/>
        </w:rPr>
        <w:t>Randy Teel</w:t>
      </w:r>
      <w:r>
        <w:rPr>
          <w:rFonts w:ascii="Arial" w:cs="Arial" w:eastAsia="Arial" w:hAnsi="Arial"/>
          <w:sz w:val="14"/>
          <w:szCs w:val="14"/>
          <w:color w:val="0000FF"/>
        </w:rPr>
        <w:t xml:space="preserve">, </w:t>
      </w:r>
      <w:r>
        <w:rPr>
          <w:rFonts w:ascii="Arial" w:cs="Arial" w:eastAsia="Arial" w:hAnsi="Arial"/>
          <w:sz w:val="14"/>
          <w:szCs w:val="14"/>
          <w:u w:val="single" w:color="auto"/>
          <w:color w:val="0000FF"/>
          <w:highlight w:val="white"/>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-4445</wp:posOffset>
            </wp:positionV>
            <wp:extent cx="19939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1993900" cy="698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-4445</wp:posOffset>
            </wp:positionV>
            <wp:extent cx="49720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497205"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00" w:space="640"/>
            <w:col w:w="8919"/>
          </w:cols>
          <w:pgMar w:left="400" w:top="974" w:right="1440" w:bottom="1440" w:gutter="0" w:footer="0" w:header="0"/>
        </w:sectPr>
      </w:pPr>
    </w:p>
    <w:bookmarkStart w:id="150" w:name="page151"/>
    <w:bookmarkEnd w:id="150"/>
    <w:tbl>
      <w:tblPr>
        <w:tblLayout w:type="fixed"/>
        <w:tblInd w:w="100" w:type="dxa"/>
        <w:tblCellMar>
          <w:top w:w="0" w:type="dxa"/>
          <w:left w:w="0" w:type="dxa"/>
          <w:bottom w:w="0" w:type="dxa"/>
          <w:right w:w="0" w:type="dxa"/>
        </w:tblCellMar>
      </w:tblPr>
      <w:tr>
        <w:trPr>
          <w:trHeight w:val="161"/>
        </w:trPr>
        <w:tc>
          <w:tcPr>
            <w:tcW w:w="780" w:type="dxa"/>
            <w:vAlign w:val="bottom"/>
          </w:tcPr>
          <w:p>
            <w:pPr>
              <w:jc w:val="right"/>
              <w:ind w:right="269"/>
              <w:spacing w:after="0"/>
              <w:rPr>
                <w:sz w:val="20"/>
                <w:szCs w:val="20"/>
                <w:color w:val="auto"/>
              </w:rPr>
            </w:pPr>
            <w:r>
              <w:rPr>
                <w:rFonts w:ascii="Arial" w:cs="Arial" w:eastAsia="Arial" w:hAnsi="Arial"/>
                <w:sz w:val="14"/>
                <w:szCs w:val="14"/>
                <w:color w:val="auto"/>
                <w:w w:val="97"/>
              </w:rPr>
              <w:t>10.17+</w:t>
            </w:r>
          </w:p>
        </w:tc>
        <w:tc>
          <w:tcPr>
            <w:tcW w:w="8720" w:type="dxa"/>
            <w:vAlign w:val="bottom"/>
            <w:gridSpan w:val="3"/>
          </w:tcPr>
          <w:p>
            <w:pPr>
              <w:ind w:left="360"/>
              <w:spacing w:after="0"/>
              <w:rPr>
                <w:rFonts w:ascii="Arial" w:cs="Arial" w:eastAsia="Arial" w:hAnsi="Arial"/>
                <w:sz w:val="14"/>
                <w:szCs w:val="14"/>
                <w:color w:val="0000FF"/>
              </w:rPr>
            </w:pPr>
            <w:hyperlink r:id="rId194">
              <w:r>
                <w:rPr>
                  <w:rFonts w:ascii="Arial" w:cs="Arial" w:eastAsia="Arial" w:hAnsi="Arial"/>
                  <w:sz w:val="14"/>
                  <w:szCs w:val="14"/>
                  <w:color w:val="0000FF"/>
                </w:rPr>
                <w:t xml:space="preserve">Consulting Agreement, dated June 6, 2025, by and between Arvinas Operations, Inc. and Ian Taylor, Ph.D. </w:t>
              </w:r>
              <w:r>
                <w:rPr>
                  <w:rFonts w:ascii="Arial" w:cs="Arial" w:eastAsia="Arial" w:hAnsi="Arial"/>
                  <w:sz w:val="14"/>
                  <w:szCs w:val="14"/>
                  <w:color w:val="0000FF"/>
                  <w:highlight w:val="white"/>
                </w:rPr>
                <w:t>(incorporated by reference</w:t>
              </w:r>
            </w:hyperlink>
          </w:p>
        </w:tc>
      </w:tr>
      <w:tr>
        <w:trPr>
          <w:trHeight w:val="119"/>
        </w:trPr>
        <w:tc>
          <w:tcPr>
            <w:tcW w:w="780" w:type="dxa"/>
            <w:vAlign w:val="bottom"/>
          </w:tcPr>
          <w:p>
            <w:pPr>
              <w:spacing w:after="0"/>
              <w:rPr>
                <w:sz w:val="10"/>
                <w:szCs w:val="10"/>
                <w:color w:val="auto"/>
              </w:rPr>
            </w:pPr>
          </w:p>
        </w:tc>
        <w:tc>
          <w:tcPr>
            <w:tcW w:w="8220" w:type="dxa"/>
            <w:vAlign w:val="bottom"/>
            <w:gridSpan w:val="2"/>
          </w:tcPr>
          <w:p>
            <w:pPr>
              <w:ind w:left="360"/>
              <w:spacing w:after="0" w:line="119" w:lineRule="exact"/>
              <w:rPr>
                <w:rFonts w:ascii="Arial" w:cs="Arial" w:eastAsia="Arial" w:hAnsi="Arial"/>
                <w:sz w:val="13"/>
                <w:szCs w:val="13"/>
                <w:color w:val="0000FF"/>
                <w:highlight w:val="white"/>
              </w:rPr>
            </w:pPr>
            <w:hyperlink r:id="rId194">
              <w:r>
                <w:rPr>
                  <w:rFonts w:ascii="Arial" w:cs="Arial" w:eastAsia="Arial" w:hAnsi="Arial"/>
                  <w:sz w:val="13"/>
                  <w:szCs w:val="13"/>
                  <w:color w:val="0000FF"/>
                  <w:highlight w:val="white"/>
                </w:rPr>
                <w:t>to Exhibit 10.1 to the Registrant’s Quarterly Report on Form 10-Q (File No. 001-38672) filed with the SEC on August 6, 2025).</w:t>
              </w:r>
            </w:hyperlink>
          </w:p>
        </w:tc>
        <w:tc>
          <w:tcPr>
            <w:tcW w:w="500" w:type="dxa"/>
            <w:vAlign w:val="bottom"/>
            <w:tcBorders>
              <w:top w:val="single" w:sz="8" w:color="0000FF"/>
            </w:tcBorders>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-93980</wp:posOffset>
            </wp:positionV>
            <wp:extent cx="440690" cy="1009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440690" cy="100965"/>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p>
      <w:pPr>
        <w:spacing w:after="0" w:line="8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10.18+*</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10.19+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Consulting Agreement, dated February 12, 2026, by and between Arvinas, Inc. and John Houston, Ph.D.</w:t>
      </w:r>
    </w:p>
    <w:p>
      <w:pPr>
        <w:spacing w:after="0" w:line="62" w:lineRule="exact"/>
        <w:rPr>
          <w:sz w:val="20"/>
          <w:szCs w:val="20"/>
          <w:color w:val="auto"/>
        </w:rPr>
      </w:pPr>
    </w:p>
    <w:p>
      <w:pPr>
        <w:ind w:right="1780"/>
        <w:spacing w:after="0" w:line="223" w:lineRule="auto"/>
        <w:rPr>
          <w:rFonts w:ascii="Arial" w:cs="Arial" w:eastAsia="Arial" w:hAnsi="Arial"/>
          <w:sz w:val="14"/>
          <w:szCs w:val="14"/>
          <w:u w:val="single" w:color="auto"/>
          <w:color w:val="0000FF"/>
          <w:highlight w:val="white"/>
        </w:rPr>
      </w:pPr>
      <w:hyperlink r:id="rId196">
        <w:r>
          <w:rPr>
            <w:rFonts w:ascii="Arial" w:cs="Arial" w:eastAsia="Arial" w:hAnsi="Arial"/>
            <w:sz w:val="14"/>
            <w:szCs w:val="14"/>
            <w:color w:val="0000FF"/>
          </w:rPr>
          <w:t>Amended and Restated Employment Agreement, dated November 4, 2025, by and between the Registrant and Randy Teel, Ph.D.</w:t>
        </w:r>
      </w:hyperlink>
      <w:r>
        <w:rPr>
          <w:rFonts w:ascii="Arial" w:cs="Arial" w:eastAsia="Arial" w:hAnsi="Arial"/>
          <w:sz w:val="14"/>
          <w:szCs w:val="14"/>
          <w:color w:val="0000FF"/>
        </w:rPr>
        <w:t xml:space="preserve"> </w:t>
      </w:r>
      <w:hyperlink r:id="rId196">
        <w:r>
          <w:rPr>
            <w:rFonts w:ascii="Arial" w:cs="Arial" w:eastAsia="Arial" w:hAnsi="Arial"/>
            <w:sz w:val="14"/>
            <w:szCs w:val="14"/>
            <w:u w:val="single" w:color="auto"/>
            <w:color w:val="0000FF"/>
            <w:highlight w:val="white"/>
          </w:rPr>
          <w:t>(incorporated by reference to Exhibit 10.2 to the Registrant’s Quarterly Report on Form 10-Q (File No. 001-38672) filed with the SEC</w:t>
        </w:r>
      </w:hyperlink>
    </w:p>
    <w:p>
      <w:pPr>
        <w:spacing w:after="0" w:line="1" w:lineRule="exact"/>
        <w:rPr>
          <w:sz w:val="20"/>
          <w:szCs w:val="20"/>
          <w:color w:val="auto"/>
        </w:rPr>
      </w:pPr>
    </w:p>
    <w:p>
      <w:pPr>
        <w:spacing w:after="0"/>
        <w:rPr>
          <w:rFonts w:ascii="Arial" w:cs="Arial" w:eastAsia="Arial" w:hAnsi="Arial"/>
          <w:sz w:val="14"/>
          <w:szCs w:val="14"/>
          <w:u w:val="single" w:color="auto"/>
          <w:color w:val="0000FF"/>
          <w:highlight w:val="white"/>
        </w:rPr>
      </w:pPr>
      <w:hyperlink r:id="rId196">
        <w:r>
          <w:rPr>
            <w:rFonts w:ascii="Arial" w:cs="Arial" w:eastAsia="Arial" w:hAnsi="Arial"/>
            <w:sz w:val="14"/>
            <w:szCs w:val="14"/>
            <w:u w:val="single" w:color="auto"/>
            <w:color w:val="0000FF"/>
            <w:highlight w:val="white"/>
          </w:rPr>
          <w:t>on November 5, 2025).</w:t>
        </w:r>
      </w:hyperlink>
    </w:p>
    <w:p>
      <w:pPr>
        <w:spacing w:after="0" w:line="50" w:lineRule="exact"/>
        <w:rPr>
          <w:sz w:val="20"/>
          <w:szCs w:val="20"/>
          <w:color w:val="auto"/>
        </w:rPr>
      </w:pPr>
    </w:p>
    <w:p>
      <w:pPr>
        <w:sectPr>
          <w:pgSz w:w="11900" w:h="16838" w:orient="portrait"/>
          <w:cols w:equalWidth="0" w:num="2">
            <w:col w:w="600" w:space="640"/>
            <w:col w:w="10040"/>
          </w:cols>
          <w:pgMar w:left="300" w:top="1039"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100"/>
              <w:spacing w:after="0"/>
              <w:rPr>
                <w:sz w:val="20"/>
                <w:szCs w:val="20"/>
                <w:color w:val="auto"/>
              </w:rPr>
            </w:pPr>
            <w:r>
              <w:rPr>
                <w:rFonts w:ascii="Arial" w:cs="Arial" w:eastAsia="Arial" w:hAnsi="Arial"/>
                <w:sz w:val="14"/>
                <w:szCs w:val="14"/>
                <w:color w:val="auto"/>
              </w:rPr>
              <w:t>10.20</w:t>
            </w:r>
          </w:p>
        </w:tc>
        <w:tc>
          <w:tcPr>
            <w:tcW w:w="10040" w:type="dxa"/>
            <w:vAlign w:val="bottom"/>
            <w:gridSpan w:val="32"/>
          </w:tcPr>
          <w:p>
            <w:pPr>
              <w:spacing w:after="0"/>
              <w:rPr>
                <w:rFonts w:ascii="Arial" w:cs="Arial" w:eastAsia="Arial" w:hAnsi="Arial"/>
                <w:sz w:val="14"/>
                <w:szCs w:val="14"/>
                <w:color w:val="0000FF"/>
              </w:rPr>
            </w:pPr>
            <w:hyperlink r:id="rId197">
              <w:r>
                <w:rPr>
                  <w:rFonts w:ascii="Arial" w:cs="Arial" w:eastAsia="Arial" w:hAnsi="Arial"/>
                  <w:sz w:val="14"/>
                  <w:szCs w:val="14"/>
                  <w:color w:val="0000FF"/>
                </w:rPr>
                <w:t>Lease Agreement between the Arvinas Operations, Inc. (formerly Arvinas, Inc.) and Science Park Development Corporation, dated</w:t>
              </w:r>
            </w:hyperlink>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81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December 31, 2017, as amended by First Amendment to Lease, dated May 23, 2018, and Second Amendment to Lease, dated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Pr>
          <w:p>
            <w:pPr>
              <w:spacing w:after="0"/>
              <w:rPr>
                <w:sz w:val="11"/>
                <w:szCs w:val="11"/>
                <w:color w:val="auto"/>
              </w:rPr>
            </w:pPr>
          </w:p>
        </w:tc>
        <w:tc>
          <w:tcPr>
            <w:tcW w:w="10040" w:type="dxa"/>
            <w:vAlign w:val="bottom"/>
            <w:gridSpan w:val="32"/>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September 4, 2018 (incorporated by reference to Exhibit 10.12 to the Registrant’s Registration Statement on Form S-1/A (File No.</w:t>
              </w:r>
            </w:hyperlink>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81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333-227112) filed with the SEC on September 14,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10.21</w:t>
            </w: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40" w:type="dxa"/>
            <w:vAlign w:val="bottom"/>
            <w:vMerge w:val="continue"/>
          </w:tcPr>
          <w:p>
            <w:pPr>
              <w:spacing w:after="0"/>
              <w:rPr>
                <w:sz w:val="19"/>
                <w:szCs w:val="19"/>
                <w:color w:val="auto"/>
              </w:rPr>
            </w:pPr>
          </w:p>
        </w:tc>
        <w:tc>
          <w:tcPr>
            <w:tcW w:w="8160" w:type="dxa"/>
            <w:vAlign w:val="bottom"/>
            <w:tcBorders>
              <w:bottom w:val="single" w:sz="8" w:color="0000FF"/>
            </w:tcBorders>
            <w:gridSpan w:val="23"/>
          </w:tcPr>
          <w:p>
            <w:pPr>
              <w:spacing w:after="0"/>
              <w:rPr>
                <w:rFonts w:ascii="Arial" w:cs="Arial" w:eastAsia="Arial" w:hAnsi="Arial"/>
                <w:sz w:val="14"/>
                <w:szCs w:val="14"/>
                <w:color w:val="0000FF"/>
              </w:rPr>
            </w:pPr>
            <w:hyperlink r:id="rId198">
              <w:r>
                <w:rPr>
                  <w:rFonts w:ascii="Arial" w:cs="Arial" w:eastAsia="Arial" w:hAnsi="Arial"/>
                  <w:sz w:val="14"/>
                  <w:szCs w:val="14"/>
                  <w:color w:val="0000FF"/>
                </w:rPr>
                <w:t>Third Amendment to Lease between Arvinas Operations, Inc. (formerly Arvinas, Inc.) and Science Park Development Corporation,</w:t>
              </w:r>
            </w:hyperlink>
          </w:p>
        </w:tc>
        <w:tc>
          <w:tcPr>
            <w:tcW w:w="18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8360" w:type="dxa"/>
            <w:vAlign w:val="bottom"/>
            <w:tcBorders>
              <w:bottom w:val="single" w:sz="8" w:color="0000FF"/>
            </w:tcBorders>
            <w:gridSpan w:val="31"/>
          </w:tcPr>
          <w:p>
            <w:pPr>
              <w:spacing w:after="0" w:line="139" w:lineRule="exact"/>
              <w:rPr>
                <w:rFonts w:ascii="Arial" w:cs="Arial" w:eastAsia="Arial" w:hAnsi="Arial"/>
                <w:sz w:val="14"/>
                <w:szCs w:val="14"/>
                <w:color w:val="0000FF"/>
              </w:rPr>
            </w:pPr>
            <w:hyperlink r:id="rId198">
              <w:r>
                <w:rPr>
                  <w:rFonts w:ascii="Arial" w:cs="Arial" w:eastAsia="Arial" w:hAnsi="Arial"/>
                  <w:sz w:val="14"/>
                  <w:szCs w:val="14"/>
                  <w:color w:val="0000FF"/>
                </w:rPr>
                <w:t>dated March 12, 2019 (incorporated by reference to Exhibit 10.1 to the Registrant’s Current Report on Form 8-K (File No. 001-38672)</w:t>
              </w:r>
            </w:hyperlink>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2420" w:type="dxa"/>
            <w:vAlign w:val="bottom"/>
            <w:tcBorders>
              <w:bottom w:val="single" w:sz="8" w:color="0000FF"/>
            </w:tcBorders>
            <w:gridSpan w:val="8"/>
          </w:tcPr>
          <w:p>
            <w:pPr>
              <w:spacing w:after="0" w:line="150" w:lineRule="exact"/>
              <w:rPr>
                <w:rFonts w:ascii="Arial" w:cs="Arial" w:eastAsia="Arial" w:hAnsi="Arial"/>
                <w:sz w:val="14"/>
                <w:szCs w:val="14"/>
                <w:color w:val="0000FF"/>
              </w:rPr>
            </w:pPr>
            <w:hyperlink r:id="rId198">
              <w:r>
                <w:rPr>
                  <w:rFonts w:ascii="Arial" w:cs="Arial" w:eastAsia="Arial" w:hAnsi="Arial"/>
                  <w:sz w:val="14"/>
                  <w:szCs w:val="14"/>
                  <w:color w:val="0000FF"/>
                </w:rPr>
                <w:t>filed with the SEC on March 15, 2019).</w:t>
              </w:r>
            </w:hyperlink>
          </w:p>
        </w:tc>
        <w:tc>
          <w:tcPr>
            <w:tcW w:w="762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40" w:type="dxa"/>
            <w:vAlign w:val="bottom"/>
          </w:tcPr>
          <w:p>
            <w:pPr>
              <w:ind w:left="100"/>
              <w:spacing w:after="0"/>
              <w:rPr>
                <w:sz w:val="20"/>
                <w:szCs w:val="20"/>
                <w:color w:val="auto"/>
              </w:rPr>
            </w:pPr>
            <w:r>
              <w:rPr>
                <w:rFonts w:ascii="Arial" w:cs="Arial" w:eastAsia="Arial" w:hAnsi="Arial"/>
                <w:sz w:val="14"/>
                <w:szCs w:val="14"/>
                <w:color w:val="auto"/>
              </w:rPr>
              <w:t>10.22</w:t>
            </w:r>
          </w:p>
        </w:tc>
        <w:tc>
          <w:tcPr>
            <w:tcW w:w="10040" w:type="dxa"/>
            <w:vAlign w:val="bottom"/>
            <w:gridSpan w:val="32"/>
          </w:tcPr>
          <w:p>
            <w:pPr>
              <w:spacing w:after="0"/>
              <w:rPr>
                <w:rFonts w:ascii="Arial" w:cs="Arial" w:eastAsia="Arial" w:hAnsi="Arial"/>
                <w:sz w:val="14"/>
                <w:szCs w:val="14"/>
                <w:color w:val="0000FF"/>
              </w:rPr>
            </w:pPr>
            <w:hyperlink r:id="rId199">
              <w:r>
                <w:rPr>
                  <w:rFonts w:ascii="Arial" w:cs="Arial" w:eastAsia="Arial" w:hAnsi="Arial"/>
                  <w:sz w:val="14"/>
                  <w:szCs w:val="14"/>
                  <w:color w:val="0000FF"/>
                </w:rPr>
                <w:t>Fourth Amendment to Lease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822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dated January 31, 2020 (incorporated by reference to Exhibit 10.14 to the Registrant’s Annual Report on Form 10-K (File No. 001-</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90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199">
              <w:r>
                <w:rPr>
                  <w:rFonts w:ascii="Arial" w:cs="Arial" w:eastAsia="Arial" w:hAnsi="Arial"/>
                  <w:sz w:val="14"/>
                  <w:szCs w:val="14"/>
                  <w:color w:val="0000FF"/>
                </w:rPr>
                <w:t>38672) filed with the SEC on March 16, 2020).</w:t>
              </w:r>
            </w:hyperlink>
          </w:p>
        </w:tc>
        <w:tc>
          <w:tcPr>
            <w:tcW w:w="522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00"/>
              <w:spacing w:after="0"/>
              <w:rPr>
                <w:sz w:val="20"/>
                <w:szCs w:val="20"/>
                <w:color w:val="auto"/>
              </w:rPr>
            </w:pPr>
            <w:r>
              <w:rPr>
                <w:rFonts w:ascii="Arial" w:cs="Arial" w:eastAsia="Arial" w:hAnsi="Arial"/>
                <w:sz w:val="14"/>
                <w:szCs w:val="14"/>
                <w:color w:val="auto"/>
              </w:rPr>
              <w:t>10.23</w:t>
            </w:r>
          </w:p>
        </w:tc>
        <w:tc>
          <w:tcPr>
            <w:tcW w:w="10040" w:type="dxa"/>
            <w:vAlign w:val="bottom"/>
            <w:gridSpan w:val="32"/>
          </w:tcPr>
          <w:p>
            <w:pPr>
              <w:spacing w:after="0"/>
              <w:rPr>
                <w:rFonts w:ascii="Arial" w:cs="Arial" w:eastAsia="Arial" w:hAnsi="Arial"/>
                <w:sz w:val="14"/>
                <w:szCs w:val="14"/>
                <w:color w:val="0000FF"/>
              </w:rPr>
            </w:pPr>
            <w:hyperlink r:id="rId200">
              <w:r>
                <w:rPr>
                  <w:rFonts w:ascii="Arial" w:cs="Arial" w:eastAsia="Arial" w:hAnsi="Arial"/>
                  <w:sz w:val="14"/>
                  <w:szCs w:val="14"/>
                  <w:color w:val="0000FF"/>
                </w:rPr>
                <w:t>Fifth Amendment to Lease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80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dated January 4, 2021 (incorporated by reference to Exhibit 10.34 to the Registrant's Annual Report on Form 10-K (File No. 001-</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04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200">
              <w:r>
                <w:rPr>
                  <w:rFonts w:ascii="Arial" w:cs="Arial" w:eastAsia="Arial" w:hAnsi="Arial"/>
                  <w:sz w:val="14"/>
                  <w:szCs w:val="14"/>
                  <w:color w:val="0000FF"/>
                </w:rPr>
                <w:t>38672) filed with the SEC on March 1, 2021).</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ind w:left="100"/>
              <w:spacing w:after="0"/>
              <w:rPr>
                <w:sz w:val="20"/>
                <w:szCs w:val="20"/>
                <w:color w:val="auto"/>
              </w:rPr>
            </w:pPr>
            <w:r>
              <w:rPr>
                <w:rFonts w:ascii="Arial" w:cs="Arial" w:eastAsia="Arial" w:hAnsi="Arial"/>
                <w:sz w:val="14"/>
                <w:szCs w:val="14"/>
                <w:color w:val="auto"/>
              </w:rPr>
              <w:t>10.24</w:t>
            </w:r>
          </w:p>
        </w:tc>
        <w:tc>
          <w:tcPr>
            <w:tcW w:w="10040" w:type="dxa"/>
            <w:vAlign w:val="bottom"/>
            <w:gridSpan w:val="32"/>
          </w:tcPr>
          <w:p>
            <w:pPr>
              <w:spacing w:after="0"/>
              <w:rPr>
                <w:rFonts w:ascii="Arial" w:cs="Arial" w:eastAsia="Arial" w:hAnsi="Arial"/>
                <w:sz w:val="14"/>
                <w:szCs w:val="14"/>
                <w:color w:val="0000FF"/>
              </w:rPr>
            </w:pPr>
            <w:hyperlink r:id="rId201">
              <w:r>
                <w:rPr>
                  <w:rFonts w:ascii="Arial" w:cs="Arial" w:eastAsia="Arial" w:hAnsi="Arial"/>
                  <w:sz w:val="14"/>
                  <w:szCs w:val="14"/>
                  <w:color w:val="0000FF"/>
                </w:rPr>
                <w:t>Sixth Amendment to Lease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18"/>
        </w:trPr>
        <w:tc>
          <w:tcPr>
            <w:tcW w:w="1240" w:type="dxa"/>
            <w:vAlign w:val="bottom"/>
          </w:tcPr>
          <w:p>
            <w:pPr>
              <w:spacing w:after="0"/>
              <w:rPr>
                <w:sz w:val="10"/>
                <w:szCs w:val="10"/>
                <w:color w:val="auto"/>
              </w:rPr>
            </w:pPr>
          </w:p>
        </w:tc>
        <w:tc>
          <w:tcPr>
            <w:tcW w:w="81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201">
              <w:r>
                <w:rPr>
                  <w:rFonts w:ascii="Arial" w:cs="Arial" w:eastAsia="Arial" w:hAnsi="Arial"/>
                  <w:sz w:val="13"/>
                  <w:szCs w:val="13"/>
                  <w:color w:val="0000FF"/>
                </w:rPr>
                <w:t>dated June 13, 2023 (incorporated by reference to Exhibit 10.11 to the Registrant’s Quarterly Report on Form 10-Q (File No. 001-</w:t>
              </w:r>
            </w:hyperlink>
          </w:p>
        </w:tc>
        <w:tc>
          <w:tcPr>
            <w:tcW w:w="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80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201">
              <w:r>
                <w:rPr>
                  <w:rFonts w:ascii="Arial" w:cs="Arial" w:eastAsia="Arial" w:hAnsi="Arial"/>
                  <w:sz w:val="14"/>
                  <w:szCs w:val="14"/>
                  <w:color w:val="0000FF"/>
                </w:rPr>
                <w:t>38672) filed with the SEC on August 8, 2023).</w:t>
              </w:r>
            </w:hyperlink>
          </w:p>
        </w:tc>
        <w:tc>
          <w:tcPr>
            <w:tcW w:w="140" w:type="dxa"/>
            <w:vAlign w:val="bottom"/>
            <w:gridSpan w:val="7"/>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Pr>
          <w:p>
            <w:pPr>
              <w:ind w:left="100"/>
              <w:spacing w:after="0"/>
              <w:rPr>
                <w:sz w:val="20"/>
                <w:szCs w:val="20"/>
                <w:color w:val="auto"/>
              </w:rPr>
            </w:pPr>
            <w:r>
              <w:rPr>
                <w:rFonts w:ascii="Arial" w:cs="Arial" w:eastAsia="Arial" w:hAnsi="Arial"/>
                <w:sz w:val="14"/>
                <w:szCs w:val="14"/>
                <w:color w:val="auto"/>
              </w:rPr>
              <w:t>10.25</w:t>
            </w:r>
          </w:p>
        </w:tc>
        <w:tc>
          <w:tcPr>
            <w:tcW w:w="10040" w:type="dxa"/>
            <w:vAlign w:val="bottom"/>
            <w:gridSpan w:val="32"/>
          </w:tcPr>
          <w:p>
            <w:pPr>
              <w:spacing w:after="0"/>
              <w:rPr>
                <w:rFonts w:ascii="Arial" w:cs="Arial" w:eastAsia="Arial" w:hAnsi="Arial"/>
                <w:sz w:val="14"/>
                <w:szCs w:val="14"/>
                <w:color w:val="0000FF"/>
              </w:rPr>
            </w:pPr>
            <w:hyperlink r:id="rId202">
              <w:r>
                <w:rPr>
                  <w:rFonts w:ascii="Arial" w:cs="Arial" w:eastAsia="Arial" w:hAnsi="Arial"/>
                  <w:sz w:val="14"/>
                  <w:szCs w:val="14"/>
                  <w:color w:val="0000FF"/>
                </w:rPr>
                <w:t>Seventh Amendment to Lease between Arvinas Operations, Inc. (formerly Arvinas, Inc.) and Science Park Development Corporation</w:t>
              </w:r>
              <w:r>
                <w:rPr>
                  <w:rFonts w:ascii="Arial" w:cs="Arial" w:eastAsia="Arial" w:hAnsi="Arial"/>
                  <w:sz w:val="14"/>
                  <w:szCs w:val="14"/>
                  <w:u w:val="single" w:color="auto"/>
                  <w:color w:val="0000FF"/>
                </w:rPr>
                <w:t>,</w:t>
              </w:r>
            </w:hyperlink>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10040" w:type="dxa"/>
            <w:vAlign w:val="bottom"/>
            <w:gridSpan w:val="32"/>
          </w:tcPr>
          <w:p>
            <w:pPr>
              <w:spacing w:after="0" w:line="139" w:lineRule="exact"/>
              <w:rPr>
                <w:rFonts w:ascii="Arial" w:cs="Arial" w:eastAsia="Arial" w:hAnsi="Arial"/>
                <w:sz w:val="14"/>
                <w:szCs w:val="14"/>
                <w:color w:val="0000FF"/>
                <w:highlight w:val="white"/>
              </w:rPr>
            </w:pPr>
            <w:hyperlink r:id="rId202">
              <w:r>
                <w:rPr>
                  <w:rFonts w:ascii="Arial" w:cs="Arial" w:eastAsia="Arial" w:hAnsi="Arial"/>
                  <w:sz w:val="14"/>
                  <w:szCs w:val="14"/>
                  <w:color w:val="0000FF"/>
                  <w:highlight w:val="white"/>
                </w:rPr>
                <w:t>dated December 13, 2024 (incorporated by reference to Exhibit 10.24 to the Registrant’s Annual Report on Form 10-Q (File No. 001-</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620" w:type="dxa"/>
            <w:vAlign w:val="bottom"/>
            <w:tcBorders>
              <w:top w:val="single" w:sz="8" w:color="0000FF"/>
            </w:tcBorders>
            <w:gridSpan w:val="5"/>
          </w:tcPr>
          <w:p>
            <w:pPr>
              <w:spacing w:after="0" w:line="129" w:lineRule="exact"/>
              <w:rPr>
                <w:rFonts w:ascii="Arial" w:cs="Arial" w:eastAsia="Arial" w:hAnsi="Arial"/>
                <w:sz w:val="14"/>
                <w:szCs w:val="14"/>
                <w:color w:val="0000FF"/>
                <w:highlight w:val="white"/>
              </w:rPr>
            </w:pPr>
            <w:hyperlink r:id="rId202">
              <w:r>
                <w:rPr>
                  <w:rFonts w:ascii="Arial" w:cs="Arial" w:eastAsia="Arial" w:hAnsi="Arial"/>
                  <w:sz w:val="14"/>
                  <w:szCs w:val="14"/>
                  <w:color w:val="0000FF"/>
                  <w:highlight w:val="white"/>
                </w:rPr>
                <w:t>38672) filed with the SEC</w:t>
              </w:r>
            </w:hyperlink>
          </w:p>
        </w:tc>
        <w:tc>
          <w:tcPr>
            <w:tcW w:w="20" w:type="dxa"/>
            <w:vAlign w:val="bottom"/>
          </w:tcPr>
          <w:p>
            <w:pPr>
              <w:spacing w:after="0"/>
              <w:rPr>
                <w:sz w:val="11"/>
                <w:szCs w:val="11"/>
                <w:color w:val="auto"/>
              </w:rPr>
            </w:pPr>
          </w:p>
        </w:tc>
        <w:tc>
          <w:tcPr>
            <w:tcW w:w="2540" w:type="dxa"/>
            <w:vAlign w:val="bottom"/>
            <w:tcBorders>
              <w:top w:val="single" w:sz="8" w:color="0000FF"/>
            </w:tcBorders>
            <w:gridSpan w:val="8"/>
          </w:tcPr>
          <w:p>
            <w:pPr>
              <w:spacing w:after="0" w:line="129" w:lineRule="exact"/>
              <w:rPr>
                <w:rFonts w:ascii="Arial" w:cs="Arial" w:eastAsia="Arial" w:hAnsi="Arial"/>
                <w:sz w:val="14"/>
                <w:szCs w:val="14"/>
                <w:color w:val="0000FF"/>
                <w:highlight w:val="white"/>
              </w:rPr>
            </w:pPr>
            <w:hyperlink r:id="rId202">
              <w:r>
                <w:rPr>
                  <w:rFonts w:ascii="Arial" w:cs="Arial" w:eastAsia="Arial" w:hAnsi="Arial"/>
                  <w:sz w:val="14"/>
                  <w:szCs w:val="14"/>
                  <w:color w:val="0000FF"/>
                  <w:highlight w:val="white"/>
                </w:rPr>
                <w:t xml:space="preserve">on February </w:t>
              </w:r>
              <w:r>
                <w:rPr>
                  <w:rFonts w:ascii="Arial" w:cs="Arial" w:eastAsia="Arial" w:hAnsi="Arial"/>
                  <w:sz w:val="14"/>
                  <w:szCs w:val="14"/>
                  <w:u w:val="single" w:color="auto"/>
                  <w:color w:val="0000FF"/>
                  <w:highlight w:val="white"/>
                </w:rPr>
                <w:t>11</w:t>
              </w:r>
              <w:r>
                <w:rPr>
                  <w:rFonts w:ascii="Arial" w:cs="Arial" w:eastAsia="Arial" w:hAnsi="Arial"/>
                  <w:sz w:val="14"/>
                  <w:szCs w:val="14"/>
                  <w:color w:val="0000FF"/>
                  <w:highlight w:val="white"/>
                </w:rPr>
                <w:t>, 2025).</w:t>
              </w:r>
            </w:hyperlink>
          </w:p>
        </w:tc>
        <w:tc>
          <w:tcPr>
            <w:tcW w:w="20" w:type="dxa"/>
            <w:vAlign w:val="bottom"/>
          </w:tcPr>
          <w:p>
            <w:pPr>
              <w:spacing w:after="0"/>
              <w:rPr>
                <w:sz w:val="11"/>
                <w:szCs w:val="11"/>
                <w:color w:val="auto"/>
              </w:rPr>
            </w:pPr>
          </w:p>
        </w:tc>
        <w:tc>
          <w:tcPr>
            <w:tcW w:w="4000" w:type="dxa"/>
            <w:vAlign w:val="bottom"/>
            <w:tcBorders>
              <w:top w:val="single" w:sz="8" w:color="0000FF"/>
            </w:tcBorders>
            <w:gridSpan w:val="10"/>
          </w:tcPr>
          <w:p>
            <w:pPr>
              <w:spacing w:after="0"/>
              <w:rPr>
                <w:sz w:val="11"/>
                <w:szCs w:val="11"/>
                <w:color w:val="auto"/>
              </w:rPr>
            </w:pPr>
          </w:p>
        </w:tc>
        <w:tc>
          <w:tcPr>
            <w:tcW w:w="8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160" w:type="dxa"/>
            <w:vAlign w:val="bottom"/>
            <w:tcBorders>
              <w:left w:val="single" w:sz="8" w:color="0000FF"/>
            </w:tcBorders>
            <w:gridSpan w:val="2"/>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Pr>
          <w:p>
            <w:pPr>
              <w:ind w:left="100"/>
              <w:spacing w:after="0"/>
              <w:rPr>
                <w:sz w:val="20"/>
                <w:szCs w:val="20"/>
                <w:color w:val="auto"/>
              </w:rPr>
            </w:pPr>
            <w:r>
              <w:rPr>
                <w:rFonts w:ascii="Arial" w:cs="Arial" w:eastAsia="Arial" w:hAnsi="Arial"/>
                <w:sz w:val="14"/>
                <w:szCs w:val="14"/>
                <w:color w:val="auto"/>
              </w:rPr>
              <w:t>10.26</w:t>
            </w:r>
          </w:p>
        </w:tc>
        <w:tc>
          <w:tcPr>
            <w:tcW w:w="10040" w:type="dxa"/>
            <w:vAlign w:val="bottom"/>
            <w:gridSpan w:val="32"/>
          </w:tcPr>
          <w:p>
            <w:pPr>
              <w:spacing w:after="0"/>
              <w:rPr>
                <w:rFonts w:ascii="Arial" w:cs="Arial" w:eastAsia="Arial" w:hAnsi="Arial"/>
                <w:sz w:val="14"/>
                <w:szCs w:val="14"/>
                <w:color w:val="0000FF"/>
              </w:rPr>
            </w:pPr>
            <w:hyperlink r:id="rId203">
              <w:r>
                <w:rPr>
                  <w:rFonts w:ascii="Arial" w:cs="Arial" w:eastAsia="Arial" w:hAnsi="Arial"/>
                  <w:sz w:val="14"/>
                  <w:szCs w:val="14"/>
                  <w:color w:val="0000FF"/>
                </w:rPr>
                <w:t>Eighth Amendment to Lease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10040" w:type="dxa"/>
            <w:vAlign w:val="bottom"/>
            <w:gridSpan w:val="32"/>
          </w:tcPr>
          <w:p>
            <w:pPr>
              <w:spacing w:after="0" w:line="139" w:lineRule="exact"/>
              <w:rPr>
                <w:rFonts w:ascii="Arial" w:cs="Arial" w:eastAsia="Arial" w:hAnsi="Arial"/>
                <w:sz w:val="14"/>
                <w:szCs w:val="14"/>
                <w:color w:val="0000FF"/>
                <w:highlight w:val="white"/>
              </w:rPr>
            </w:pPr>
            <w:hyperlink r:id="rId203">
              <w:r>
                <w:rPr>
                  <w:rFonts w:ascii="Arial" w:cs="Arial" w:eastAsia="Arial" w:hAnsi="Arial"/>
                  <w:sz w:val="14"/>
                  <w:szCs w:val="14"/>
                  <w:color w:val="0000FF"/>
                  <w:highlight w:val="white"/>
                </w:rPr>
                <w:t>dated December 31, 2024 (incorporated by reference to Exhibit 10.</w:t>
              </w:r>
              <w:r>
                <w:rPr>
                  <w:rFonts w:ascii="Arial" w:cs="Arial" w:eastAsia="Arial" w:hAnsi="Arial"/>
                  <w:sz w:val="14"/>
                  <w:szCs w:val="14"/>
                  <w:u w:val="single" w:color="auto"/>
                  <w:color w:val="0000FF"/>
                  <w:highlight w:val="white"/>
                </w:rPr>
                <w:t>2</w:t>
              </w:r>
              <w:r>
                <w:rPr>
                  <w:rFonts w:ascii="Arial" w:cs="Arial" w:eastAsia="Arial" w:hAnsi="Arial"/>
                  <w:sz w:val="14"/>
                  <w:szCs w:val="14"/>
                  <w:color w:val="0000FF"/>
                  <w:highlight w:val="white"/>
                </w:rPr>
                <w:t>5 to the Registrant’s Annual Report on Form 10-Q (File No. 001-</w:t>
              </w:r>
            </w:hyperlink>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1620" w:type="dxa"/>
            <w:vAlign w:val="bottom"/>
            <w:tcBorders>
              <w:top w:val="single" w:sz="8" w:color="0000FF"/>
            </w:tcBorders>
            <w:gridSpan w:val="5"/>
          </w:tcPr>
          <w:p>
            <w:pPr>
              <w:spacing w:after="0" w:line="129" w:lineRule="exact"/>
              <w:rPr>
                <w:rFonts w:ascii="Arial" w:cs="Arial" w:eastAsia="Arial" w:hAnsi="Arial"/>
                <w:sz w:val="14"/>
                <w:szCs w:val="14"/>
                <w:color w:val="0000FF"/>
                <w:highlight w:val="white"/>
              </w:rPr>
            </w:pPr>
            <w:hyperlink r:id="rId203">
              <w:r>
                <w:rPr>
                  <w:rFonts w:ascii="Arial" w:cs="Arial" w:eastAsia="Arial" w:hAnsi="Arial"/>
                  <w:sz w:val="14"/>
                  <w:szCs w:val="14"/>
                  <w:color w:val="0000FF"/>
                  <w:highlight w:val="white"/>
                </w:rPr>
                <w:t>38672) filed with the SEC</w:t>
              </w:r>
            </w:hyperlink>
          </w:p>
        </w:tc>
        <w:tc>
          <w:tcPr>
            <w:tcW w:w="20" w:type="dxa"/>
            <w:vAlign w:val="bottom"/>
          </w:tcPr>
          <w:p>
            <w:pPr>
              <w:spacing w:after="0"/>
              <w:rPr>
                <w:sz w:val="11"/>
                <w:szCs w:val="11"/>
                <w:color w:val="auto"/>
              </w:rPr>
            </w:pPr>
          </w:p>
        </w:tc>
        <w:tc>
          <w:tcPr>
            <w:tcW w:w="6660" w:type="dxa"/>
            <w:vAlign w:val="bottom"/>
            <w:tcBorders>
              <w:top w:val="single" w:sz="8" w:color="0000FF"/>
            </w:tcBorders>
            <w:gridSpan w:val="22"/>
          </w:tcPr>
          <w:p>
            <w:pPr>
              <w:spacing w:after="0" w:line="129" w:lineRule="exact"/>
              <w:rPr>
                <w:rFonts w:ascii="Arial" w:cs="Arial" w:eastAsia="Arial" w:hAnsi="Arial"/>
                <w:sz w:val="14"/>
                <w:szCs w:val="14"/>
                <w:color w:val="0000FF"/>
                <w:highlight w:val="white"/>
              </w:rPr>
            </w:pPr>
            <w:hyperlink r:id="rId203">
              <w:r>
                <w:rPr>
                  <w:rFonts w:ascii="Arial" w:cs="Arial" w:eastAsia="Arial" w:hAnsi="Arial"/>
                  <w:sz w:val="14"/>
                  <w:szCs w:val="14"/>
                  <w:color w:val="0000FF"/>
                  <w:highlight w:val="white"/>
                </w:rPr>
                <w:t>on February 11, 2025)</w:t>
              </w:r>
              <w:r>
                <w:rPr>
                  <w:rFonts w:ascii="Arial" w:cs="Arial" w:eastAsia="Arial" w:hAnsi="Arial"/>
                  <w:sz w:val="14"/>
                  <w:szCs w:val="14"/>
                  <w:u w:val="single" w:color="auto"/>
                  <w:color w:val="0000FF"/>
                  <w:highlight w:val="white"/>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Pr>
          <w:p>
            <w:pPr>
              <w:ind w:left="100"/>
              <w:spacing w:after="0"/>
              <w:rPr>
                <w:sz w:val="20"/>
                <w:szCs w:val="20"/>
                <w:color w:val="auto"/>
              </w:rPr>
            </w:pPr>
            <w:r>
              <w:rPr>
                <w:rFonts w:ascii="Arial" w:cs="Arial" w:eastAsia="Arial" w:hAnsi="Arial"/>
                <w:sz w:val="14"/>
                <w:szCs w:val="14"/>
                <w:color w:val="auto"/>
              </w:rPr>
              <w:t>10.27</w:t>
            </w:r>
          </w:p>
        </w:tc>
        <w:tc>
          <w:tcPr>
            <w:tcW w:w="10040" w:type="dxa"/>
            <w:vAlign w:val="bottom"/>
            <w:gridSpan w:val="32"/>
          </w:tcPr>
          <w:p>
            <w:pPr>
              <w:spacing w:after="0"/>
              <w:rPr>
                <w:rFonts w:ascii="Arial" w:cs="Arial" w:eastAsia="Arial" w:hAnsi="Arial"/>
                <w:sz w:val="14"/>
                <w:szCs w:val="14"/>
                <w:color w:val="0000FF"/>
              </w:rPr>
            </w:pPr>
            <w:hyperlink r:id="rId204">
              <w:r>
                <w:rPr>
                  <w:rFonts w:ascii="Arial" w:cs="Arial" w:eastAsia="Arial" w:hAnsi="Arial"/>
                  <w:sz w:val="14"/>
                  <w:szCs w:val="14"/>
                  <w:color w:val="0000FF"/>
                </w:rPr>
                <w:t>Ninth Amendment to Lease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10040" w:type="dxa"/>
            <w:vAlign w:val="bottom"/>
            <w:gridSpan w:val="32"/>
          </w:tcPr>
          <w:p>
            <w:pPr>
              <w:spacing w:after="0" w:line="139" w:lineRule="exact"/>
              <w:rPr>
                <w:rFonts w:ascii="Arial" w:cs="Arial" w:eastAsia="Arial" w:hAnsi="Arial"/>
                <w:sz w:val="14"/>
                <w:szCs w:val="14"/>
                <w:color w:val="0000FF"/>
                <w:highlight w:val="white"/>
              </w:rPr>
            </w:pPr>
            <w:hyperlink r:id="rId204">
              <w:r>
                <w:rPr>
                  <w:rFonts w:ascii="Arial" w:cs="Arial" w:eastAsia="Arial" w:hAnsi="Arial"/>
                  <w:sz w:val="14"/>
                  <w:szCs w:val="14"/>
                  <w:color w:val="0000FF"/>
                  <w:highlight w:val="white"/>
                </w:rPr>
                <w:t>dated February 10, 2025 (incorporated by reference to Exhibit 10.26 to the Registrant’s Annual Report on Form 10-Q (File No. 001-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160" w:type="dxa"/>
            <w:vAlign w:val="bottom"/>
            <w:tcBorders>
              <w:left w:val="single" w:sz="8" w:color="0000FF"/>
            </w:tcBorders>
            <w:gridSpan w:val="2"/>
            <w:shd w:val="clear" w:color="auto" w:fill="0000FF"/>
          </w:tcPr>
          <w:p>
            <w:pPr>
              <w:spacing w:after="0" w:line="20" w:lineRule="exact"/>
              <w:rPr>
                <w:sz w:val="1"/>
                <w:szCs w:val="1"/>
                <w:color w:val="auto"/>
              </w:rPr>
            </w:pPr>
          </w:p>
        </w:tc>
        <w:tc>
          <w:tcPr>
            <w:tcW w:w="4020" w:type="dxa"/>
            <w:vAlign w:val="bottom"/>
            <w:gridSpan w:val="11"/>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Pr>
          <w:p>
            <w:pPr>
              <w:spacing w:after="0"/>
              <w:rPr>
                <w:sz w:val="11"/>
                <w:szCs w:val="11"/>
                <w:color w:val="auto"/>
              </w:rPr>
            </w:pPr>
          </w:p>
        </w:tc>
        <w:tc>
          <w:tcPr>
            <w:tcW w:w="10040" w:type="dxa"/>
            <w:vAlign w:val="bottom"/>
            <w:gridSpan w:val="32"/>
          </w:tcPr>
          <w:p>
            <w:pPr>
              <w:spacing w:after="0" w:line="129" w:lineRule="exact"/>
              <w:rPr>
                <w:rFonts w:ascii="Arial" w:cs="Arial" w:eastAsia="Arial" w:hAnsi="Arial"/>
                <w:sz w:val="14"/>
                <w:szCs w:val="14"/>
                <w:color w:val="0000FF"/>
                <w:highlight w:val="white"/>
              </w:rPr>
            </w:pPr>
            <w:hyperlink r:id="rId204">
              <w:r>
                <w:rPr>
                  <w:rFonts w:ascii="Arial" w:cs="Arial" w:eastAsia="Arial" w:hAnsi="Arial"/>
                  <w:sz w:val="14"/>
                  <w:szCs w:val="14"/>
                  <w:color w:val="0000FF"/>
                  <w:highlight w:val="white"/>
                </w:rPr>
                <w:t>38672) filed with the SEC on February 11, 2025)</w:t>
              </w:r>
              <w:r>
                <w:rPr>
                  <w:rFonts w:ascii="Arial" w:cs="Arial" w:eastAsia="Arial" w:hAnsi="Arial"/>
                  <w:sz w:val="14"/>
                  <w:szCs w:val="14"/>
                  <w:u w:val="single" w:color="auto"/>
                  <w:color w:val="0000FF"/>
                  <w:highlight w:val="white"/>
                </w:rPr>
                <w: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3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tcPr>
          <w:p>
            <w:pPr>
              <w:ind w:left="100"/>
              <w:spacing w:after="0"/>
              <w:rPr>
                <w:sz w:val="20"/>
                <w:szCs w:val="20"/>
                <w:color w:val="auto"/>
              </w:rPr>
            </w:pPr>
            <w:r>
              <w:rPr>
                <w:rFonts w:ascii="Arial" w:cs="Arial" w:eastAsia="Arial" w:hAnsi="Arial"/>
                <w:sz w:val="14"/>
                <w:szCs w:val="14"/>
                <w:color w:val="auto"/>
              </w:rPr>
              <w:t>10.28</w:t>
            </w:r>
          </w:p>
        </w:tc>
        <w:tc>
          <w:tcPr>
            <w:tcW w:w="10040" w:type="dxa"/>
            <w:vAlign w:val="bottom"/>
            <w:gridSpan w:val="32"/>
          </w:tcPr>
          <w:p>
            <w:pPr>
              <w:spacing w:after="0"/>
              <w:rPr>
                <w:rFonts w:ascii="Arial" w:cs="Arial" w:eastAsia="Arial" w:hAnsi="Arial"/>
                <w:sz w:val="14"/>
                <w:szCs w:val="14"/>
                <w:color w:val="0000FF"/>
              </w:rPr>
            </w:pPr>
            <w:hyperlink r:id="rId205">
              <w:r>
                <w:rPr>
                  <w:rFonts w:ascii="Arial" w:cs="Arial" w:eastAsia="Arial" w:hAnsi="Arial"/>
                  <w:sz w:val="14"/>
                  <w:szCs w:val="14"/>
                  <w:color w:val="0000FF"/>
                </w:rPr>
                <w:t>Lease Termination Agreement between Arvinas Operations, Inc. (formerly Arvinas, Inc.) and Science Park Development Corporation,</w:t>
              </w:r>
            </w:hyperlink>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8120" w:type="dxa"/>
            <w:vAlign w:val="bottom"/>
            <w:tcBorders>
              <w:top w:val="single" w:sz="8" w:color="0000FF"/>
              <w:bottom w:val="single" w:sz="8" w:color="0000FF"/>
            </w:tcBorders>
            <w:gridSpan w:val="21"/>
          </w:tcPr>
          <w:p>
            <w:pPr>
              <w:spacing w:after="0" w:line="139" w:lineRule="exact"/>
              <w:rPr>
                <w:rFonts w:ascii="Arial" w:cs="Arial" w:eastAsia="Arial" w:hAnsi="Arial"/>
                <w:sz w:val="14"/>
                <w:szCs w:val="14"/>
                <w:color w:val="0000FF"/>
              </w:rPr>
            </w:pPr>
            <w:hyperlink r:id="rId205">
              <w:r>
                <w:rPr>
                  <w:rFonts w:ascii="Arial" w:cs="Arial" w:eastAsia="Arial" w:hAnsi="Arial"/>
                  <w:sz w:val="14"/>
                  <w:szCs w:val="14"/>
                  <w:color w:val="0000FF"/>
                </w:rPr>
                <w:t>dated January 15, 2025 (incorporated by reference to Exhibit 10.31 to the Registrant’s Annual Report on Form 10-K (File No. 001-</w:t>
              </w:r>
            </w:hyperlink>
          </w:p>
        </w:tc>
        <w:tc>
          <w:tcPr>
            <w:tcW w:w="2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40" w:type="dxa"/>
            <w:vAlign w:val="bottom"/>
            <w:gridSpan w:val="32"/>
          </w:tcPr>
          <w:p>
            <w:pPr>
              <w:spacing w:after="0" w:line="150" w:lineRule="exact"/>
              <w:rPr>
                <w:rFonts w:ascii="Arial" w:cs="Arial" w:eastAsia="Arial" w:hAnsi="Arial"/>
                <w:sz w:val="14"/>
                <w:szCs w:val="14"/>
                <w:color w:val="0000FF"/>
              </w:rPr>
            </w:pPr>
            <w:hyperlink r:id="rId205">
              <w:r>
                <w:rPr>
                  <w:rFonts w:ascii="Arial" w:cs="Arial" w:eastAsia="Arial" w:hAnsi="Arial"/>
                  <w:sz w:val="14"/>
                  <w:szCs w:val="14"/>
                  <w:color w:val="0000FF"/>
                </w:rPr>
                <w:t>38672) filed with the SEC on February 11, 2025).</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10.29†</w:t>
            </w:r>
          </w:p>
        </w:tc>
        <w:tc>
          <w:tcPr>
            <w:tcW w:w="168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300" w:type="dxa"/>
            <w:vAlign w:val="bottom"/>
            <w:tcBorders>
              <w:left w:val="single" w:sz="8" w:color="0000FF"/>
            </w:tcBorders>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40" w:type="dxa"/>
            <w:vAlign w:val="bottom"/>
            <w:vMerge w:val="continue"/>
          </w:tcPr>
          <w:p>
            <w:pPr>
              <w:spacing w:after="0"/>
              <w:rPr>
                <w:sz w:val="20"/>
                <w:szCs w:val="20"/>
                <w:color w:val="auto"/>
              </w:rPr>
            </w:pPr>
          </w:p>
        </w:tc>
        <w:tc>
          <w:tcPr>
            <w:tcW w:w="10040" w:type="dxa"/>
            <w:vAlign w:val="bottom"/>
            <w:gridSpan w:val="32"/>
          </w:tcPr>
          <w:p>
            <w:pPr>
              <w:spacing w:after="0"/>
              <w:rPr>
                <w:rFonts w:ascii="Arial" w:cs="Arial" w:eastAsia="Arial" w:hAnsi="Arial"/>
                <w:sz w:val="14"/>
                <w:szCs w:val="14"/>
                <w:color w:val="0000FF"/>
              </w:rPr>
            </w:pPr>
            <w:hyperlink r:id="rId206">
              <w:r>
                <w:rPr>
                  <w:rFonts w:ascii="Arial" w:cs="Arial" w:eastAsia="Arial" w:hAnsi="Arial"/>
                  <w:sz w:val="14"/>
                  <w:szCs w:val="14"/>
                  <w:color w:val="0000FF"/>
                </w:rPr>
                <w:t>Amended and Restated License Agreement between Yale University and Arvinas Operations, Inc. (formerly Arvinas, Inc.), dated June</w:t>
              </w:r>
            </w:hyperlink>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8320" w:type="dxa"/>
            <w:vAlign w:val="bottom"/>
            <w:tcBorders>
              <w:top w:val="single" w:sz="8" w:color="0000FF"/>
              <w:bottom w:val="single" w:sz="8" w:color="0000FF"/>
            </w:tcBorders>
            <w:gridSpan w:val="29"/>
          </w:tcPr>
          <w:p>
            <w:pPr>
              <w:spacing w:after="0" w:line="139" w:lineRule="exact"/>
              <w:rPr>
                <w:rFonts w:ascii="Arial" w:cs="Arial" w:eastAsia="Arial" w:hAnsi="Arial"/>
                <w:sz w:val="14"/>
                <w:szCs w:val="14"/>
                <w:color w:val="0000FF"/>
              </w:rPr>
            </w:pPr>
            <w:hyperlink r:id="rId206">
              <w:r>
                <w:rPr>
                  <w:rFonts w:ascii="Arial" w:cs="Arial" w:eastAsia="Arial" w:hAnsi="Arial"/>
                  <w:sz w:val="14"/>
                  <w:szCs w:val="14"/>
                  <w:color w:val="0000FF"/>
                </w:rPr>
                <w:t>18, 2024 (incorporated by reference to Exhibit 10.6 to the Registrant’s Quarterly Report on Form 10-Q (File No. 001-36874) filed with</w:t>
              </w:r>
            </w:hyperlink>
          </w:p>
        </w:tc>
        <w:tc>
          <w:tcPr>
            <w:tcW w:w="40" w:type="dxa"/>
            <w:vAlign w:val="bottom"/>
            <w:tcBorders>
              <w:top w:val="single" w:sz="8" w:color="0000FF"/>
            </w:tcBorders>
            <w:gridSpan w:val="2"/>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0040" w:type="dxa"/>
            <w:vAlign w:val="bottom"/>
            <w:gridSpan w:val="32"/>
          </w:tcPr>
          <w:p>
            <w:pPr>
              <w:spacing w:after="0" w:line="150" w:lineRule="exact"/>
              <w:rPr>
                <w:rFonts w:ascii="Arial" w:cs="Arial" w:eastAsia="Arial" w:hAnsi="Arial"/>
                <w:sz w:val="14"/>
                <w:szCs w:val="14"/>
                <w:color w:val="0000FF"/>
              </w:rPr>
            </w:pPr>
            <w:hyperlink r:id="rId206">
              <w:r>
                <w:rPr>
                  <w:rFonts w:ascii="Arial" w:cs="Arial" w:eastAsia="Arial" w:hAnsi="Arial"/>
                  <w:sz w:val="14"/>
                  <w:szCs w:val="14"/>
                  <w:color w:val="0000FF"/>
                </w:rPr>
                <w:t>the SEC on July 30, 2024).</w:t>
              </w:r>
            </w:hyperlink>
          </w:p>
        </w:tc>
        <w:tc>
          <w:tcPr>
            <w:tcW w:w="0" w:type="dxa"/>
            <w:vAlign w:val="bottom"/>
          </w:tcPr>
          <w:p>
            <w:pPr>
              <w:spacing w:after="0"/>
              <w:rPr>
                <w:sz w:val="1"/>
                <w:szCs w:val="1"/>
                <w:color w:val="auto"/>
              </w:rPr>
            </w:pPr>
          </w:p>
        </w:tc>
      </w:tr>
      <w:tr>
        <w:trPr>
          <w:trHeight w:val="777"/>
        </w:trPr>
        <w:tc>
          <w:tcPr>
            <w:tcW w:w="1240" w:type="dxa"/>
            <w:vAlign w:val="bottom"/>
          </w:tcPr>
          <w:p>
            <w:pPr>
              <w:spacing w:after="0"/>
              <w:rPr>
                <w:sz w:val="24"/>
                <w:szCs w:val="24"/>
                <w:color w:val="auto"/>
              </w:rPr>
            </w:pPr>
          </w:p>
        </w:tc>
        <w:tc>
          <w:tcPr>
            <w:tcW w:w="1680" w:type="dxa"/>
            <w:vAlign w:val="bottom"/>
            <w:tcBorders>
              <w:top w:val="single" w:sz="8" w:color="0000FF"/>
            </w:tcBorders>
            <w:gridSpan w:val="7"/>
          </w:tcPr>
          <w:p>
            <w:pPr>
              <w:spacing w:after="0"/>
              <w:rPr>
                <w:sz w:val="24"/>
                <w:szCs w:val="24"/>
                <w:color w:val="auto"/>
              </w:rPr>
            </w:pPr>
          </w:p>
        </w:tc>
        <w:tc>
          <w:tcPr>
            <w:tcW w:w="6280" w:type="dxa"/>
            <w:vAlign w:val="bottom"/>
            <w:gridSpan w:val="9"/>
          </w:tcPr>
          <w:p>
            <w:pPr>
              <w:jc w:val="right"/>
              <w:ind w:right="3440"/>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2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-2128520</wp:posOffset>
            </wp:positionV>
            <wp:extent cx="26670" cy="1009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26670" cy="10096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-1804670</wp:posOffset>
            </wp:positionV>
            <wp:extent cx="26670" cy="1009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26670" cy="100965"/>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-1804670</wp:posOffset>
            </wp:positionV>
            <wp:extent cx="2499360" cy="1009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2499360" cy="10096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-1393825</wp:posOffset>
            </wp:positionV>
            <wp:extent cx="2476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4"/>
          <w:szCs w:val="14"/>
          <w:color w:val="auto"/>
        </w:rPr>
        <w:t>10.30†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10.31†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10.32†</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10.33†</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10.34†</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10.35†</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10.36†</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10.37†</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10.38</w:t>
      </w:r>
    </w:p>
    <w:p>
      <w:pPr>
        <w:spacing w:after="0" w:line="20" w:lineRule="exact"/>
        <w:rPr>
          <w:sz w:val="20"/>
          <w:szCs w:val="20"/>
          <w:color w:val="auto"/>
        </w:rPr>
      </w:pPr>
      <w:r>
        <w:rPr>
          <w:sz w:val="20"/>
          <w:szCs w:val="20"/>
          <w:color w:val="auto"/>
        </w:rPr>
        <w:br w:type="column"/>
      </w:r>
    </w:p>
    <w:p>
      <w:pPr>
        <w:ind w:right="659"/>
        <w:spacing w:after="0" w:line="263" w:lineRule="auto"/>
        <w:rPr>
          <w:rFonts w:ascii="Arial" w:cs="Arial" w:eastAsia="Arial" w:hAnsi="Arial"/>
          <w:sz w:val="14"/>
          <w:szCs w:val="14"/>
          <w:u w:val="single" w:color="auto"/>
          <w:color w:val="0000FF"/>
        </w:rPr>
      </w:pPr>
      <w:hyperlink r:id="rId213">
        <w:r>
          <w:rPr>
            <w:rFonts w:ascii="Arial" w:cs="Arial" w:eastAsia="Arial" w:hAnsi="Arial"/>
            <w:sz w:val="14"/>
            <w:szCs w:val="14"/>
            <w:u w:val="single" w:color="auto"/>
            <w:color w:val="0000FF"/>
          </w:rPr>
          <w:t>Amended and Restated License and Option Agreement among Genentech, Inc., F. Hoffmann-La Roche Ltd and Arvinas Operations,</w:t>
        </w:r>
      </w:hyperlink>
      <w:r>
        <w:rPr>
          <w:rFonts w:ascii="Arial" w:cs="Arial" w:eastAsia="Arial" w:hAnsi="Arial"/>
          <w:sz w:val="14"/>
          <w:szCs w:val="14"/>
          <w:u w:val="single" w:color="auto"/>
          <w:color w:val="0000FF"/>
        </w:rPr>
        <w:t xml:space="preserve"> </w:t>
      </w:r>
      <w:hyperlink r:id="rId213">
        <w:r>
          <w:rPr>
            <w:rFonts w:ascii="Arial" w:cs="Arial" w:eastAsia="Arial" w:hAnsi="Arial"/>
            <w:sz w:val="14"/>
            <w:szCs w:val="14"/>
            <w:u w:val="single" w:color="auto"/>
            <w:color w:val="0000FF"/>
          </w:rPr>
          <w:t>Inc. (formerly Arvinas, Inc.), dated November 8, 2017 (incorporated by reference to Exhibit 10.16 to the Registrant’s Registration</w:t>
        </w:r>
      </w:hyperlink>
      <w:r>
        <w:rPr>
          <w:rFonts w:ascii="Arial" w:cs="Arial" w:eastAsia="Arial" w:hAnsi="Arial"/>
          <w:sz w:val="14"/>
          <w:szCs w:val="14"/>
          <w:u w:val="single" w:color="auto"/>
          <w:color w:val="0000FF"/>
        </w:rPr>
        <w:t xml:space="preserve"> </w:t>
      </w:r>
      <w:hyperlink r:id="rId213">
        <w:r>
          <w:rPr>
            <w:rFonts w:ascii="Arial" w:cs="Arial" w:eastAsia="Arial" w:hAnsi="Arial"/>
            <w:sz w:val="14"/>
            <w:szCs w:val="14"/>
            <w:u w:val="single" w:color="auto"/>
            <w:color w:val="0000FF"/>
          </w:rPr>
          <w:t>Statement on Form S-1/A (File No. 333-227112) filed with the SEC on September 14, 2018)</w:t>
        </w:r>
        <w:r>
          <w:rPr>
            <w:rFonts w:ascii="Arial" w:cs="Arial" w:eastAsia="Arial" w:hAnsi="Arial"/>
            <w:sz w:val="14"/>
            <w:szCs w:val="14"/>
            <w:u w:val="single" w:color="auto"/>
            <w:color w:val="0000FF"/>
            <w:highlight w:val="white"/>
          </w:rPr>
          <w:t>.</w:t>
        </w:r>
      </w:hyperlink>
    </w:p>
    <w:p>
      <w:pPr>
        <w:spacing w:after="0" w:line="54" w:lineRule="exact"/>
        <w:rPr>
          <w:rFonts w:ascii="Arial" w:cs="Arial" w:eastAsia="Arial" w:hAnsi="Arial"/>
          <w:sz w:val="14"/>
          <w:szCs w:val="14"/>
          <w:u w:val="single" w:color="auto"/>
          <w:color w:val="0000FF"/>
        </w:rPr>
      </w:pPr>
    </w:p>
    <w:p>
      <w:pPr>
        <w:ind w:right="779"/>
        <w:spacing w:after="0" w:line="263" w:lineRule="auto"/>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Research Collaboration and License Agreement between Pfizer Inc. and Arvinas Operations, Inc. (formerly Arvinas, Inc.), dated</w:t>
        </w:r>
      </w:hyperlink>
      <w:r>
        <w:rPr>
          <w:rFonts w:ascii="Arial" w:cs="Arial" w:eastAsia="Arial" w:hAnsi="Arial"/>
          <w:sz w:val="14"/>
          <w:szCs w:val="14"/>
          <w:u w:val="single" w:color="auto"/>
          <w:color w:val="0000FF"/>
        </w:rPr>
        <w:t xml:space="preserve"> </w:t>
      </w:r>
      <w:hyperlink r:id="rId214">
        <w:r>
          <w:rPr>
            <w:rFonts w:ascii="Arial" w:cs="Arial" w:eastAsia="Arial" w:hAnsi="Arial"/>
            <w:sz w:val="14"/>
            <w:szCs w:val="14"/>
            <w:u w:val="single" w:color="auto"/>
            <w:color w:val="0000FF"/>
          </w:rPr>
          <w:t>December 22, 2017 (incorporated by reference to Exhibit 10.17 to the Registrant’s Registration Statement on Form S-1/A (File No.</w:t>
        </w:r>
      </w:hyperlink>
      <w:r>
        <w:rPr>
          <w:rFonts w:ascii="Arial" w:cs="Arial" w:eastAsia="Arial" w:hAnsi="Arial"/>
          <w:sz w:val="14"/>
          <w:szCs w:val="14"/>
          <w:u w:val="single" w:color="auto"/>
          <w:color w:val="0000FF"/>
        </w:rPr>
        <w:t xml:space="preserve"> </w:t>
      </w:r>
      <w:hyperlink r:id="rId214">
        <w:r>
          <w:rPr>
            <w:rFonts w:ascii="Arial" w:cs="Arial" w:eastAsia="Arial" w:hAnsi="Arial"/>
            <w:sz w:val="14"/>
            <w:szCs w:val="14"/>
            <w:u w:val="single" w:color="auto"/>
            <w:color w:val="0000FF"/>
          </w:rPr>
          <w:t>333-227112) filed with the SEC on September 14, 2018)</w:t>
        </w:r>
        <w:r>
          <w:rPr>
            <w:rFonts w:ascii="Arial" w:cs="Arial" w:eastAsia="Arial" w:hAnsi="Arial"/>
            <w:sz w:val="14"/>
            <w:szCs w:val="14"/>
            <w:u w:val="single" w:color="auto"/>
            <w:color w:val="0000FF"/>
            <w:highlight w:val="white"/>
          </w:rPr>
          <w:t>.</w:t>
        </w:r>
      </w:hyperlink>
    </w:p>
    <w:p>
      <w:pPr>
        <w:spacing w:after="0" w:line="44" w:lineRule="exact"/>
        <w:rPr>
          <w:rFonts w:ascii="Arial" w:cs="Arial" w:eastAsia="Arial" w:hAnsi="Arial"/>
          <w:sz w:val="14"/>
          <w:szCs w:val="14"/>
          <w:u w:val="single" w:color="auto"/>
          <w:color w:val="0000FF"/>
        </w:rPr>
      </w:pPr>
    </w:p>
    <w:p>
      <w:pPr>
        <w:ind w:right="719"/>
        <w:spacing w:after="0" w:line="223" w:lineRule="auto"/>
        <w:rPr>
          <w:rFonts w:ascii="Arial" w:cs="Arial" w:eastAsia="Arial" w:hAnsi="Arial"/>
          <w:sz w:val="14"/>
          <w:szCs w:val="14"/>
          <w:u w:val="single" w:color="auto"/>
          <w:color w:val="0000FF"/>
        </w:rPr>
      </w:pPr>
      <w:hyperlink r:id="rId215">
        <w:r>
          <w:rPr>
            <w:rFonts w:ascii="Arial" w:cs="Arial" w:eastAsia="Arial" w:hAnsi="Arial"/>
            <w:sz w:val="14"/>
            <w:szCs w:val="14"/>
            <w:u w:val="single" w:color="auto"/>
            <w:color w:val="0000FF"/>
          </w:rPr>
          <w:t>Amendment No. 1 to Research Collaboration and License Agreement between Pfizer Inc. and Arvinas Operations, Inc. (formerly</w:t>
        </w:r>
      </w:hyperlink>
      <w:r>
        <w:rPr>
          <w:rFonts w:ascii="Arial" w:cs="Arial" w:eastAsia="Arial" w:hAnsi="Arial"/>
          <w:sz w:val="14"/>
          <w:szCs w:val="14"/>
          <w:u w:val="single" w:color="auto"/>
          <w:color w:val="0000FF"/>
        </w:rPr>
        <w:t xml:space="preserve"> </w:t>
      </w:r>
      <w:hyperlink r:id="rId215">
        <w:r>
          <w:rPr>
            <w:rFonts w:ascii="Arial" w:cs="Arial" w:eastAsia="Arial" w:hAnsi="Arial"/>
            <w:sz w:val="14"/>
            <w:szCs w:val="14"/>
            <w:u w:val="single" w:color="auto"/>
            <w:color w:val="0000FF"/>
          </w:rPr>
          <w:t>Arvinas, Inc.), dated December 9, 2019 (incorporated by reference to Exhibit 10.24 to the Registrant’s Annual Report on Form 10-K</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15">
        <w:r>
          <w:rPr>
            <w:rFonts w:ascii="Arial" w:cs="Arial" w:eastAsia="Arial" w:hAnsi="Arial"/>
            <w:sz w:val="14"/>
            <w:szCs w:val="14"/>
            <w:u w:val="single" w:color="auto"/>
            <w:color w:val="0000FF"/>
          </w:rPr>
          <w:t>(File No. 001-38672) filed with the SEC on March 16, 2020).</w:t>
        </w:r>
      </w:hyperlink>
    </w:p>
    <w:p>
      <w:pPr>
        <w:spacing w:after="0" w:line="80" w:lineRule="exact"/>
        <w:rPr>
          <w:sz w:val="20"/>
          <w:szCs w:val="20"/>
          <w:color w:val="auto"/>
        </w:rPr>
      </w:pPr>
    </w:p>
    <w:p>
      <w:pPr>
        <w:ind w:right="719"/>
        <w:spacing w:after="0" w:line="223" w:lineRule="auto"/>
        <w:rPr>
          <w:rFonts w:ascii="Arial" w:cs="Arial" w:eastAsia="Arial" w:hAnsi="Arial"/>
          <w:sz w:val="14"/>
          <w:szCs w:val="14"/>
          <w:u w:val="single" w:color="auto"/>
          <w:color w:val="0000FF"/>
        </w:rPr>
      </w:pPr>
      <w:hyperlink r:id="rId216">
        <w:r>
          <w:rPr>
            <w:rFonts w:ascii="Arial" w:cs="Arial" w:eastAsia="Arial" w:hAnsi="Arial"/>
            <w:sz w:val="14"/>
            <w:szCs w:val="14"/>
            <w:u w:val="single" w:color="auto"/>
            <w:color w:val="0000FF"/>
          </w:rPr>
          <w:t>Amendment No. 2 to Research Collaboration and License Agreement between Pfizer Inc. and Arvinas Operations, Inc. (formerly</w:t>
        </w:r>
      </w:hyperlink>
      <w:r>
        <w:rPr>
          <w:rFonts w:ascii="Arial" w:cs="Arial" w:eastAsia="Arial" w:hAnsi="Arial"/>
          <w:sz w:val="14"/>
          <w:szCs w:val="14"/>
          <w:u w:val="single" w:color="auto"/>
          <w:color w:val="0000FF"/>
        </w:rPr>
        <w:t xml:space="preserve"> </w:t>
      </w:r>
      <w:hyperlink r:id="rId216">
        <w:r>
          <w:rPr>
            <w:rFonts w:ascii="Arial" w:cs="Arial" w:eastAsia="Arial" w:hAnsi="Arial"/>
            <w:sz w:val="14"/>
            <w:szCs w:val="14"/>
            <w:u w:val="single" w:color="auto"/>
            <w:color w:val="0000FF"/>
          </w:rPr>
          <w:t>Arvinas, Inc.), dated January 14, 2022 (incorporated by reference to Exhibit 10.1 to the Registrant’s Quarterly Report on Form 10-Q</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16">
        <w:r>
          <w:rPr>
            <w:rFonts w:ascii="Arial" w:cs="Arial" w:eastAsia="Arial" w:hAnsi="Arial"/>
            <w:sz w:val="14"/>
            <w:szCs w:val="14"/>
            <w:u w:val="single" w:color="auto"/>
            <w:color w:val="0000FF"/>
          </w:rPr>
          <w:t>(File No. 001-38672) filed with the SEC on May 5, 2022).</w:t>
        </w:r>
      </w:hyperlink>
    </w:p>
    <w:p>
      <w:pPr>
        <w:spacing w:after="0" w:line="48" w:lineRule="exact"/>
        <w:rPr>
          <w:sz w:val="20"/>
          <w:szCs w:val="20"/>
          <w:color w:val="auto"/>
        </w:rPr>
      </w:pPr>
    </w:p>
    <w:p>
      <w:pPr>
        <w:ind w:right="639"/>
        <w:spacing w:after="0" w:line="223" w:lineRule="auto"/>
        <w:rPr>
          <w:rFonts w:ascii="Arial" w:cs="Arial" w:eastAsia="Arial" w:hAnsi="Arial"/>
          <w:sz w:val="14"/>
          <w:szCs w:val="14"/>
          <w:u w:val="single" w:color="auto"/>
          <w:color w:val="0000FF"/>
        </w:rPr>
      </w:pPr>
      <w:hyperlink r:id="rId217">
        <w:r>
          <w:rPr>
            <w:rFonts w:ascii="Arial" w:cs="Arial" w:eastAsia="Arial" w:hAnsi="Arial"/>
            <w:sz w:val="14"/>
            <w:szCs w:val="14"/>
            <w:u w:val="single" w:color="auto"/>
            <w:color w:val="0000FF"/>
          </w:rPr>
          <w:t>Amendment No. 3 to Research Collaboration and License Agreement between Pfizer Inc. and Arvinas Operations, Inc (formerly</w:t>
        </w:r>
      </w:hyperlink>
      <w:r>
        <w:rPr>
          <w:rFonts w:ascii="Arial" w:cs="Arial" w:eastAsia="Arial" w:hAnsi="Arial"/>
          <w:sz w:val="14"/>
          <w:szCs w:val="14"/>
          <w:u w:val="single" w:color="auto"/>
          <w:color w:val="0000FF"/>
        </w:rPr>
        <w:t xml:space="preserve"> </w:t>
      </w:r>
      <w:hyperlink r:id="rId217">
        <w:r>
          <w:rPr>
            <w:rFonts w:ascii="Arial" w:cs="Arial" w:eastAsia="Arial" w:hAnsi="Arial"/>
            <w:sz w:val="14"/>
            <w:szCs w:val="14"/>
            <w:u w:val="single" w:color="auto"/>
            <w:color w:val="0000FF"/>
          </w:rPr>
          <w:t>Arvinas, Inc.), dated December 21, 2022 (incorporated by reference to Exhibit 10.32 to the Registrant’s Annual Report on Form 10-K</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17">
        <w:r>
          <w:rPr>
            <w:rFonts w:ascii="Arial" w:cs="Arial" w:eastAsia="Arial" w:hAnsi="Arial"/>
            <w:sz w:val="14"/>
            <w:szCs w:val="14"/>
            <w:u w:val="single" w:color="auto"/>
            <w:color w:val="0000FF"/>
          </w:rPr>
          <w:t>(File No. 001-38672) filed with the SEC on February 23, 2023)</w:t>
        </w:r>
      </w:hyperlink>
    </w:p>
    <w:p>
      <w:pPr>
        <w:spacing w:after="0" w:line="48" w:lineRule="exact"/>
        <w:rPr>
          <w:sz w:val="20"/>
          <w:szCs w:val="20"/>
          <w:color w:val="auto"/>
        </w:rPr>
      </w:pPr>
    </w:p>
    <w:p>
      <w:pPr>
        <w:ind w:right="739"/>
        <w:spacing w:after="0" w:line="223" w:lineRule="auto"/>
        <w:rPr>
          <w:rFonts w:ascii="Arial" w:cs="Arial" w:eastAsia="Arial" w:hAnsi="Arial"/>
          <w:sz w:val="14"/>
          <w:szCs w:val="14"/>
          <w:u w:val="single" w:color="auto"/>
          <w:color w:val="0000FF"/>
        </w:rPr>
      </w:pPr>
      <w:hyperlink r:id="rId218">
        <w:r>
          <w:rPr>
            <w:rFonts w:ascii="Arial" w:cs="Arial" w:eastAsia="Arial" w:hAnsi="Arial"/>
            <w:sz w:val="14"/>
            <w:szCs w:val="14"/>
            <w:u w:val="single" w:color="auto"/>
            <w:color w:val="0000FF"/>
          </w:rPr>
          <w:t>Collaboration Agreement by and between Arvinas, Inc., Arvinas Operations, Inc., Arvinas Estrogen Receptor, Inc. and Pfizer, Inc.,</w:t>
        </w:r>
      </w:hyperlink>
      <w:r>
        <w:rPr>
          <w:rFonts w:ascii="Arial" w:cs="Arial" w:eastAsia="Arial" w:hAnsi="Arial"/>
          <w:sz w:val="14"/>
          <w:szCs w:val="14"/>
          <w:u w:val="single" w:color="auto"/>
          <w:color w:val="0000FF"/>
        </w:rPr>
        <w:t xml:space="preserve"> </w:t>
      </w:r>
      <w:hyperlink r:id="rId218">
        <w:r>
          <w:rPr>
            <w:rFonts w:ascii="Arial" w:cs="Arial" w:eastAsia="Arial" w:hAnsi="Arial"/>
            <w:sz w:val="14"/>
            <w:szCs w:val="14"/>
            <w:u w:val="single" w:color="auto"/>
            <w:color w:val="0000FF"/>
          </w:rPr>
          <w:t>dated July 21, 2021 (incorporated by reference to Exhibit 10.1 to the Registrant's Current Report on Form 8-K (File No. 001-38672)</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18">
        <w:r>
          <w:rPr>
            <w:rFonts w:ascii="Arial" w:cs="Arial" w:eastAsia="Arial" w:hAnsi="Arial"/>
            <w:sz w:val="14"/>
            <w:szCs w:val="14"/>
            <w:u w:val="single" w:color="auto"/>
            <w:color w:val="0000FF"/>
          </w:rPr>
          <w:t>filed with the SEC on July 22, 2021)</w:t>
        </w:r>
      </w:hyperlink>
    </w:p>
    <w:p>
      <w:pPr>
        <w:spacing w:after="0" w:line="48" w:lineRule="exact"/>
        <w:rPr>
          <w:sz w:val="20"/>
          <w:szCs w:val="20"/>
          <w:color w:val="auto"/>
        </w:rPr>
      </w:pPr>
    </w:p>
    <w:p>
      <w:pPr>
        <w:ind w:right="699"/>
        <w:spacing w:after="0" w:line="242" w:lineRule="auto"/>
        <w:rPr>
          <w:rFonts w:ascii="Arial" w:cs="Arial" w:eastAsia="Arial" w:hAnsi="Arial"/>
          <w:sz w:val="14"/>
          <w:szCs w:val="14"/>
          <w:u w:val="single" w:color="auto"/>
          <w:color w:val="0000FF"/>
          <w:highlight w:val="white"/>
        </w:rPr>
      </w:pPr>
      <w:hyperlink r:id="rId219">
        <w:r>
          <w:rPr>
            <w:rFonts w:ascii="Arial" w:cs="Arial" w:eastAsia="Arial" w:hAnsi="Arial"/>
            <w:sz w:val="14"/>
            <w:szCs w:val="14"/>
            <w:color w:val="0000FF"/>
          </w:rPr>
          <w:t>Stock Purchase Agreement, dated July 21, 2021, by and between Arvinas, Inc. and Pfizer, Inc. (incorporated b</w:t>
        </w:r>
        <w:r>
          <w:rPr>
            <w:rFonts w:ascii="Arial" w:cs="Arial" w:eastAsia="Arial" w:hAnsi="Arial"/>
            <w:sz w:val="14"/>
            <w:szCs w:val="14"/>
            <w:u w:val="single" w:color="auto"/>
            <w:color w:val="0000FF"/>
          </w:rPr>
          <w:t>y reference to Exhibit</w:t>
        </w:r>
      </w:hyperlink>
      <w:r>
        <w:rPr>
          <w:rFonts w:ascii="Arial" w:cs="Arial" w:eastAsia="Arial" w:hAnsi="Arial"/>
          <w:sz w:val="14"/>
          <w:szCs w:val="14"/>
          <w:color w:val="0000FF"/>
        </w:rPr>
        <w:t xml:space="preserve"> </w:t>
      </w:r>
      <w:hyperlink r:id="rId219">
        <w:r>
          <w:rPr>
            <w:rFonts w:ascii="Arial" w:cs="Arial" w:eastAsia="Arial" w:hAnsi="Arial"/>
            <w:sz w:val="14"/>
            <w:szCs w:val="14"/>
            <w:u w:val="single" w:color="auto"/>
            <w:color w:val="0000FF"/>
            <w:highlight w:val="white"/>
          </w:rPr>
          <w:t>10.2 to the Registrant's Current Report on Form 8-K (File No. 001-38672) filed with the SEC on July 22, 2021).</w:t>
        </w:r>
      </w:hyperlink>
    </w:p>
    <w:p>
      <w:pPr>
        <w:spacing w:after="0" w:line="47" w:lineRule="exact"/>
        <w:rPr>
          <w:sz w:val="20"/>
          <w:szCs w:val="20"/>
          <w:color w:val="auto"/>
        </w:rPr>
      </w:pPr>
    </w:p>
    <w:p>
      <w:pPr>
        <w:ind w:right="719"/>
        <w:spacing w:after="0" w:line="242" w:lineRule="auto"/>
        <w:rPr>
          <w:rFonts w:ascii="Arial" w:cs="Arial" w:eastAsia="Arial" w:hAnsi="Arial"/>
          <w:sz w:val="14"/>
          <w:szCs w:val="14"/>
          <w:u w:val="single" w:color="auto"/>
          <w:color w:val="0000FF"/>
          <w:highlight w:val="white"/>
        </w:rPr>
      </w:pPr>
      <w:hyperlink r:id="rId220">
        <w:r>
          <w:rPr>
            <w:rFonts w:ascii="Arial" w:cs="Arial" w:eastAsia="Arial" w:hAnsi="Arial"/>
            <w:sz w:val="14"/>
            <w:szCs w:val="14"/>
            <w:color w:val="0000FF"/>
          </w:rPr>
          <w:t>Investor Agreement, dated July 21, 2021, by and between Arvinas, Inc. and Pfizer, Inc. (incorporated b</w:t>
        </w:r>
        <w:r>
          <w:rPr>
            <w:rFonts w:ascii="Arial" w:cs="Arial" w:eastAsia="Arial" w:hAnsi="Arial"/>
            <w:sz w:val="14"/>
            <w:szCs w:val="14"/>
            <w:u w:val="single" w:color="auto"/>
            <w:color w:val="0000FF"/>
          </w:rPr>
          <w:t>y reference to Exhibit 10.3 to</w:t>
        </w:r>
      </w:hyperlink>
      <w:r>
        <w:rPr>
          <w:rFonts w:ascii="Arial" w:cs="Arial" w:eastAsia="Arial" w:hAnsi="Arial"/>
          <w:sz w:val="14"/>
          <w:szCs w:val="14"/>
          <w:color w:val="0000FF"/>
        </w:rPr>
        <w:t xml:space="preserve"> </w:t>
      </w:r>
      <w:hyperlink r:id="rId220">
        <w:r>
          <w:rPr>
            <w:rFonts w:ascii="Arial" w:cs="Arial" w:eastAsia="Arial" w:hAnsi="Arial"/>
            <w:sz w:val="14"/>
            <w:szCs w:val="14"/>
            <w:u w:val="single" w:color="auto"/>
            <w:color w:val="0000FF"/>
            <w:highlight w:val="white"/>
          </w:rPr>
          <w:t>the Registrant's Current Report on Form 8-K (File No. 001-38672) filed with the SEC on July 22, 2021).</w:t>
        </w:r>
      </w:hyperlink>
    </w:p>
    <w:p>
      <w:pPr>
        <w:spacing w:after="0" w:line="38" w:lineRule="exact"/>
        <w:rPr>
          <w:sz w:val="20"/>
          <w:szCs w:val="20"/>
          <w:color w:val="auto"/>
        </w:rPr>
      </w:pPr>
    </w:p>
    <w:p>
      <w:pPr>
        <w:spacing w:after="0"/>
        <w:rPr>
          <w:rFonts w:ascii="Arial" w:cs="Arial" w:eastAsia="Arial" w:hAnsi="Arial"/>
          <w:sz w:val="14"/>
          <w:szCs w:val="14"/>
          <w:u w:val="single" w:color="auto"/>
          <w:color w:val="0000FF"/>
        </w:rPr>
      </w:pPr>
      <w:hyperlink r:id="rId221">
        <w:r>
          <w:rPr>
            <w:rFonts w:ascii="Arial" w:cs="Arial" w:eastAsia="Arial" w:hAnsi="Arial"/>
            <w:sz w:val="14"/>
            <w:szCs w:val="14"/>
            <w:u w:val="single" w:color="auto"/>
            <w:color w:val="0000FF"/>
          </w:rPr>
          <w:t>Amended and Restated Equity Distribution Agreement, dated November 7, 2023, by and among Arvinas, Inc., Piper Sandler &amp; Co.</w:t>
        </w:r>
      </w:hyperlink>
    </w:p>
    <w:p>
      <w:pPr>
        <w:spacing w:after="0" w:line="221" w:lineRule="auto"/>
        <w:rPr>
          <w:rFonts w:ascii="Arial" w:cs="Arial" w:eastAsia="Arial" w:hAnsi="Arial"/>
          <w:sz w:val="14"/>
          <w:szCs w:val="14"/>
          <w:u w:val="single" w:color="auto"/>
          <w:color w:val="0000FF"/>
        </w:rPr>
      </w:pPr>
      <w:hyperlink r:id="rId221">
        <w:r>
          <w:rPr>
            <w:rFonts w:ascii="Arial" w:cs="Arial" w:eastAsia="Arial" w:hAnsi="Arial"/>
            <w:sz w:val="14"/>
            <w:szCs w:val="14"/>
            <w:u w:val="single" w:color="auto"/>
            <w:color w:val="0000FF"/>
          </w:rPr>
          <w:t>and Cantor Fitzgerald &amp; Co. (incorporated by reference to Exhibit 1.2 to the Registrant's Registration Statement on Form S-3 (File No.</w:t>
        </w:r>
      </w:hyperlink>
    </w:p>
    <w:p>
      <w:pPr>
        <w:spacing w:after="0"/>
        <w:rPr>
          <w:rFonts w:ascii="Arial" w:cs="Arial" w:eastAsia="Arial" w:hAnsi="Arial"/>
          <w:sz w:val="14"/>
          <w:szCs w:val="14"/>
          <w:u w:val="single" w:color="auto"/>
          <w:color w:val="0000FF"/>
        </w:rPr>
      </w:pPr>
      <w:hyperlink r:id="rId221">
        <w:r>
          <w:rPr>
            <w:rFonts w:ascii="Arial" w:cs="Arial" w:eastAsia="Arial" w:hAnsi="Arial"/>
            <w:sz w:val="14"/>
            <w:szCs w:val="14"/>
            <w:u w:val="single" w:color="auto"/>
            <w:color w:val="0000FF"/>
          </w:rPr>
          <w:t>333-275377) filed with the SEC on November 7, 2023).</w:t>
        </w:r>
      </w:hyperlink>
    </w:p>
    <w:p>
      <w:pPr>
        <w:spacing w:after="0" w:line="39" w:lineRule="exact"/>
        <w:rPr>
          <w:sz w:val="20"/>
          <w:szCs w:val="20"/>
          <w:color w:val="auto"/>
        </w:rPr>
      </w:pPr>
    </w:p>
    <w:p>
      <w:pPr>
        <w:sectPr>
          <w:pgSz w:w="11900" w:h="16838" w:orient="portrait"/>
          <w:cols w:equalWidth="0" w:num="2">
            <w:col w:w="440" w:space="700"/>
            <w:col w:w="8919"/>
          </w:cols>
          <w:pgMar w:left="400" w:top="973" w:right="1440" w:bottom="1440" w:gutter="0" w:footer="0" w:header="0"/>
        </w:sect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709"/>
              <w:spacing w:after="0"/>
              <w:rPr>
                <w:sz w:val="20"/>
                <w:szCs w:val="20"/>
                <w:color w:val="auto"/>
              </w:rPr>
            </w:pPr>
            <w:r>
              <w:rPr>
                <w:rFonts w:ascii="Arial" w:cs="Arial" w:eastAsia="Arial" w:hAnsi="Arial"/>
                <w:sz w:val="14"/>
                <w:szCs w:val="14"/>
                <w:color w:val="auto"/>
                <w:w w:val="96"/>
              </w:rPr>
              <w:t>10.39</w:t>
            </w:r>
          </w:p>
        </w:tc>
        <w:tc>
          <w:tcPr>
            <w:tcW w:w="8320" w:type="dxa"/>
            <w:vAlign w:val="bottom"/>
            <w:gridSpan w:val="2"/>
          </w:tcPr>
          <w:p>
            <w:pPr>
              <w:spacing w:after="0"/>
              <w:rPr>
                <w:rFonts w:ascii="Arial" w:cs="Arial" w:eastAsia="Arial" w:hAnsi="Arial"/>
                <w:sz w:val="14"/>
                <w:szCs w:val="14"/>
                <w:color w:val="0000FF"/>
              </w:rPr>
            </w:pPr>
            <w:hyperlink r:id="rId222">
              <w:r>
                <w:rPr>
                  <w:rFonts w:ascii="Arial" w:cs="Arial" w:eastAsia="Arial" w:hAnsi="Arial"/>
                  <w:sz w:val="14"/>
                  <w:szCs w:val="14"/>
                  <w:color w:val="0000FF"/>
                </w:rPr>
                <w:t>Securities Purchase Agreement, dated November 24, 2023, by and among the Company and the other parties thereto (incorporated</w:t>
              </w:r>
            </w:hyperlink>
          </w:p>
        </w:tc>
      </w:tr>
      <w:tr>
        <w:trPr>
          <w:trHeight w:val="20"/>
        </w:trPr>
        <w:tc>
          <w:tcPr>
            <w:tcW w:w="1140" w:type="dxa"/>
            <w:vAlign w:val="bottom"/>
          </w:tcPr>
          <w:p>
            <w:pPr>
              <w:spacing w:after="0" w:line="20" w:lineRule="exact"/>
              <w:rPr>
                <w:sz w:val="1"/>
                <w:szCs w:val="1"/>
                <w:color w:val="auto"/>
              </w:rPr>
            </w:pPr>
          </w:p>
        </w:tc>
        <w:tc>
          <w:tcPr>
            <w:tcW w:w="8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8"/>
        </w:trPr>
        <w:tc>
          <w:tcPr>
            <w:tcW w:w="1140" w:type="dxa"/>
            <w:vAlign w:val="bottom"/>
          </w:tcPr>
          <w:p>
            <w:pPr>
              <w:spacing w:after="0"/>
              <w:rPr>
                <w:sz w:val="11"/>
                <w:szCs w:val="11"/>
                <w:color w:val="auto"/>
              </w:rPr>
            </w:pPr>
          </w:p>
        </w:tc>
        <w:tc>
          <w:tcPr>
            <w:tcW w:w="8320" w:type="dxa"/>
            <w:vAlign w:val="bottom"/>
            <w:gridSpan w:val="2"/>
          </w:tcPr>
          <w:p>
            <w:pPr>
              <w:spacing w:after="0" w:line="128" w:lineRule="exact"/>
              <w:rPr>
                <w:rFonts w:ascii="Arial" w:cs="Arial" w:eastAsia="Arial" w:hAnsi="Arial"/>
                <w:sz w:val="14"/>
                <w:szCs w:val="14"/>
                <w:u w:val="single" w:color="auto"/>
                <w:color w:val="0000FF"/>
              </w:rPr>
            </w:pPr>
            <w:hyperlink r:id="rId222">
              <w:r>
                <w:rPr>
                  <w:rFonts w:ascii="Arial" w:cs="Arial" w:eastAsia="Arial" w:hAnsi="Arial"/>
                  <w:sz w:val="14"/>
                  <w:szCs w:val="14"/>
                  <w:u w:val="single" w:color="auto"/>
                  <w:color w:val="0000FF"/>
                </w:rPr>
                <w:t>by reference to Exhibit 10.1 to the Registrant's Current Report on Form 8-K (File No. 001-38672) filed with the SEC on November 27,</w:t>
              </w:r>
            </w:hyperlink>
          </w:p>
        </w:tc>
      </w:tr>
    </w:tbl>
    <w:p>
      <w:pPr>
        <w:spacing w:after="0" w:line="1" w:lineRule="exact"/>
        <w:rPr>
          <w:sz w:val="20"/>
          <w:szCs w:val="20"/>
          <w:color w:val="auto"/>
        </w:rPr>
      </w:pPr>
    </w:p>
    <w:p>
      <w:pPr>
        <w:sectPr>
          <w:pgSz w:w="11900" w:h="16838" w:orient="portrait"/>
          <w:cols w:equalWidth="0" w:num="1">
            <w:col w:w="10059"/>
          </w:cols>
          <w:pgMar w:left="400" w:top="97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10.40†</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10.41†</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222">
        <w:r>
          <w:rPr>
            <w:rFonts w:ascii="Arial" w:cs="Arial" w:eastAsia="Arial" w:hAnsi="Arial"/>
            <w:sz w:val="14"/>
            <w:szCs w:val="14"/>
            <w:u w:val="single" w:color="auto"/>
            <w:color w:val="0000FF"/>
          </w:rPr>
          <w:t>2023).</w:t>
        </w:r>
      </w:hyperlink>
    </w:p>
    <w:p>
      <w:pPr>
        <w:spacing w:after="0" w:line="48" w:lineRule="exact"/>
        <w:rPr>
          <w:sz w:val="20"/>
          <w:szCs w:val="20"/>
          <w:color w:val="auto"/>
        </w:rPr>
      </w:pPr>
    </w:p>
    <w:p>
      <w:pPr>
        <w:ind w:right="599"/>
        <w:spacing w:after="0" w:line="223" w:lineRule="auto"/>
        <w:rPr>
          <w:rFonts w:ascii="Arial" w:cs="Arial" w:eastAsia="Arial" w:hAnsi="Arial"/>
          <w:sz w:val="14"/>
          <w:szCs w:val="14"/>
          <w:u w:val="single" w:color="auto"/>
          <w:color w:val="0000FF"/>
        </w:rPr>
      </w:pPr>
      <w:hyperlink r:id="rId223">
        <w:r>
          <w:rPr>
            <w:rFonts w:ascii="Arial" w:cs="Arial" w:eastAsia="Arial" w:hAnsi="Arial"/>
            <w:sz w:val="14"/>
            <w:szCs w:val="14"/>
            <w:u w:val="single" w:color="auto"/>
            <w:color w:val="0000FF"/>
          </w:rPr>
          <w:t>License Agreement by and among Arvinas, Inc., Arvinas Operations, Inc., Arvinas Androgen Receptor, Inc. and Novartis Pharma AG,</w:t>
        </w:r>
      </w:hyperlink>
      <w:r>
        <w:rPr>
          <w:rFonts w:ascii="Arial" w:cs="Arial" w:eastAsia="Arial" w:hAnsi="Arial"/>
          <w:sz w:val="14"/>
          <w:szCs w:val="14"/>
          <w:u w:val="single" w:color="auto"/>
          <w:color w:val="0000FF"/>
        </w:rPr>
        <w:t xml:space="preserve"> </w:t>
      </w:r>
      <w:hyperlink r:id="rId223">
        <w:r>
          <w:rPr>
            <w:rFonts w:ascii="Arial" w:cs="Arial" w:eastAsia="Arial" w:hAnsi="Arial"/>
            <w:sz w:val="14"/>
            <w:szCs w:val="14"/>
            <w:u w:val="single" w:color="auto"/>
            <w:color w:val="0000FF"/>
          </w:rPr>
          <w:t>dated April 10, 2024 (incorporated by reference to Exhibit 10.4 to the Registrant's Quarterly Report on Form 10-Q (File No. 001-</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23">
        <w:r>
          <w:rPr>
            <w:rFonts w:ascii="Arial" w:cs="Arial" w:eastAsia="Arial" w:hAnsi="Arial"/>
            <w:sz w:val="14"/>
            <w:szCs w:val="14"/>
            <w:u w:val="single" w:color="auto"/>
            <w:color w:val="0000FF"/>
          </w:rPr>
          <w:t>38672) filed with the SEC on July 30, 2024).</w:t>
        </w:r>
      </w:hyperlink>
    </w:p>
    <w:p>
      <w:pPr>
        <w:spacing w:after="0" w:line="48" w:lineRule="exact"/>
        <w:rPr>
          <w:sz w:val="20"/>
          <w:szCs w:val="20"/>
          <w:color w:val="auto"/>
        </w:rPr>
      </w:pPr>
    </w:p>
    <w:p>
      <w:pPr>
        <w:ind w:right="719"/>
        <w:spacing w:after="0" w:line="223" w:lineRule="auto"/>
        <w:rPr>
          <w:rFonts w:ascii="Arial" w:cs="Arial" w:eastAsia="Arial" w:hAnsi="Arial"/>
          <w:sz w:val="14"/>
          <w:szCs w:val="14"/>
          <w:u w:val="single" w:color="auto"/>
          <w:color w:val="0000FF"/>
        </w:rPr>
      </w:pPr>
      <w:hyperlink r:id="rId224">
        <w:r>
          <w:rPr>
            <w:rFonts w:ascii="Arial" w:cs="Arial" w:eastAsia="Arial" w:hAnsi="Arial"/>
            <w:sz w:val="14"/>
            <w:szCs w:val="14"/>
            <w:u w:val="single" w:color="auto"/>
            <w:color w:val="0000FF"/>
          </w:rPr>
          <w:t>Asset Purchase Agreement by and among Arvinas, Inc., Arvinas Operations, Inc., Arvinas Androgen Receptor, Inc. and Novartis</w:t>
        </w:r>
      </w:hyperlink>
      <w:r>
        <w:rPr>
          <w:rFonts w:ascii="Arial" w:cs="Arial" w:eastAsia="Arial" w:hAnsi="Arial"/>
          <w:sz w:val="14"/>
          <w:szCs w:val="14"/>
          <w:u w:val="single" w:color="auto"/>
          <w:color w:val="0000FF"/>
        </w:rPr>
        <w:t xml:space="preserve"> </w:t>
      </w:r>
      <w:hyperlink r:id="rId224">
        <w:r>
          <w:rPr>
            <w:rFonts w:ascii="Arial" w:cs="Arial" w:eastAsia="Arial" w:hAnsi="Arial"/>
            <w:sz w:val="14"/>
            <w:szCs w:val="14"/>
            <w:u w:val="single" w:color="auto"/>
            <w:color w:val="0000FF"/>
          </w:rPr>
          <w:t>Pharma AG, dated April 10, 2024 (incorporated by reference to Exhibit 10.5 to the Registrant's Quarterly Report on Form 10-Q (File</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224">
        <w:r>
          <w:rPr>
            <w:rFonts w:ascii="Arial" w:cs="Arial" w:eastAsia="Arial" w:hAnsi="Arial"/>
            <w:sz w:val="14"/>
            <w:szCs w:val="14"/>
            <w:u w:val="single" w:color="auto"/>
            <w:color w:val="0000FF"/>
          </w:rPr>
          <w:t>No. 001-38672) filed with the SEC on July 30, 2024).</w:t>
        </w:r>
      </w:hyperlink>
    </w:p>
    <w:p>
      <w:pPr>
        <w:spacing w:after="0" w:line="39" w:lineRule="exact"/>
        <w:rPr>
          <w:sz w:val="20"/>
          <w:szCs w:val="20"/>
          <w:color w:val="auto"/>
        </w:rPr>
      </w:pPr>
    </w:p>
    <w:p>
      <w:pPr>
        <w:spacing w:after="0"/>
        <w:rPr>
          <w:rFonts w:ascii="Arial" w:cs="Arial" w:eastAsia="Arial" w:hAnsi="Arial"/>
          <w:sz w:val="14"/>
          <w:szCs w:val="14"/>
          <w:u w:val="single" w:color="auto"/>
          <w:color w:val="0000FF"/>
        </w:rPr>
      </w:pPr>
      <w:hyperlink r:id="rId225">
        <w:r>
          <w:rPr>
            <w:rFonts w:ascii="Arial" w:cs="Arial" w:eastAsia="Arial" w:hAnsi="Arial"/>
            <w:sz w:val="14"/>
            <w:szCs w:val="14"/>
            <w:u w:val="single" w:color="auto"/>
            <w:color w:val="0000FF"/>
          </w:rPr>
          <w:t>Registrant's Insider Trading Policy (incorporated by reference to Exhibit 19.1 to the Registrant's Annual Report on Form 10-K (File No.</w:t>
        </w:r>
      </w:hyperlink>
    </w:p>
    <w:p>
      <w:pPr>
        <w:spacing w:after="0"/>
        <w:rPr>
          <w:rFonts w:ascii="Arial" w:cs="Arial" w:eastAsia="Arial" w:hAnsi="Arial"/>
          <w:sz w:val="14"/>
          <w:szCs w:val="14"/>
          <w:u w:val="single" w:color="auto"/>
          <w:color w:val="0000FF"/>
        </w:rPr>
      </w:pPr>
      <w:hyperlink r:id="rId225">
        <w:r>
          <w:rPr>
            <w:rFonts w:ascii="Arial" w:cs="Arial" w:eastAsia="Arial" w:hAnsi="Arial"/>
            <w:sz w:val="14"/>
            <w:szCs w:val="14"/>
            <w:u w:val="single" w:color="auto"/>
            <w:color w:val="0000FF"/>
          </w:rPr>
          <w:t>001-38672) filed with the SEC on February 11, 2025).</w:t>
        </w:r>
      </w:hyperlink>
    </w:p>
    <w:p>
      <w:pPr>
        <w:spacing w:after="0" w:line="69" w:lineRule="exact"/>
        <w:rPr>
          <w:sz w:val="20"/>
          <w:szCs w:val="20"/>
          <w:color w:val="auto"/>
        </w:rPr>
      </w:pPr>
    </w:p>
    <w:p>
      <w:pPr>
        <w:sectPr>
          <w:pgSz w:w="11900" w:h="16838" w:orient="portrait"/>
          <w:cols w:equalWidth="0" w:num="2">
            <w:col w:w="440" w:space="700"/>
            <w:col w:w="8919"/>
          </w:cols>
          <w:pgMar w:left="400" w:top="973" w:right="1440" w:bottom="1440" w:gutter="0" w:footer="0" w:header="0"/>
          <w:type w:val="continuous"/>
        </w:sectPr>
      </w:pPr>
    </w:p>
    <w:p>
      <w:pPr>
        <w:spacing w:after="0"/>
        <w:rPr>
          <w:sz w:val="20"/>
          <w:szCs w:val="20"/>
          <w:color w:val="auto"/>
        </w:rPr>
      </w:pPr>
      <w:r>
        <w:rPr>
          <w:rFonts w:ascii="Arial" w:cs="Arial" w:eastAsia="Arial" w:hAnsi="Arial"/>
          <w:sz w:val="14"/>
          <w:szCs w:val="14"/>
          <w:color w:val="auto"/>
        </w:rPr>
        <w:t>21.1*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23.1*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u w:val="single" w:color="auto"/>
          <w:color w:val="0000FF"/>
        </w:rPr>
        <w:t>Subsidiaries of the Registrant.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Consent of Deloitte &amp; Touche LLP, independent registered public accounting firm.</w:t>
      </w:r>
    </w:p>
    <w:p>
      <w:pPr>
        <w:spacing w:after="0" w:line="72" w:lineRule="exact"/>
        <w:rPr>
          <w:sz w:val="20"/>
          <w:szCs w:val="20"/>
          <w:color w:val="auto"/>
        </w:rPr>
      </w:pPr>
    </w:p>
    <w:p>
      <w:pPr>
        <w:ind w:right="639"/>
        <w:spacing w:after="0" w:line="242" w:lineRule="auto"/>
        <w:rPr>
          <w:sz w:val="20"/>
          <w:szCs w:val="20"/>
          <w:color w:val="auto"/>
        </w:rPr>
      </w:pPr>
      <w:r>
        <w:rPr>
          <w:rFonts w:ascii="Arial" w:cs="Arial" w:eastAsia="Arial" w:hAnsi="Arial"/>
          <w:sz w:val="14"/>
          <w:szCs w:val="14"/>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ectPr>
          <w:pgSz w:w="11900" w:h="16838" w:orient="portrait"/>
          <w:cols w:equalWidth="0" w:num="2">
            <w:col w:w="420" w:space="720"/>
            <w:col w:w="8919"/>
          </w:cols>
          <w:pgMar w:left="400" w:top="973" w:right="1440" w:bottom="1440" w:gutter="0" w:footer="0" w:header="0"/>
          <w:type w:val="continuous"/>
        </w:sectPr>
      </w:pPr>
    </w:p>
    <w:p>
      <w:pPr>
        <w:spacing w:after="0" w:line="37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059"/>
          </w:cols>
          <w:pgMar w:left="400" w:top="973" w:right="1440" w:bottom="1440" w:gutter="0" w:footer="0" w:header="0"/>
          <w:type w:val="continuous"/>
        </w:sectPr>
      </w:pPr>
    </w:p>
    <w:bookmarkStart w:id="152" w:name="page153"/>
    <w:bookmarkEnd w:id="152"/>
    <w:tbl>
      <w:tblPr>
        <w:tblLayout w:type="fixed"/>
        <w:tblInd w:w="20" w:type="dxa"/>
        <w:tblCellMar>
          <w:top w:w="0" w:type="dxa"/>
          <w:left w:w="0" w:type="dxa"/>
          <w:bottom w:w="0" w:type="dxa"/>
          <w:right w:w="0" w:type="dxa"/>
        </w:tblCellMar>
      </w:tblPr>
      <w:tr>
        <w:trPr>
          <w:trHeight w:val="161"/>
        </w:trPr>
        <w:tc>
          <w:tcPr>
            <w:tcW w:w="1220" w:type="dxa"/>
            <w:vAlign w:val="bottom"/>
          </w:tcPr>
          <w:p>
            <w:pPr>
              <w:ind w:left="80"/>
              <w:spacing w:after="0"/>
              <w:rPr>
                <w:sz w:val="20"/>
                <w:szCs w:val="20"/>
                <w:color w:val="auto"/>
              </w:rPr>
            </w:pPr>
            <w:r>
              <w:rPr>
                <w:rFonts w:ascii="Arial" w:cs="Arial" w:eastAsia="Arial" w:hAnsi="Arial"/>
                <w:sz w:val="14"/>
                <w:szCs w:val="14"/>
                <w:color w:val="auto"/>
              </w:rPr>
              <w:t>31.2*</w:t>
            </w:r>
          </w:p>
        </w:tc>
        <w:tc>
          <w:tcPr>
            <w:tcW w:w="8340" w:type="dxa"/>
            <w:vAlign w:val="bottom"/>
            <w:gridSpan w:val="9"/>
          </w:tcPr>
          <w:p>
            <w:pPr>
              <w:spacing w:after="0"/>
              <w:rPr>
                <w:sz w:val="20"/>
                <w:szCs w:val="20"/>
                <w:color w:val="auto"/>
              </w:rPr>
            </w:pPr>
            <w:r>
              <w:rPr>
                <w:rFonts w:ascii="Arial" w:cs="Arial" w:eastAsia="Arial" w:hAnsi="Arial"/>
                <w:sz w:val="14"/>
                <w:szCs w:val="14"/>
                <w:color w:val="0000FF"/>
              </w:rPr>
              <w:t>Certification of Principal Financial Officer Pursuant to Rules 13a-14(a) and 15d-14(a) under the Securities Exchange Act of 1934, as</w:t>
            </w:r>
          </w:p>
        </w:tc>
      </w:tr>
      <w:tr>
        <w:trPr>
          <w:trHeight w:val="118"/>
        </w:trPr>
        <w:tc>
          <w:tcPr>
            <w:tcW w:w="122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3"/>
          </w:tcPr>
          <w:p>
            <w:pPr>
              <w:spacing w:after="0" w:line="118" w:lineRule="exact"/>
              <w:rPr>
                <w:sz w:val="20"/>
                <w:szCs w:val="20"/>
                <w:color w:val="auto"/>
              </w:rPr>
            </w:pPr>
            <w:r>
              <w:rPr>
                <w:rFonts w:ascii="Arial" w:cs="Arial" w:eastAsia="Arial" w:hAnsi="Arial"/>
                <w:sz w:val="13"/>
                <w:szCs w:val="13"/>
                <w:color w:val="0000FF"/>
              </w:rPr>
              <w:t>Adopted Pursuant to Section 302 of the Sarbanes-Oxley Act of 2002.</w:t>
            </w:r>
          </w:p>
        </w:tc>
        <w:tc>
          <w:tcPr>
            <w:tcW w:w="392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4"/>
        </w:trPr>
        <w:tc>
          <w:tcPr>
            <w:tcW w:w="1220" w:type="dxa"/>
            <w:vAlign w:val="bottom"/>
          </w:tcPr>
          <w:p>
            <w:pPr>
              <w:ind w:left="80"/>
              <w:spacing w:after="0"/>
              <w:rPr>
                <w:sz w:val="20"/>
                <w:szCs w:val="20"/>
                <w:color w:val="auto"/>
              </w:rPr>
            </w:pPr>
            <w:r>
              <w:rPr>
                <w:rFonts w:ascii="Arial" w:cs="Arial" w:eastAsia="Arial" w:hAnsi="Arial"/>
                <w:sz w:val="14"/>
                <w:szCs w:val="14"/>
                <w:color w:val="auto"/>
              </w:rPr>
              <w:t>32.1**</w:t>
            </w:r>
          </w:p>
        </w:tc>
        <w:tc>
          <w:tcPr>
            <w:tcW w:w="8340" w:type="dxa"/>
            <w:vAlign w:val="bottom"/>
            <w:gridSpan w:val="9"/>
          </w:tcPr>
          <w:p>
            <w:pPr>
              <w:spacing w:after="0"/>
              <w:rPr>
                <w:sz w:val="20"/>
                <w:szCs w:val="20"/>
                <w:color w:val="auto"/>
              </w:rPr>
            </w:pPr>
            <w:r>
              <w:rPr>
                <w:rFonts w:ascii="Arial" w:cs="Arial" w:eastAsia="Arial" w:hAnsi="Arial"/>
                <w:sz w:val="14"/>
                <w:szCs w:val="14"/>
                <w:color w:val="0000FF"/>
              </w:rPr>
              <w:t>Certification of Principal Executive Officer Pursuant to 18 U.S.C. Section 1350, as Adopted Pursuant to Section 906 of the Sarbanes-</w:t>
            </w:r>
          </w:p>
        </w:tc>
      </w:tr>
      <w:tr>
        <w:trPr>
          <w:trHeight w:val="118"/>
        </w:trPr>
        <w:tc>
          <w:tcPr>
            <w:tcW w:w="122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2"/>
          </w:tcPr>
          <w:p>
            <w:pPr>
              <w:spacing w:after="0" w:line="118" w:lineRule="exact"/>
              <w:rPr>
                <w:sz w:val="20"/>
                <w:szCs w:val="20"/>
                <w:color w:val="auto"/>
              </w:rPr>
            </w:pPr>
            <w:r>
              <w:rPr>
                <w:rFonts w:ascii="Arial" w:cs="Arial" w:eastAsia="Arial" w:hAnsi="Arial"/>
                <w:sz w:val="13"/>
                <w:szCs w:val="13"/>
                <w:color w:val="0000FF"/>
              </w:rPr>
              <w:t>Oxley Act of 2002.</w:t>
            </w:r>
          </w:p>
        </w:tc>
        <w:tc>
          <w:tcPr>
            <w:tcW w:w="712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4"/>
        </w:trPr>
        <w:tc>
          <w:tcPr>
            <w:tcW w:w="1220" w:type="dxa"/>
            <w:vAlign w:val="bottom"/>
          </w:tcPr>
          <w:p>
            <w:pPr>
              <w:ind w:left="80"/>
              <w:spacing w:after="0"/>
              <w:rPr>
                <w:sz w:val="20"/>
                <w:szCs w:val="20"/>
                <w:color w:val="auto"/>
              </w:rPr>
            </w:pPr>
            <w:r>
              <w:rPr>
                <w:rFonts w:ascii="Arial" w:cs="Arial" w:eastAsia="Arial" w:hAnsi="Arial"/>
                <w:sz w:val="14"/>
                <w:szCs w:val="14"/>
                <w:color w:val="auto"/>
              </w:rPr>
              <w:t>32.2**</w:t>
            </w:r>
          </w:p>
        </w:tc>
        <w:tc>
          <w:tcPr>
            <w:tcW w:w="8340" w:type="dxa"/>
            <w:vAlign w:val="bottom"/>
            <w:gridSpan w:val="9"/>
          </w:tcPr>
          <w:p>
            <w:pPr>
              <w:spacing w:after="0"/>
              <w:rPr>
                <w:sz w:val="20"/>
                <w:szCs w:val="20"/>
                <w:color w:val="auto"/>
              </w:rPr>
            </w:pPr>
            <w:r>
              <w:rPr>
                <w:rFonts w:ascii="Arial" w:cs="Arial" w:eastAsia="Arial" w:hAnsi="Arial"/>
                <w:sz w:val="14"/>
                <w:szCs w:val="14"/>
                <w:color w:val="0000FF"/>
              </w:rPr>
              <w:t>Certification of Principal Financial Officer Pursuant to 18 U.S.C. Section 1350, as Adopted Pursuant to Section 906 of the Sarbanes-</w:t>
            </w:r>
          </w:p>
        </w:tc>
      </w:tr>
      <w:tr>
        <w:trPr>
          <w:trHeight w:val="118"/>
        </w:trPr>
        <w:tc>
          <w:tcPr>
            <w:tcW w:w="1220" w:type="dxa"/>
            <w:vAlign w:val="bottom"/>
          </w:tcPr>
          <w:p>
            <w:pPr>
              <w:spacing w:after="0"/>
              <w:rPr>
                <w:sz w:val="10"/>
                <w:szCs w:val="10"/>
                <w:color w:val="auto"/>
              </w:rPr>
            </w:pPr>
          </w:p>
        </w:tc>
        <w:tc>
          <w:tcPr>
            <w:tcW w:w="1160" w:type="dxa"/>
            <w:vAlign w:val="bottom"/>
            <w:tcBorders>
              <w:top w:val="single" w:sz="8" w:color="0000FF"/>
              <w:bottom w:val="single" w:sz="8" w:color="0000FF"/>
            </w:tcBorders>
          </w:tcPr>
          <w:p>
            <w:pPr>
              <w:spacing w:after="0" w:line="118" w:lineRule="exact"/>
              <w:rPr>
                <w:sz w:val="20"/>
                <w:szCs w:val="20"/>
                <w:color w:val="auto"/>
              </w:rPr>
            </w:pPr>
            <w:r>
              <w:rPr>
                <w:rFonts w:ascii="Arial" w:cs="Arial" w:eastAsia="Arial" w:hAnsi="Arial"/>
                <w:sz w:val="13"/>
                <w:szCs w:val="13"/>
                <w:color w:val="0000FF"/>
              </w:rPr>
              <w:t>Oxley Act of 2002.</w:t>
            </w:r>
          </w:p>
        </w:tc>
        <w:tc>
          <w:tcPr>
            <w:tcW w:w="7100" w:type="dxa"/>
            <w:vAlign w:val="bottom"/>
            <w:tcBorders>
              <w:top w:val="single" w:sz="8" w:color="0000FF"/>
            </w:tcBorders>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220" w:type="dxa"/>
            <w:vAlign w:val="bottom"/>
          </w:tcPr>
          <w:p>
            <w:pPr>
              <w:ind w:left="80"/>
              <w:spacing w:after="0"/>
              <w:rPr>
                <w:sz w:val="20"/>
                <w:szCs w:val="20"/>
                <w:color w:val="auto"/>
              </w:rPr>
            </w:pPr>
            <w:r>
              <w:rPr>
                <w:rFonts w:ascii="Arial" w:cs="Arial" w:eastAsia="Arial" w:hAnsi="Arial"/>
                <w:sz w:val="14"/>
                <w:szCs w:val="14"/>
                <w:color w:val="auto"/>
              </w:rPr>
              <w:t>97.1*</w:t>
            </w:r>
          </w:p>
        </w:tc>
        <w:tc>
          <w:tcPr>
            <w:tcW w:w="8340" w:type="dxa"/>
            <w:vAlign w:val="bottom"/>
            <w:gridSpan w:val="9"/>
          </w:tcPr>
          <w:p>
            <w:pPr>
              <w:spacing w:after="0"/>
              <w:rPr>
                <w:rFonts w:ascii="Arial" w:cs="Arial" w:eastAsia="Arial" w:hAnsi="Arial"/>
                <w:sz w:val="14"/>
                <w:szCs w:val="14"/>
                <w:color w:val="0000FF"/>
              </w:rPr>
            </w:pPr>
            <w:hyperlink r:id="rId227">
              <w:r>
                <w:rPr>
                  <w:rFonts w:ascii="Arial" w:cs="Arial" w:eastAsia="Arial" w:hAnsi="Arial"/>
                  <w:sz w:val="14"/>
                  <w:szCs w:val="14"/>
                  <w:color w:val="0000FF"/>
                </w:rPr>
                <w:t>Arvinas, Inc. Dodd-Frank Compensation Recovery Policy (incorporated by reference to Exhibit 97.1 to the Registrant's Annual Report</w:t>
              </w:r>
            </w:hyperlink>
          </w:p>
        </w:tc>
      </w:tr>
      <w:tr>
        <w:trPr>
          <w:trHeight w:val="118"/>
        </w:trPr>
        <w:tc>
          <w:tcPr>
            <w:tcW w:w="1220" w:type="dxa"/>
            <w:vAlign w:val="bottom"/>
          </w:tcPr>
          <w:p>
            <w:pPr>
              <w:spacing w:after="0"/>
              <w:rPr>
                <w:sz w:val="10"/>
                <w:szCs w:val="10"/>
                <w:color w:val="auto"/>
              </w:rPr>
            </w:pPr>
          </w:p>
        </w:tc>
        <w:tc>
          <w:tcPr>
            <w:tcW w:w="8320" w:type="dxa"/>
            <w:vAlign w:val="bottom"/>
            <w:tcBorders>
              <w:top w:val="single" w:sz="8" w:color="0000FF"/>
            </w:tcBorders>
            <w:gridSpan w:val="8"/>
          </w:tcPr>
          <w:p>
            <w:pPr>
              <w:spacing w:after="0" w:line="118" w:lineRule="exact"/>
              <w:rPr>
                <w:rFonts w:ascii="Arial" w:cs="Arial" w:eastAsia="Arial" w:hAnsi="Arial"/>
                <w:sz w:val="13"/>
                <w:szCs w:val="13"/>
                <w:color w:val="0000FF"/>
              </w:rPr>
            </w:pPr>
            <w:hyperlink r:id="rId227">
              <w:r>
                <w:rPr>
                  <w:rFonts w:ascii="Arial" w:cs="Arial" w:eastAsia="Arial" w:hAnsi="Arial"/>
                  <w:sz w:val="13"/>
                  <w:szCs w:val="13"/>
                  <w:color w:val="0000FF"/>
                </w:rPr>
                <w:t>on Form 10-K (File No. 001-38672) filed with the SEC on February 27, 2024)</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257"/>
        </w:trPr>
        <w:tc>
          <w:tcPr>
            <w:tcW w:w="1220" w:type="dxa"/>
            <w:vAlign w:val="bottom"/>
          </w:tcPr>
          <w:p>
            <w:pPr>
              <w:spacing w:after="0"/>
              <w:rPr>
                <w:sz w:val="20"/>
                <w:szCs w:val="20"/>
                <w:color w:val="auto"/>
              </w:rPr>
            </w:pPr>
            <w:r>
              <w:rPr>
                <w:rFonts w:ascii="Arial" w:cs="Arial" w:eastAsia="Arial" w:hAnsi="Arial"/>
                <w:sz w:val="14"/>
                <w:szCs w:val="14"/>
                <w:color w:val="auto"/>
              </w:rPr>
              <w:t>101.INS*</w:t>
            </w:r>
          </w:p>
        </w:tc>
        <w:tc>
          <w:tcPr>
            <w:tcW w:w="480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Inline XBRL Instance Document</w:t>
            </w:r>
          </w:p>
        </w:tc>
        <w:tc>
          <w:tcPr>
            <w:tcW w:w="3540" w:type="dxa"/>
            <w:vAlign w:val="bottom"/>
            <w:gridSpan w:val="5"/>
          </w:tcPr>
          <w:p>
            <w:pPr>
              <w:spacing w:after="0"/>
              <w:rPr>
                <w:sz w:val="22"/>
                <w:szCs w:val="22"/>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4"/>
                <w:szCs w:val="14"/>
                <w:color w:val="auto"/>
              </w:rPr>
              <w:t>101.SCH*</w:t>
            </w:r>
          </w:p>
        </w:tc>
        <w:tc>
          <w:tcPr>
            <w:tcW w:w="8340" w:type="dxa"/>
            <w:vAlign w:val="bottom"/>
            <w:gridSpan w:val="9"/>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44"/>
        </w:trPr>
        <w:tc>
          <w:tcPr>
            <w:tcW w:w="1220" w:type="dxa"/>
            <w:vAlign w:val="bottom"/>
          </w:tcPr>
          <w:p>
            <w:pPr>
              <w:spacing w:after="0"/>
              <w:rPr>
                <w:sz w:val="20"/>
                <w:szCs w:val="20"/>
                <w:color w:val="auto"/>
              </w:rPr>
            </w:pPr>
            <w:r>
              <w:rPr>
                <w:rFonts w:ascii="Arial" w:cs="Arial" w:eastAsia="Arial" w:hAnsi="Arial"/>
                <w:sz w:val="14"/>
                <w:szCs w:val="14"/>
                <w:color w:val="auto"/>
              </w:rPr>
              <w:t>101.CAL*</w:t>
            </w:r>
          </w:p>
        </w:tc>
        <w:tc>
          <w:tcPr>
            <w:tcW w:w="8340" w:type="dxa"/>
            <w:vAlign w:val="bottom"/>
            <w:gridSpan w:val="9"/>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4"/>
        </w:trPr>
        <w:tc>
          <w:tcPr>
            <w:tcW w:w="1220" w:type="dxa"/>
            <w:vAlign w:val="bottom"/>
          </w:tcPr>
          <w:p>
            <w:pPr>
              <w:spacing w:after="0"/>
              <w:rPr>
                <w:sz w:val="20"/>
                <w:szCs w:val="20"/>
                <w:color w:val="auto"/>
              </w:rPr>
            </w:pPr>
            <w:r>
              <w:rPr>
                <w:rFonts w:ascii="Arial" w:cs="Arial" w:eastAsia="Arial" w:hAnsi="Arial"/>
                <w:sz w:val="14"/>
                <w:szCs w:val="14"/>
                <w:color w:val="auto"/>
              </w:rPr>
              <w:t>101.DEF*</w:t>
            </w:r>
          </w:p>
        </w:tc>
        <w:tc>
          <w:tcPr>
            <w:tcW w:w="8340" w:type="dxa"/>
            <w:vAlign w:val="bottom"/>
            <w:gridSpan w:val="9"/>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4"/>
        </w:trPr>
        <w:tc>
          <w:tcPr>
            <w:tcW w:w="1220" w:type="dxa"/>
            <w:vAlign w:val="bottom"/>
          </w:tcPr>
          <w:p>
            <w:pPr>
              <w:spacing w:after="0"/>
              <w:rPr>
                <w:sz w:val="20"/>
                <w:szCs w:val="20"/>
                <w:color w:val="auto"/>
              </w:rPr>
            </w:pPr>
            <w:r>
              <w:rPr>
                <w:rFonts w:ascii="Arial" w:cs="Arial" w:eastAsia="Arial" w:hAnsi="Arial"/>
                <w:sz w:val="14"/>
                <w:szCs w:val="14"/>
                <w:color w:val="auto"/>
              </w:rPr>
              <w:t>101.LAB*</w:t>
            </w:r>
          </w:p>
        </w:tc>
        <w:tc>
          <w:tcPr>
            <w:tcW w:w="8340" w:type="dxa"/>
            <w:vAlign w:val="bottom"/>
            <w:gridSpan w:val="9"/>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4"/>
        </w:trPr>
        <w:tc>
          <w:tcPr>
            <w:tcW w:w="1220" w:type="dxa"/>
            <w:vAlign w:val="bottom"/>
          </w:tcPr>
          <w:p>
            <w:pPr>
              <w:spacing w:after="0"/>
              <w:rPr>
                <w:sz w:val="20"/>
                <w:szCs w:val="20"/>
                <w:color w:val="auto"/>
              </w:rPr>
            </w:pPr>
            <w:r>
              <w:rPr>
                <w:rFonts w:ascii="Arial" w:cs="Arial" w:eastAsia="Arial" w:hAnsi="Arial"/>
                <w:sz w:val="14"/>
                <w:szCs w:val="14"/>
                <w:color w:val="auto"/>
              </w:rPr>
              <w:t>101.PRE*</w:t>
            </w:r>
          </w:p>
        </w:tc>
        <w:tc>
          <w:tcPr>
            <w:tcW w:w="8340" w:type="dxa"/>
            <w:vAlign w:val="bottom"/>
            <w:gridSpan w:val="9"/>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58" w:lineRule="exact"/>
        <w:rPr>
          <w:sz w:val="20"/>
          <w:szCs w:val="20"/>
          <w:color w:val="auto"/>
        </w:rPr>
      </w:pPr>
    </w:p>
    <w:p>
      <w:pPr>
        <w:ind w:left="1240" w:hanging="1221"/>
        <w:spacing w:after="0"/>
        <w:tabs>
          <w:tab w:leader="none" w:pos="1240" w:val="left"/>
        </w:tabs>
        <w:numPr>
          <w:ilvl w:val="1"/>
          <w:numId w:val="90"/>
        </w:numPr>
        <w:rPr>
          <w:rFonts w:ascii="Arial" w:cs="Arial" w:eastAsia="Arial" w:hAnsi="Arial"/>
          <w:sz w:val="14"/>
          <w:szCs w:val="14"/>
          <w:color w:val="auto"/>
        </w:rPr>
      </w:pPr>
      <w:r>
        <w:rPr>
          <w:rFonts w:ascii="Arial" w:cs="Arial" w:eastAsia="Arial" w:hAnsi="Arial"/>
          <w:sz w:val="14"/>
          <w:szCs w:val="14"/>
          <w:color w:val="auto"/>
        </w:rPr>
        <w:t>Cover Page Interactive Date File (formatted as Inline XBRL and contained in Exhibit 101)</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93" w:lineRule="exact"/>
        <w:rPr>
          <w:rFonts w:ascii="Arial" w:cs="Arial" w:eastAsia="Arial" w:hAnsi="Arial"/>
          <w:sz w:val="14"/>
          <w:szCs w:val="14"/>
          <w:color w:val="auto"/>
        </w:rPr>
      </w:pPr>
    </w:p>
    <w:p>
      <w:pPr>
        <w:ind w:left="280" w:hanging="275"/>
        <w:spacing w:after="0"/>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94" w:lineRule="exact"/>
        <w:rPr>
          <w:sz w:val="20"/>
          <w:szCs w:val="20"/>
          <w:color w:val="auto"/>
        </w:rPr>
      </w:pPr>
    </w:p>
    <w:p>
      <w:pPr>
        <w:ind w:right="4179" w:firstLine="5"/>
        <w:spacing w:after="0" w:line="416" w:lineRule="auto"/>
        <w:tabs>
          <w:tab w:leader="none" w:pos="236" w:val="left"/>
        </w:tabs>
        <w:numPr>
          <w:ilvl w:val="0"/>
          <w:numId w:val="92"/>
        </w:numPr>
        <w:rPr>
          <w:rFonts w:ascii="Arial" w:cs="Arial" w:eastAsia="Arial" w:hAnsi="Arial"/>
          <w:sz w:val="14"/>
          <w:szCs w:val="14"/>
          <w:color w:val="auto"/>
        </w:rPr>
      </w:pPr>
      <w:r>
        <w:rPr>
          <w:rFonts w:ascii="Arial" w:cs="Arial" w:eastAsia="Arial" w:hAnsi="Arial"/>
          <w:sz w:val="14"/>
          <w:szCs w:val="14"/>
          <w:color w:val="auto"/>
        </w:rPr>
        <w:t>Portions of this exhibit have been omitted pursuant to Item 601(b)(10)(iv) of Regulation S-K. + Management contract or compensatory plan or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65"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4"/>
          <w:szCs w:val="14"/>
          <w:b w:val="1"/>
          <w:bCs w:val="1"/>
          <w:color w:val="auto"/>
        </w:rPr>
        <w:t>SIGNATURES</w:t>
      </w:r>
    </w:p>
    <w:p>
      <w:pPr>
        <w:spacing w:after="0" w:line="179" w:lineRule="exact"/>
        <w:rPr>
          <w:sz w:val="20"/>
          <w:szCs w:val="20"/>
          <w:color w:val="auto"/>
        </w:rPr>
      </w:pPr>
    </w:p>
    <w:p>
      <w:pPr>
        <w:ind w:right="380" w:firstLine="509"/>
        <w:spacing w:after="0" w:line="302"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4"/>
          <w:szCs w:val="14"/>
          <w:b w:val="1"/>
          <w:bCs w:val="1"/>
          <w:color w:val="auto"/>
        </w:rPr>
        <w:t>.</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3440" w:type="dxa"/>
            <w:vAlign w:val="bottom"/>
            <w:gridSpan w:val="2"/>
          </w:tcPr>
          <w:p>
            <w:pPr>
              <w:ind w:left="1920"/>
              <w:spacing w:after="0"/>
              <w:rPr>
                <w:sz w:val="20"/>
                <w:szCs w:val="20"/>
                <w:color w:val="auto"/>
              </w:rPr>
            </w:pPr>
            <w:r>
              <w:rPr>
                <w:rFonts w:ascii="Arial" w:cs="Arial" w:eastAsia="Arial" w:hAnsi="Arial"/>
                <w:sz w:val="14"/>
                <w:szCs w:val="14"/>
                <w:color w:val="auto"/>
              </w:rPr>
              <w:t>ARVINAS, INC.</w:t>
            </w:r>
          </w:p>
        </w:tc>
        <w:tc>
          <w:tcPr>
            <w:tcW w:w="4380" w:type="dxa"/>
            <w:vAlign w:val="bottom"/>
          </w:tcPr>
          <w:p>
            <w:pPr>
              <w:spacing w:after="0"/>
              <w:rPr>
                <w:sz w:val="16"/>
                <w:szCs w:val="16"/>
                <w:color w:val="auto"/>
              </w:rPr>
            </w:pPr>
          </w:p>
        </w:tc>
      </w:tr>
      <w:tr>
        <w:trPr>
          <w:trHeight w:val="391"/>
        </w:trPr>
        <w:tc>
          <w:tcPr>
            <w:tcW w:w="3440" w:type="dxa"/>
            <w:vAlign w:val="bottom"/>
          </w:tcPr>
          <w:p>
            <w:pPr>
              <w:spacing w:after="0"/>
              <w:rPr>
                <w:sz w:val="20"/>
                <w:szCs w:val="20"/>
                <w:color w:val="auto"/>
              </w:rPr>
            </w:pPr>
            <w:r>
              <w:rPr>
                <w:rFonts w:ascii="Arial" w:cs="Arial" w:eastAsia="Arial" w:hAnsi="Arial"/>
                <w:sz w:val="14"/>
                <w:szCs w:val="14"/>
                <w:color w:val="auto"/>
              </w:rPr>
              <w:t>Date: February 24, 2026</w:t>
            </w:r>
          </w:p>
        </w:tc>
        <w:tc>
          <w:tcPr>
            <w:tcW w:w="3440" w:type="dxa"/>
            <w:vAlign w:val="bottom"/>
            <w:gridSpan w:val="2"/>
          </w:tcPr>
          <w:p>
            <w:pPr>
              <w:ind w:left="1920"/>
              <w:spacing w:after="0"/>
              <w:rPr>
                <w:sz w:val="20"/>
                <w:szCs w:val="20"/>
                <w:color w:val="auto"/>
              </w:rPr>
            </w:pPr>
            <w:r>
              <w:rPr>
                <w:rFonts w:ascii="Arial" w:cs="Arial" w:eastAsia="Arial" w:hAnsi="Arial"/>
                <w:sz w:val="14"/>
                <w:szCs w:val="14"/>
                <w:color w:val="auto"/>
              </w:rPr>
              <w:t>By:</w:t>
            </w:r>
          </w:p>
        </w:tc>
        <w:tc>
          <w:tcPr>
            <w:tcW w:w="4380" w:type="dxa"/>
            <w:vAlign w:val="bottom"/>
          </w:tcPr>
          <w:p>
            <w:pPr>
              <w:jc w:val="center"/>
              <w:ind w:right="929"/>
              <w:spacing w:after="0"/>
              <w:rPr>
                <w:sz w:val="20"/>
                <w:szCs w:val="20"/>
                <w:color w:val="auto"/>
              </w:rPr>
            </w:pPr>
            <w:r>
              <w:rPr>
                <w:rFonts w:ascii="Arial" w:cs="Arial" w:eastAsia="Arial" w:hAnsi="Arial"/>
                <w:sz w:val="14"/>
                <w:szCs w:val="14"/>
                <w:color w:val="auto"/>
              </w:rPr>
              <w:t>/s/ Randy Teel, Ph.D.</w:t>
            </w:r>
          </w:p>
        </w:tc>
      </w:tr>
      <w:tr>
        <w:trPr>
          <w:trHeight w:val="167"/>
        </w:trPr>
        <w:tc>
          <w:tcPr>
            <w:tcW w:w="3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380" w:type="dxa"/>
            <w:vAlign w:val="bottom"/>
            <w:tcBorders>
              <w:top w:val="single" w:sz="8" w:color="auto"/>
            </w:tcBorders>
          </w:tcPr>
          <w:p>
            <w:pPr>
              <w:jc w:val="center"/>
              <w:ind w:right="929"/>
              <w:spacing w:after="0"/>
              <w:rPr>
                <w:sz w:val="20"/>
                <w:szCs w:val="20"/>
                <w:color w:val="auto"/>
              </w:rPr>
            </w:pPr>
            <w:r>
              <w:rPr>
                <w:rFonts w:ascii="Arial" w:cs="Arial" w:eastAsia="Arial" w:hAnsi="Arial"/>
                <w:sz w:val="14"/>
                <w:szCs w:val="14"/>
                <w:color w:val="auto"/>
                <w:w w:val="99"/>
              </w:rPr>
              <w:t>Randy Teel, Ph.D.</w:t>
            </w:r>
          </w:p>
        </w:tc>
      </w:tr>
      <w:tr>
        <w:trPr>
          <w:trHeight w:val="186"/>
        </w:trPr>
        <w:tc>
          <w:tcPr>
            <w:tcW w:w="3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80" w:type="dxa"/>
            <w:vAlign w:val="bottom"/>
          </w:tcPr>
          <w:p>
            <w:pPr>
              <w:jc w:val="center"/>
              <w:ind w:right="929"/>
              <w:spacing w:after="0"/>
              <w:rPr>
                <w:sz w:val="20"/>
                <w:szCs w:val="20"/>
                <w:color w:val="auto"/>
              </w:rPr>
            </w:pPr>
            <w:r>
              <w:rPr>
                <w:rFonts w:ascii="Arial" w:cs="Arial" w:eastAsia="Arial" w:hAnsi="Arial"/>
                <w:sz w:val="14"/>
                <w:szCs w:val="14"/>
                <w:color w:val="auto"/>
              </w:rPr>
              <w:t>President and Chief Executive Officer</w:t>
            </w:r>
          </w:p>
        </w:tc>
      </w:tr>
    </w:tbl>
    <w:p>
      <w:pPr>
        <w:spacing w:after="0" w:line="228"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Name</w:t>
            </w:r>
          </w:p>
        </w:tc>
        <w:tc>
          <w:tcPr>
            <w:tcW w:w="100" w:type="dxa"/>
            <w:vAlign w:val="bottom"/>
          </w:tcPr>
          <w:p>
            <w:pPr>
              <w:spacing w:after="0"/>
              <w:rPr>
                <w:sz w:val="13"/>
                <w:szCs w:val="13"/>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00" w:type="dxa"/>
            <w:vAlign w:val="bottom"/>
          </w:tcPr>
          <w:p>
            <w:pPr>
              <w:spacing w:after="0"/>
              <w:rPr>
                <w:sz w:val="13"/>
                <w:szCs w:val="13"/>
                <w:color w:val="auto"/>
              </w:rPr>
            </w:pP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Date</w:t>
            </w:r>
          </w:p>
        </w:tc>
      </w:tr>
      <w:tr>
        <w:trPr>
          <w:trHeight w:val="385"/>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Randy Teel, Ph.D.</w:t>
            </w:r>
          </w:p>
        </w:tc>
        <w:tc>
          <w:tcPr>
            <w:tcW w:w="10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President and Chief Executive Officer, 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92"/>
        </w:trPr>
        <w:tc>
          <w:tcPr>
            <w:tcW w:w="3800" w:type="dxa"/>
            <w:vAlign w:val="bottom"/>
          </w:tcPr>
          <w:p>
            <w:pPr>
              <w:jc w:val="center"/>
              <w:spacing w:after="0"/>
              <w:rPr>
                <w:sz w:val="20"/>
                <w:szCs w:val="20"/>
                <w:color w:val="auto"/>
              </w:rPr>
            </w:pPr>
            <w:r>
              <w:rPr>
                <w:rFonts w:ascii="Arial" w:cs="Arial" w:eastAsia="Arial" w:hAnsi="Arial"/>
                <w:sz w:val="14"/>
                <w:szCs w:val="14"/>
                <w:color w:val="auto"/>
                <w:w w:val="99"/>
              </w:rPr>
              <w:t>Randy Teel, Ph.D.</w:t>
            </w:r>
          </w:p>
        </w:tc>
        <w:tc>
          <w:tcPr>
            <w:tcW w:w="100" w:type="dxa"/>
            <w:vAlign w:val="bottom"/>
          </w:tcPr>
          <w:p>
            <w:pPr>
              <w:spacing w:after="0"/>
              <w:rPr>
                <w:sz w:val="16"/>
                <w:szCs w:val="16"/>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4"/>
                <w:szCs w:val="14"/>
                <w:color w:val="auto"/>
              </w:rPr>
              <w:t>(principal executive officer)</w:t>
            </w:r>
          </w:p>
        </w:tc>
        <w:tc>
          <w:tcPr>
            <w:tcW w:w="2060" w:type="dxa"/>
            <w:vAlign w:val="bottom"/>
          </w:tcPr>
          <w:p>
            <w:pPr>
              <w:spacing w:after="0"/>
              <w:rPr>
                <w:sz w:val="16"/>
                <w:szCs w:val="16"/>
                <w:color w:val="auto"/>
              </w:rPr>
            </w:pPr>
          </w:p>
        </w:tc>
      </w:tr>
      <w:tr>
        <w:trPr>
          <w:trHeight w:val="244"/>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Andrew Saik</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Chief Financial Officer and Treasurer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92"/>
        </w:trPr>
        <w:tc>
          <w:tcPr>
            <w:tcW w:w="3800" w:type="dxa"/>
            <w:vAlign w:val="bottom"/>
          </w:tcPr>
          <w:p>
            <w:pPr>
              <w:jc w:val="center"/>
              <w:spacing w:after="0"/>
              <w:rPr>
                <w:sz w:val="20"/>
                <w:szCs w:val="20"/>
                <w:color w:val="auto"/>
              </w:rPr>
            </w:pPr>
            <w:r>
              <w:rPr>
                <w:rFonts w:ascii="Arial" w:cs="Arial" w:eastAsia="Arial" w:hAnsi="Arial"/>
                <w:sz w:val="14"/>
                <w:szCs w:val="14"/>
                <w:color w:val="auto"/>
              </w:rPr>
              <w:t>Andrew Saik</w:t>
            </w:r>
          </w:p>
        </w:tc>
        <w:tc>
          <w:tcPr>
            <w:tcW w:w="100" w:type="dxa"/>
            <w:vAlign w:val="bottom"/>
          </w:tcPr>
          <w:p>
            <w:pPr>
              <w:spacing w:after="0"/>
              <w:rPr>
                <w:sz w:val="16"/>
                <w:szCs w:val="16"/>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4"/>
                <w:szCs w:val="14"/>
                <w:color w:val="auto"/>
              </w:rPr>
              <w:t>(principal financial officer)</w:t>
            </w:r>
          </w:p>
        </w:tc>
        <w:tc>
          <w:tcPr>
            <w:tcW w:w="2060" w:type="dxa"/>
            <w:vAlign w:val="bottom"/>
          </w:tcPr>
          <w:p>
            <w:pPr>
              <w:spacing w:after="0"/>
              <w:rPr>
                <w:sz w:val="16"/>
                <w:szCs w:val="16"/>
                <w:color w:val="auto"/>
              </w:rPr>
            </w:pPr>
          </w:p>
        </w:tc>
      </w:tr>
      <w:tr>
        <w:trPr>
          <w:trHeight w:val="244"/>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David K. Loomis</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Vice President and Chief Accounting Officer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92"/>
        </w:trPr>
        <w:tc>
          <w:tcPr>
            <w:tcW w:w="3800" w:type="dxa"/>
            <w:vAlign w:val="bottom"/>
          </w:tcPr>
          <w:p>
            <w:pPr>
              <w:jc w:val="center"/>
              <w:spacing w:after="0"/>
              <w:rPr>
                <w:sz w:val="20"/>
                <w:szCs w:val="20"/>
                <w:color w:val="auto"/>
              </w:rPr>
            </w:pPr>
            <w:r>
              <w:rPr>
                <w:rFonts w:ascii="Arial" w:cs="Arial" w:eastAsia="Arial" w:hAnsi="Arial"/>
                <w:sz w:val="14"/>
                <w:szCs w:val="14"/>
                <w:color w:val="auto"/>
              </w:rPr>
              <w:t>David K. Loomis</w:t>
            </w:r>
          </w:p>
        </w:tc>
        <w:tc>
          <w:tcPr>
            <w:tcW w:w="100" w:type="dxa"/>
            <w:vAlign w:val="bottom"/>
          </w:tcPr>
          <w:p>
            <w:pPr>
              <w:spacing w:after="0"/>
              <w:rPr>
                <w:sz w:val="16"/>
                <w:szCs w:val="16"/>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(principal accounting officer)</w:t>
            </w: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Briggs Morrison, M.D.</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Chair of the Board of Directors</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Briggs Morrison, M.D.</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Sunil Agarwal, M.D.</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Sunil Agarwal, M.D.</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Linda Bain</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Linda Bain</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Everett Cunningham</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Everett Cunningham</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John Houston, Ph.D.</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John Houston, Ph.D.</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Edward Kennedy, Jr.</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ind w:left="1280"/>
              <w:spacing w:after="0"/>
              <w:rPr>
                <w:sz w:val="20"/>
                <w:szCs w:val="20"/>
                <w:color w:val="auto"/>
              </w:rPr>
            </w:pPr>
            <w:r>
              <w:rPr>
                <w:rFonts w:ascii="Arial" w:cs="Arial" w:eastAsia="Arial" w:hAnsi="Arial"/>
                <w:sz w:val="14"/>
                <w:szCs w:val="14"/>
                <w:color w:val="auto"/>
              </w:rPr>
              <w:t>Edward Kennedy, Jr.</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Leslie Norwalk, Esq.</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ind w:left="1280"/>
              <w:spacing w:after="0"/>
              <w:rPr>
                <w:sz w:val="20"/>
                <w:szCs w:val="20"/>
                <w:color w:val="auto"/>
              </w:rPr>
            </w:pPr>
            <w:r>
              <w:rPr>
                <w:rFonts w:ascii="Arial" w:cs="Arial" w:eastAsia="Arial" w:hAnsi="Arial"/>
                <w:sz w:val="14"/>
                <w:szCs w:val="14"/>
                <w:color w:val="auto"/>
              </w:rPr>
              <w:t>Leslie Norwalk, Esq.</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Laurie Smaldone Alsup, M.D.</w:t>
            </w:r>
          </w:p>
        </w:tc>
        <w:tc>
          <w:tcPr>
            <w:tcW w:w="100" w:type="dxa"/>
            <w:vAlign w:val="bottom"/>
          </w:tcPr>
          <w:p>
            <w:pPr>
              <w:spacing w:after="0"/>
              <w:rPr>
                <w:sz w:val="21"/>
                <w:szCs w:val="21"/>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4"/>
                <w:szCs w:val="14"/>
                <w:color w:val="auto"/>
              </w:rPr>
              <w:t>Director</w:t>
            </w:r>
          </w:p>
        </w:tc>
        <w:tc>
          <w:tcPr>
            <w:tcW w:w="2060" w:type="dxa"/>
            <w:vAlign w:val="bottom"/>
          </w:tcPr>
          <w:p>
            <w:pPr>
              <w:spacing w:after="0"/>
              <w:rPr>
                <w:sz w:val="20"/>
                <w:szCs w:val="20"/>
                <w:color w:val="auto"/>
              </w:rPr>
            </w:pPr>
            <w:r>
              <w:rPr>
                <w:rFonts w:ascii="Arial" w:cs="Arial" w:eastAsia="Arial" w:hAnsi="Arial"/>
                <w:sz w:val="14"/>
                <w:szCs w:val="14"/>
                <w:color w:val="auto"/>
              </w:rPr>
              <w:t>February 24, 2026</w:t>
            </w:r>
          </w:p>
        </w:tc>
      </w:tr>
      <w:tr>
        <w:trPr>
          <w:trHeight w:val="188"/>
        </w:trPr>
        <w:tc>
          <w:tcPr>
            <w:tcW w:w="3800" w:type="dxa"/>
            <w:vAlign w:val="bottom"/>
          </w:tcPr>
          <w:p>
            <w:pPr>
              <w:jc w:val="center"/>
              <w:spacing w:after="0"/>
              <w:rPr>
                <w:sz w:val="20"/>
                <w:szCs w:val="20"/>
                <w:color w:val="auto"/>
              </w:rPr>
            </w:pPr>
            <w:r>
              <w:rPr>
                <w:rFonts w:ascii="Arial" w:cs="Arial" w:eastAsia="Arial" w:hAnsi="Arial"/>
                <w:sz w:val="14"/>
                <w:szCs w:val="14"/>
                <w:color w:val="auto"/>
              </w:rPr>
              <w:t>Laurie Smaldone Alsup, M.D.</w:t>
            </w:r>
          </w:p>
        </w:tc>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753"/>
        </w:trPr>
        <w:tc>
          <w:tcPr>
            <w:tcW w:w="3800" w:type="dxa"/>
            <w:vAlign w:val="bottom"/>
          </w:tcPr>
          <w:p>
            <w:pPr>
              <w:spacing w:after="0"/>
              <w:rPr>
                <w:sz w:val="24"/>
                <w:szCs w:val="24"/>
                <w:color w:val="auto"/>
              </w:rPr>
            </w:pPr>
          </w:p>
        </w:tc>
        <w:tc>
          <w:tcPr>
            <w:tcW w:w="5320" w:type="dxa"/>
            <w:vAlign w:val="bottom"/>
            <w:gridSpan w:val="2"/>
          </w:tcPr>
          <w:p>
            <w:pPr>
              <w:jc w:val="right"/>
              <w:ind w:right="329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85"/>
        </w:trPr>
        <w:tc>
          <w:tcPr>
            <w:tcW w:w="3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Page</w:t>
            </w:r>
          </w:p>
        </w:tc>
      </w:tr>
      <w:tr>
        <w:trPr>
          <w:trHeight w:val="151"/>
        </w:trPr>
        <w:tc>
          <w:tcPr>
            <w:tcW w:w="20" w:type="dxa"/>
            <w:vAlign w:val="bottom"/>
            <w:shd w:val="clear" w:color="auto" w:fill="CCEEFF"/>
          </w:tcPr>
          <w:p>
            <w:pPr>
              <w:spacing w:after="0"/>
              <w:rPr>
                <w:sz w:val="13"/>
                <w:szCs w:val="13"/>
                <w:color w:val="auto"/>
              </w:rPr>
            </w:pPr>
          </w:p>
        </w:tc>
        <w:tc>
          <w:tcPr>
            <w:tcW w:w="5160" w:type="dxa"/>
            <w:vAlign w:val="bottom"/>
            <w:gridSpan w:val="8"/>
            <w:shd w:val="clear" w:color="auto" w:fill="CCEEFF"/>
          </w:tcPr>
          <w:p>
            <w:pPr>
              <w:spacing w:after="0" w:line="139" w:lineRule="exact"/>
              <w:rPr>
                <w:sz w:val="20"/>
                <w:szCs w:val="20"/>
                <w:color w:val="auto"/>
              </w:rPr>
            </w:pPr>
            <w:r>
              <w:rPr>
                <w:rFonts w:ascii="Arial" w:cs="Arial" w:eastAsia="Arial" w:hAnsi="Arial"/>
                <w:sz w:val="14"/>
                <w:szCs w:val="14"/>
                <w:color w:val="0000FF"/>
              </w:rPr>
              <w:t>Report of Independent Registered Public Accounting Firm (PCAOB ID No.</w:t>
            </w:r>
            <w:r>
              <w:rPr>
                <w:rFonts w:ascii="Arial" w:cs="Arial" w:eastAsia="Arial" w:hAnsi="Arial"/>
                <w:sz w:val="14"/>
                <w:szCs w:val="14"/>
                <w:color w:val="000000"/>
              </w:rPr>
              <w:t>34</w:t>
            </w:r>
            <w:r>
              <w:rPr>
                <w:rFonts w:ascii="Arial" w:cs="Arial" w:eastAsia="Arial" w:hAnsi="Arial"/>
                <w:sz w:val="14"/>
                <w:szCs w:val="14"/>
                <w:u w:val="single" w:color="auto"/>
                <w:color w:val="0000FF"/>
              </w:rPr>
              <w:t>)</w:t>
            </w:r>
          </w:p>
        </w:tc>
        <w:tc>
          <w:tcPr>
            <w:tcW w:w="502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F-2</w:t>
            </w:r>
          </w:p>
        </w:tc>
      </w:tr>
      <w:tr>
        <w:trPr>
          <w:trHeight w:val="212"/>
        </w:trPr>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rPr>
              <w:t>Consolidated Balance Sheets</w:t>
            </w:r>
          </w:p>
        </w:tc>
        <w:tc>
          <w:tcPr>
            <w:tcW w:w="3300" w:type="dxa"/>
            <w:vAlign w:val="bottom"/>
            <w:tcBorders>
              <w:bottom w:val="single" w:sz="8" w:color="CCEEFF"/>
            </w:tcBorders>
            <w:gridSpan w:val="7"/>
            <w:shd w:val="clear" w:color="auto" w:fill="CCEEFF"/>
          </w:tcPr>
          <w:p>
            <w:pPr>
              <w:spacing w:after="0"/>
              <w:rPr>
                <w:sz w:val="13"/>
                <w:szCs w:val="13"/>
                <w:color w:val="auto"/>
              </w:rPr>
            </w:pPr>
          </w:p>
        </w:tc>
        <w:tc>
          <w:tcPr>
            <w:tcW w:w="50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160" w:type="dxa"/>
            <w:vAlign w:val="bottom"/>
            <w:gridSpan w:val="8"/>
          </w:tcPr>
          <w:p>
            <w:pPr>
              <w:ind w:left="380"/>
              <w:spacing w:after="0"/>
              <w:rPr>
                <w:sz w:val="20"/>
                <w:szCs w:val="20"/>
                <w:color w:val="auto"/>
              </w:rPr>
            </w:pPr>
            <w:r>
              <w:rPr>
                <w:rFonts w:ascii="Arial" w:cs="Arial" w:eastAsia="Arial" w:hAnsi="Arial"/>
                <w:sz w:val="14"/>
                <w:szCs w:val="14"/>
                <w:color w:val="auto"/>
              </w:rPr>
              <w:t>December 31, 2025 and 2024</w:t>
            </w:r>
          </w:p>
        </w:tc>
        <w:tc>
          <w:tcPr>
            <w:tcW w:w="5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F-4</w:t>
            </w:r>
          </w:p>
        </w:tc>
      </w:tr>
      <w:tr>
        <w:trPr>
          <w:trHeight w:val="212"/>
        </w:trPr>
        <w:tc>
          <w:tcPr>
            <w:tcW w:w="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5160" w:type="dxa"/>
            <w:vAlign w:val="bottom"/>
            <w:gridSpan w:val="8"/>
          </w:tcPr>
          <w:p>
            <w:pPr>
              <w:spacing w:after="0" w:line="149" w:lineRule="exact"/>
              <w:rPr>
                <w:sz w:val="20"/>
                <w:szCs w:val="20"/>
                <w:color w:val="auto"/>
              </w:rPr>
            </w:pPr>
            <w:r>
              <w:rPr>
                <w:rFonts w:ascii="Arial" w:cs="Arial" w:eastAsia="Arial" w:hAnsi="Arial"/>
                <w:sz w:val="14"/>
                <w:szCs w:val="14"/>
                <w:color w:val="0000FF"/>
              </w:rPr>
              <w:t>Consolidated Statements of Operations and Comprehensive Loss</w:t>
            </w:r>
          </w:p>
        </w:tc>
        <w:tc>
          <w:tcPr>
            <w:tcW w:w="50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4100" w:type="dxa"/>
            <w:vAlign w:val="bottom"/>
            <w:tcBorders>
              <w:top w:val="single" w:sz="8" w:color="0000FF"/>
            </w:tcBorders>
            <w:gridSpan w:val="5"/>
            <w:shd w:val="clear" w:color="auto" w:fill="CCEEFF"/>
          </w:tcPr>
          <w:p>
            <w:pPr>
              <w:ind w:left="380"/>
              <w:spacing w:after="0"/>
              <w:rPr>
                <w:sz w:val="20"/>
                <w:szCs w:val="20"/>
                <w:color w:val="auto"/>
              </w:rPr>
            </w:pPr>
            <w:r>
              <w:rPr>
                <w:rFonts w:ascii="Arial" w:cs="Arial" w:eastAsia="Arial" w:hAnsi="Arial"/>
                <w:sz w:val="14"/>
                <w:szCs w:val="14"/>
                <w:color w:val="auto"/>
              </w:rPr>
              <w:t>Years ended December 31, 2025, 2024 and 2023</w:t>
            </w:r>
          </w:p>
        </w:tc>
        <w:tc>
          <w:tcPr>
            <w:tcW w:w="1060" w:type="dxa"/>
            <w:vAlign w:val="bottom"/>
            <w:gridSpan w:val="3"/>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F-5</w:t>
            </w:r>
          </w:p>
        </w:tc>
      </w:t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3820" w:type="dxa"/>
            <w:vAlign w:val="bottom"/>
            <w:tcBorders>
              <w:bottom w:val="single" w:sz="8" w:color="0000FF"/>
            </w:tcBorders>
            <w:gridSpan w:val="4"/>
            <w:shd w:val="clear" w:color="auto" w:fill="CCEEFF"/>
          </w:tcPr>
          <w:p>
            <w:pPr>
              <w:spacing w:after="0" w:line="149" w:lineRule="exact"/>
              <w:rPr>
                <w:sz w:val="20"/>
                <w:szCs w:val="20"/>
                <w:color w:val="auto"/>
              </w:rPr>
            </w:pPr>
            <w:r>
              <w:rPr>
                <w:rFonts w:ascii="Arial" w:cs="Arial" w:eastAsia="Arial" w:hAnsi="Arial"/>
                <w:sz w:val="14"/>
                <w:szCs w:val="14"/>
                <w:color w:val="0000FF"/>
              </w:rPr>
              <w:t>Consolidated Statements of Changes in Stockholders’ Equity</w:t>
            </w:r>
          </w:p>
        </w:tc>
        <w:tc>
          <w:tcPr>
            <w:tcW w:w="1340" w:type="dxa"/>
            <w:vAlign w:val="bottom"/>
            <w:tcBorders>
              <w:bottom w:val="single" w:sz="8" w:color="CCEEFF"/>
            </w:tcBorders>
            <w:gridSpan w:val="4"/>
            <w:shd w:val="clear" w:color="auto" w:fill="CCEEFF"/>
          </w:tcPr>
          <w:p>
            <w:pPr>
              <w:spacing w:after="0"/>
              <w:rPr>
                <w:sz w:val="13"/>
                <w:szCs w:val="13"/>
                <w:color w:val="auto"/>
              </w:rPr>
            </w:pPr>
          </w:p>
        </w:tc>
        <w:tc>
          <w:tcPr>
            <w:tcW w:w="50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160" w:type="dxa"/>
            <w:vAlign w:val="bottom"/>
            <w:gridSpan w:val="8"/>
          </w:tcPr>
          <w:p>
            <w:pPr>
              <w:ind w:left="380"/>
              <w:spacing w:after="0"/>
              <w:rPr>
                <w:sz w:val="20"/>
                <w:szCs w:val="20"/>
                <w:color w:val="auto"/>
              </w:rPr>
            </w:pPr>
            <w:r>
              <w:rPr>
                <w:rFonts w:ascii="Arial" w:cs="Arial" w:eastAsia="Arial" w:hAnsi="Arial"/>
                <w:sz w:val="14"/>
                <w:szCs w:val="14"/>
                <w:color w:val="auto"/>
              </w:rPr>
              <w:t>Years ended December 31, 2025, 2024 and 2023</w:t>
            </w:r>
          </w:p>
        </w:tc>
        <w:tc>
          <w:tcPr>
            <w:tcW w:w="5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F-6</w:t>
            </w:r>
          </w:p>
        </w:tc>
      </w:tr>
      <w:tr>
        <w:trPr>
          <w:trHeight w:val="212"/>
        </w:trPr>
        <w:tc>
          <w:tcPr>
            <w:tcW w:w="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252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rPr>
              <w:t>Consolidated Statements of Cash Flows</w:t>
            </w:r>
          </w:p>
        </w:tc>
        <w:tc>
          <w:tcPr>
            <w:tcW w:w="2640" w:type="dxa"/>
            <w:vAlign w:val="bottom"/>
            <w:gridSpan w:val="6"/>
          </w:tcPr>
          <w:p>
            <w:pPr>
              <w:spacing w:after="0"/>
              <w:rPr>
                <w:sz w:val="13"/>
                <w:szCs w:val="13"/>
                <w:color w:val="auto"/>
              </w:rPr>
            </w:pPr>
          </w:p>
        </w:tc>
        <w:tc>
          <w:tcPr>
            <w:tcW w:w="50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5160" w:type="dxa"/>
            <w:vAlign w:val="bottom"/>
            <w:gridSpan w:val="8"/>
            <w:shd w:val="clear" w:color="auto" w:fill="CCEEFF"/>
          </w:tcPr>
          <w:p>
            <w:pPr>
              <w:ind w:left="380"/>
              <w:spacing w:after="0"/>
              <w:rPr>
                <w:sz w:val="20"/>
                <w:szCs w:val="20"/>
                <w:color w:val="auto"/>
              </w:rPr>
            </w:pPr>
            <w:r>
              <w:rPr>
                <w:rFonts w:ascii="Arial" w:cs="Arial" w:eastAsia="Arial" w:hAnsi="Arial"/>
                <w:sz w:val="14"/>
                <w:szCs w:val="14"/>
                <w:color w:val="auto"/>
              </w:rPr>
              <w:t>Years ended December 31, 2025, 2024 and 2023</w:t>
            </w:r>
          </w:p>
        </w:tc>
        <w:tc>
          <w:tcPr>
            <w:tcW w:w="50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F-7</w:t>
            </w:r>
          </w:p>
        </w:tc>
      </w:t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0"/>
        </w:trPr>
        <w:tc>
          <w:tcPr>
            <w:tcW w:w="20" w:type="dxa"/>
            <w:vAlign w:val="bottom"/>
            <w:shd w:val="clear" w:color="auto" w:fill="CCEEFF"/>
          </w:tcPr>
          <w:p>
            <w:pPr>
              <w:spacing w:after="0"/>
              <w:rPr>
                <w:sz w:val="13"/>
                <w:szCs w:val="13"/>
                <w:color w:val="auto"/>
              </w:rPr>
            </w:pPr>
          </w:p>
        </w:tc>
        <w:tc>
          <w:tcPr>
            <w:tcW w:w="51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0000FF"/>
              </w:rPr>
              <w:t>Notes to Consolidated Financial Statements</w:t>
            </w:r>
          </w:p>
        </w:tc>
        <w:tc>
          <w:tcPr>
            <w:tcW w:w="502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F-8</w:t>
            </w:r>
          </w:p>
        </w:tc>
      </w:tr>
      <w:tr>
        <w:trPr>
          <w:trHeight w:val="712"/>
        </w:trPr>
        <w:tc>
          <w:tcPr>
            <w:tcW w:w="20" w:type="dxa"/>
            <w:vAlign w:val="bottom"/>
            <w:tcBorders>
              <w:top w:val="single" w:sz="8" w:color="CCEE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10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F - 1</w:t>
            </w:r>
          </w:p>
        </w:tc>
      </w:tr>
      <w:tr>
        <w:trPr>
          <w:trHeight w:val="85"/>
        </w:trPr>
        <w:tc>
          <w:tcPr>
            <w:tcW w:w="2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2" w:right="31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Arvinas, Inc.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have audited the accompanying consolidated balance sheets of Arvinas, Inc. and subsidiaries (the "Company") as of December 31, 2025 and 2024, the related consolidated statements of operations and comprehensive loss, changes in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79"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32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7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 – Research and Development Accruals - Refer to Note 2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Company enters into contracts with third parties to perform research and development activities. Costs are considered incurred based on an evaluation of the progress to completion of specific tasks under each contract using information and data provided by the respective vendors. These costs consist of direct and indirect costs associated with specific projects, as well as fees paid to various entities that perform certain research on behalf of the Company. These accrued expenses are based on management’s estimates of the work performed under</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auto"/>
        </w:rPr>
        <w:t>service agreements, milestones achieved and experience with similar contracts. The Company monitors each of these factors and adjusts estimates accordingly.</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identified the valuation of certain research and development accruals as a critical audit matter due to the judgments necessary for management to estimate the level of services provided and the costs incurred for the service when the Company has not yet been invoiced or otherwise notified of actual costs. This required a high degree of auditor judgment and an increased extent of effort when performing audit procedures to audit management's estimates of such 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research and development accruals included the following, among others:</w:t>
      </w:r>
    </w:p>
    <w:p>
      <w:pPr>
        <w:spacing w:after="0" w:line="179" w:lineRule="exact"/>
        <w:rPr>
          <w:sz w:val="20"/>
          <w:szCs w:val="20"/>
          <w:color w:val="auto"/>
        </w:rPr>
      </w:pPr>
    </w:p>
    <w:p>
      <w:pPr>
        <w:ind w:left="520" w:hanging="260"/>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We tested the effectiveness of controls over the estimation of research and development accruals.</w:t>
      </w:r>
    </w:p>
    <w:p>
      <w:pPr>
        <w:spacing w:after="0" w:line="178"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a sample of projects, we read the related contracts and any amendments to the contracts, purchase orders, statements of work and other contractual documentation. We tested the completeness and accuracy of the information used to develop the estimates and evaluated the significant assumptions used by management to estimate the recorded amounts by performing the following:</w:t>
      </w:r>
    </w:p>
    <w:p>
      <w:pPr>
        <w:spacing w:after="0" w:line="133" w:lineRule="exact"/>
        <w:rPr>
          <w:rFonts w:ascii="Arial" w:cs="Arial" w:eastAsia="Arial" w:hAnsi="Arial"/>
          <w:sz w:val="14"/>
          <w:szCs w:val="14"/>
          <w:color w:val="auto"/>
        </w:rPr>
      </w:pPr>
    </w:p>
    <w:p>
      <w:pPr>
        <w:ind w:left="1020" w:hanging="251"/>
        <w:spacing w:after="0"/>
        <w:tabs>
          <w:tab w:leader="none" w:pos="10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Performed corroborating inquiries with the Company’s research and development personnel to understand the nature and progress of the studies.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Inspected information from third-party service providers to evaluate the progress of the activity.</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Obtained corresponding invoices and evidence of payment to third-party service providers.</w:t>
      </w:r>
    </w:p>
    <w:p>
      <w:pPr>
        <w:spacing w:after="0" w:line="178" w:lineRule="exact"/>
        <w:rPr>
          <w:rFonts w:ascii="Arial" w:cs="Arial" w:eastAsia="Arial" w:hAnsi="Arial"/>
          <w:sz w:val="14"/>
          <w:szCs w:val="14"/>
          <w:color w:val="auto"/>
        </w:rPr>
      </w:pPr>
    </w:p>
    <w:p>
      <w:pPr>
        <w:ind w:left="1020" w:right="480" w:hanging="251"/>
        <w:spacing w:after="0" w:line="290" w:lineRule="auto"/>
        <w:tabs>
          <w:tab w:leader="none" w:pos="1017" w:val="left"/>
        </w:tabs>
        <w:numPr>
          <w:ilvl w:val="1"/>
          <w:numId w:val="93"/>
        </w:numPr>
        <w:rPr>
          <w:rFonts w:ascii="Arial" w:cs="Arial" w:eastAsia="Arial" w:hAnsi="Arial"/>
          <w:sz w:val="14"/>
          <w:szCs w:val="14"/>
          <w:color w:val="auto"/>
        </w:rPr>
      </w:pPr>
      <w:r>
        <w:rPr>
          <w:rFonts w:ascii="Arial" w:cs="Arial" w:eastAsia="Arial" w:hAnsi="Arial"/>
          <w:sz w:val="14"/>
          <w:szCs w:val="14"/>
          <w:color w:val="auto"/>
        </w:rPr>
        <w:t>Compared the estimated accrual balance as of December 31, 2025, to the invoices received after year-end to evaluate the Company’s ability to estimate the accrual.</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2026</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4"/>
          <w:szCs w:val="14"/>
          <w:b w:val="1"/>
          <w:bCs w:val="1"/>
          <w:color w:val="auto"/>
        </w:rPr>
        <w:t>ARVINAS,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180" w:type="dxa"/>
            <w:vAlign w:val="bottom"/>
            <w:tcBorders>
              <w:bottom w:val="single" w:sz="8" w:color="auto"/>
            </w:tcBorders>
          </w:tcPr>
          <w:p>
            <w:pPr>
              <w:spacing w:after="0"/>
              <w:rPr>
                <w:sz w:val="13"/>
                <w:szCs w:val="13"/>
                <w:color w:val="auto"/>
              </w:rPr>
            </w:pPr>
          </w:p>
        </w:tc>
      </w:tr>
      <w:tr>
        <w:trPr>
          <w:trHeight w:val="16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and shares in millions, except per share amounts)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rPr>
              <w:t>2024</w:t>
            </w:r>
          </w:p>
        </w:tc>
      </w:tr>
      <w:tr>
        <w:trPr>
          <w:trHeight w:val="18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r>
      <w:tr>
        <w:trPr>
          <w:trHeight w:val="197"/>
        </w:trPr>
        <w:tc>
          <w:tcPr>
            <w:tcW w:w="778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542.5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938.9</w:t>
            </w:r>
          </w:p>
        </w:tc>
      </w:tr>
      <w:tr>
        <w:trPr>
          <w:trHeight w:val="20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97"/>
        </w:trPr>
        <w:tc>
          <w:tcPr>
            <w:tcW w:w="7780" w:type="dxa"/>
            <w:vAlign w:val="bottom"/>
          </w:tcPr>
          <w:p>
            <w:pPr>
              <w:ind w:left="220"/>
              <w:spacing w:after="0"/>
              <w:rPr>
                <w:sz w:val="20"/>
                <w:szCs w:val="20"/>
                <w:color w:val="auto"/>
              </w:rPr>
            </w:pPr>
            <w:r>
              <w:rPr>
                <w:rFonts w:ascii="Arial" w:cs="Arial" w:eastAsia="Arial" w:hAnsi="Arial"/>
                <w:sz w:val="14"/>
                <w:szCs w:val="14"/>
                <w:color w:val="auto"/>
              </w:rPr>
              <w:t>Other receivables</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88"/>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42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700.7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1,067.3</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leasehold improvements, net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7"/>
        </w:trPr>
        <w:tc>
          <w:tcPr>
            <w:tcW w:w="7780" w:type="dxa"/>
            <w:vAlign w:val="bottom"/>
          </w:tcPr>
          <w:p>
            <w:pPr>
              <w:ind w:left="20"/>
              <w:spacing w:after="0"/>
              <w:rPr>
                <w:sz w:val="20"/>
                <w:szCs w:val="20"/>
                <w:color w:val="auto"/>
              </w:rPr>
            </w:pPr>
            <w:r>
              <w:rPr>
                <w:rFonts w:ascii="Arial" w:cs="Arial" w:eastAsia="Arial" w:hAnsi="Arial"/>
                <w:sz w:val="14"/>
                <w:szCs w:val="14"/>
                <w:color w:val="auto"/>
              </w:rPr>
              <w:t>Operating lease right of use assets</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contract asset and other assets</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8"/>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717.9</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and accrued liabilities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197"/>
        </w:trPr>
        <w:tc>
          <w:tcPr>
            <w:tcW w:w="778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156.2</w:t>
            </w:r>
          </w:p>
        </w:tc>
      </w:tr>
      <w:tr>
        <w:trPr>
          <w:trHeight w:val="20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operating lease liability</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42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142.5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229.8</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134.3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w:t>
            </w:r>
          </w:p>
        </w:tc>
      </w:tr>
      <w:tr>
        <w:trPr>
          <w:trHeight w:val="197"/>
        </w:trPr>
        <w:tc>
          <w:tcPr>
            <w:tcW w:w="7780" w:type="dxa"/>
            <w:vAlign w:val="bottom"/>
          </w:tcPr>
          <w:p>
            <w:pPr>
              <w:ind w:left="20"/>
              <w:spacing w:after="0"/>
              <w:rPr>
                <w:sz w:val="20"/>
                <w:szCs w:val="20"/>
                <w:color w:val="auto"/>
              </w:rPr>
            </w:pPr>
            <w:r>
              <w:rPr>
                <w:rFonts w:ascii="Arial" w:cs="Arial" w:eastAsia="Arial" w:hAnsi="Arial"/>
                <w:sz w:val="14"/>
                <w:szCs w:val="14"/>
                <w:color w:val="auto"/>
              </w:rPr>
              <w:t>Long term debt</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284.0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w:t>
            </w:r>
          </w:p>
        </w:tc>
      </w:tr>
      <w:tr>
        <w:trPr>
          <w:trHeight w:val="18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 $0.001 par value, zero shares issued and outstanding as of December 31, 2025 and 2024, respectively</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6"/>
        </w:trPr>
        <w:tc>
          <w:tcPr>
            <w:tcW w:w="7780" w:type="dxa"/>
            <w:vAlign w:val="bottom"/>
          </w:tcPr>
          <w:p>
            <w:pPr>
              <w:ind w:left="220"/>
              <w:spacing w:after="0"/>
              <w:rPr>
                <w:sz w:val="20"/>
                <w:szCs w:val="20"/>
                <w:color w:val="auto"/>
              </w:rPr>
            </w:pPr>
            <w:r>
              <w:rPr>
                <w:rFonts w:ascii="Arial" w:cs="Arial" w:eastAsia="Arial" w:hAnsi="Arial"/>
                <w:sz w:val="14"/>
                <w:szCs w:val="14"/>
                <w:color w:val="auto"/>
              </w:rPr>
              <w:t>Common stock, $0.001 par value, 73.5 shares issued and 63.5 shares outstanding as of December 31, 2025, and 68.8</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1"/>
        </w:trPr>
        <w:tc>
          <w:tcPr>
            <w:tcW w:w="7780" w:type="dxa"/>
            <w:vAlign w:val="bottom"/>
          </w:tcPr>
          <w:p>
            <w:pPr>
              <w:ind w:left="220"/>
              <w:spacing w:after="0"/>
              <w:rPr>
                <w:sz w:val="20"/>
                <w:szCs w:val="20"/>
                <w:color w:val="auto"/>
              </w:rPr>
            </w:pPr>
            <w:r>
              <w:rPr>
                <w:rFonts w:ascii="Arial" w:cs="Arial" w:eastAsia="Arial" w:hAnsi="Arial"/>
                <w:sz w:val="14"/>
                <w:szCs w:val="14"/>
                <w:color w:val="auto"/>
              </w:rPr>
              <w:t>shares issued and outstanding as of December 31, 2024</w:t>
            </w:r>
          </w:p>
        </w:tc>
        <w:tc>
          <w:tcPr>
            <w:tcW w:w="42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(1,531.6)</w:t>
            </w:r>
          </w:p>
        </w:tc>
      </w:tr>
      <w:tr>
        <w:trPr>
          <w:trHeight w:val="197"/>
        </w:trPr>
        <w:tc>
          <w:tcPr>
            <w:tcW w:w="778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2,136.9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2,092.2</w:t>
            </w:r>
          </w:p>
        </w:tc>
      </w:tr>
      <w:tr>
        <w:trPr>
          <w:trHeight w:val="20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7"/>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Treasury Stock, at cost (10.0 and zero shares at December 31, 2025 and December 31, 2024, respectively)</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433.9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r>
      <w:tr>
        <w:trPr>
          <w:trHeight w:val="188"/>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717.9</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1,091.4</w:t>
            </w:r>
          </w:p>
        </w:tc>
      </w:tr>
      <w:tr>
        <w:trPr>
          <w:trHeight w:val="20"/>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4"/>
          <w:szCs w:val="14"/>
          <w:b w:val="1"/>
          <w:bCs w:val="1"/>
          <w:color w:val="auto"/>
        </w:rPr>
        <w:t>ARVINAS,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tcPr>
          <w:p>
            <w:pPr>
              <w:ind w:left="20"/>
              <w:spacing w:after="0"/>
              <w:rPr>
                <w:sz w:val="20"/>
                <w:szCs w:val="20"/>
                <w:color w:val="auto"/>
              </w:rPr>
            </w:pPr>
            <w:r>
              <w:rPr>
                <w:rFonts w:ascii="Arial" w:cs="Arial" w:eastAsia="Arial" w:hAnsi="Arial"/>
                <w:sz w:val="11"/>
                <w:szCs w:val="11"/>
                <w:i w:val="1"/>
                <w:iCs w:val="1"/>
                <w:color w:val="auto"/>
              </w:rPr>
              <w:t>(dollars and shares in millions, except per share amounts)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Consolidated Statements of Operations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97"/>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2023</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r>
      <w:tr>
        <w:trPr>
          <w:trHeight w:val="20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348.2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w:t>
            </w:r>
          </w:p>
        </w:tc>
      </w:tr>
      <w:tr>
        <w:trPr>
          <w:trHeight w:val="197"/>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General and administrative</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165.4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513.6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w:t>
            </w:r>
          </w:p>
        </w:tc>
      </w:tr>
      <w:tr>
        <w:trPr>
          <w:trHeight w:val="192"/>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(250.2)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(401.5)</w:t>
            </w: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7"/>
        </w:trPr>
        <w:tc>
          <w:tcPr>
            <w:tcW w:w="5980" w:type="dxa"/>
            <w:vAlign w:val="bottom"/>
          </w:tcPr>
          <w:p>
            <w:pPr>
              <w:ind w:left="220"/>
              <w:spacing w:after="0"/>
              <w:rPr>
                <w:sz w:val="20"/>
                <w:szCs w:val="20"/>
                <w:color w:val="auto"/>
              </w:rPr>
            </w:pPr>
            <w:r>
              <w:rPr>
                <w:rFonts w:ascii="Arial" w:cs="Arial" w:eastAsia="Arial" w:hAnsi="Arial"/>
                <w:sz w:val="14"/>
                <w:szCs w:val="14"/>
                <w:color w:val="auto"/>
              </w:rPr>
              <w:t>Other expense, net</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6"/>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net</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92"/>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51.9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r>
      <w:tr>
        <w:trPr>
          <w:trHeight w:val="19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before income taxes and loss from equity method investment</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w:t>
            </w:r>
          </w:p>
        </w:tc>
      </w:tr>
      <w:tr>
        <w:trPr>
          <w:trHeight w:val="197"/>
        </w:trPr>
        <w:tc>
          <w:tcPr>
            <w:tcW w:w="5980" w:type="dxa"/>
            <w:vAlign w:val="bottom"/>
          </w:tcPr>
          <w:p>
            <w:pPr>
              <w:ind w:left="220"/>
              <w:spacing w:after="0"/>
              <w:rPr>
                <w:sz w:val="20"/>
                <w:szCs w:val="20"/>
                <w:color w:val="auto"/>
              </w:rPr>
            </w:pPr>
            <w:r>
              <w:rPr>
                <w:rFonts w:ascii="Arial" w:cs="Arial" w:eastAsia="Arial" w:hAnsi="Arial"/>
                <w:sz w:val="14"/>
                <w:szCs w:val="14"/>
                <w:color w:val="auto"/>
              </w:rPr>
              <w:t>Income tax expense</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6"/>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from equity method investment</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1"/>
        </w:trPr>
        <w:tc>
          <w:tcPr>
            <w:tcW w:w="5980" w:type="dxa"/>
            <w:vAlign w:val="bottom"/>
          </w:tcPr>
          <w:p>
            <w:pPr>
              <w:ind w:left="40"/>
              <w:spacing w:after="0"/>
              <w:rPr>
                <w:sz w:val="20"/>
                <w:szCs w:val="20"/>
                <w:color w:val="auto"/>
              </w:rPr>
            </w:pPr>
            <w:r>
              <w:rPr>
                <w:rFonts w:ascii="Arial" w:cs="Arial" w:eastAsia="Arial" w:hAnsi="Arial"/>
                <w:sz w:val="14"/>
                <w:szCs w:val="14"/>
                <w:b w:val="1"/>
                <w:bCs w:val="1"/>
                <w:color w:val="auto"/>
              </w:rPr>
              <w:t>Net loss</w:t>
            </w: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3"/>
        </w:trPr>
        <w:tc>
          <w:tcPr>
            <w:tcW w:w="5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Net loss per common share</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2"/>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212"/>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common shares outstanding</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3"/>
        </w:trPr>
        <w:tc>
          <w:tcPr>
            <w:tcW w:w="598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12"/>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444"/>
        </w:trPr>
        <w:tc>
          <w:tcPr>
            <w:tcW w:w="5980" w:type="dxa"/>
            <w:vAlign w:val="bottom"/>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6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Consolidated Statements of Comprehensive Loss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97"/>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2023</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w:t>
            </w:r>
          </w:p>
        </w:tc>
      </w:tr>
      <w:tr>
        <w:trPr>
          <w:trHeight w:val="20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loss: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available-for-sale securities</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8"/>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(351.2)</w:t>
            </w: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4"/>
          <w:szCs w:val="14"/>
          <w:b w:val="1"/>
          <w:bCs w:val="1"/>
          <w:color w:val="auto"/>
        </w:rPr>
        <w:t>ARVINAS,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1780" w:type="dxa"/>
            <w:vAlign w:val="bottom"/>
            <w:gridSpan w:val="3"/>
            <w:vMerge w:val="restart"/>
          </w:tcPr>
          <w:p>
            <w:pPr>
              <w:jc w:val="right"/>
              <w:ind w:right="459"/>
              <w:spacing w:after="0"/>
              <w:rPr>
                <w:sz w:val="20"/>
                <w:szCs w:val="20"/>
                <w:color w:val="auto"/>
              </w:rPr>
            </w:pPr>
            <w:r>
              <w:rPr>
                <w:rFonts w:ascii="Arial" w:cs="Arial" w:eastAsia="Arial" w:hAnsi="Arial"/>
                <w:sz w:val="11"/>
                <w:szCs w:val="11"/>
                <w:b w:val="1"/>
                <w:bCs w:val="1"/>
                <w:color w:val="auto"/>
              </w:rPr>
              <w:t>Common</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Other</w:t>
            </w:r>
          </w:p>
        </w:tc>
        <w:tc>
          <w:tcPr>
            <w:tcW w:w="13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Treasury</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7"/>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7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9"/>
                <w:szCs w:val="9"/>
                <w:color w:val="auto"/>
              </w:rPr>
            </w:pPr>
          </w:p>
        </w:tc>
        <w:tc>
          <w:tcPr>
            <w:tcW w:w="960" w:type="dxa"/>
            <w:vAlign w:val="bottom"/>
            <w:gridSpan w:val="2"/>
          </w:tcPr>
          <w:p>
            <w:pPr>
              <w:ind w:left="120"/>
              <w:spacing w:after="0" w:line="107"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9"/>
                <w:szCs w:val="9"/>
                <w:color w:val="auto"/>
              </w:rPr>
            </w:pPr>
          </w:p>
        </w:tc>
        <w:tc>
          <w:tcPr>
            <w:tcW w:w="102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Comprehensive</w:t>
            </w:r>
          </w:p>
        </w:tc>
        <w:tc>
          <w:tcPr>
            <w:tcW w:w="1300" w:type="dxa"/>
            <w:vAlign w:val="bottom"/>
            <w:tcBorders>
              <w:bottom w:val="single" w:sz="8" w:color="auto"/>
            </w:tcBorders>
            <w:gridSpan w:val="3"/>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37"/>
              <w:spacing w:after="0" w:line="10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and shares in millions)</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99"/>
              </w:rPr>
              <w:t>Paid-in 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Loss (Income)</w:t>
            </w:r>
          </w:p>
        </w:tc>
        <w:tc>
          <w:tcPr>
            <w:tcW w:w="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82"/>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564.9</w:t>
            </w:r>
          </w:p>
        </w:tc>
        <w:tc>
          <w:tcPr>
            <w:tcW w:w="0" w:type="dxa"/>
            <w:vAlign w:val="bottom"/>
          </w:tcPr>
          <w:p>
            <w:pPr>
              <w:spacing w:after="0"/>
              <w:rPr>
                <w:sz w:val="1"/>
                <w:szCs w:val="1"/>
                <w:color w:val="auto"/>
              </w:rPr>
            </w:pPr>
          </w:p>
        </w:tc>
      </w:tr>
      <w:tr>
        <w:trPr>
          <w:trHeight w:val="167"/>
        </w:trPr>
        <w:tc>
          <w:tcPr>
            <w:tcW w:w="282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(367.3)</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(367.3)</w:t>
            </w:r>
          </w:p>
        </w:tc>
        <w:tc>
          <w:tcPr>
            <w:tcW w:w="0" w:type="dxa"/>
            <w:vAlign w:val="bottom"/>
          </w:tcPr>
          <w:p>
            <w:pPr>
              <w:spacing w:after="0"/>
              <w:rPr>
                <w:sz w:val="1"/>
                <w:szCs w:val="1"/>
                <w:color w:val="auto"/>
              </w:rPr>
            </w:pPr>
          </w:p>
        </w:tc>
      </w:tr>
      <w:tr>
        <w:trPr>
          <w:trHeight w:val="149"/>
        </w:trPr>
        <w:tc>
          <w:tcPr>
            <w:tcW w:w="2820" w:type="dxa"/>
            <w:vAlign w:val="bottom"/>
          </w:tcPr>
          <w:p>
            <w:pPr>
              <w:ind w:left="180"/>
              <w:spacing w:after="0"/>
              <w:rPr>
                <w:sz w:val="20"/>
                <w:szCs w:val="20"/>
                <w:color w:val="auto"/>
              </w:rPr>
            </w:pPr>
            <w:r>
              <w:rPr>
                <w:rFonts w:ascii="Arial" w:cs="Arial" w:eastAsia="Arial" w:hAnsi="Arial"/>
                <w:sz w:val="13"/>
                <w:szCs w:val="13"/>
                <w:color w:val="auto"/>
              </w:rPr>
              <w:t>Issuance of common stock under equity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20"/>
              <w:spacing w:after="0"/>
              <w:rPr>
                <w:sz w:val="20"/>
                <w:szCs w:val="20"/>
                <w:color w:val="auto"/>
              </w:rPr>
            </w:pPr>
            <w:r>
              <w:rPr>
                <w:rFonts w:ascii="Arial" w:cs="Arial" w:eastAsia="Arial" w:hAnsi="Arial"/>
                <w:sz w:val="13"/>
                <w:szCs w:val="13"/>
                <w:color w:val="auto"/>
              </w:rPr>
              <w:t>incentive plans</w:t>
            </w: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 issued, net of issuance costs</w:t>
            </w: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of $17.0 million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59"/>
        </w:trPr>
        <w:tc>
          <w:tcPr>
            <w:tcW w:w="2820" w:type="dxa"/>
            <w:vAlign w:val="bottom"/>
          </w:tcPr>
          <w:p>
            <w:pPr>
              <w:ind w:left="180"/>
              <w:spacing w:after="0"/>
              <w:rPr>
                <w:sz w:val="20"/>
                <w:szCs w:val="20"/>
                <w:color w:val="auto"/>
              </w:rPr>
            </w:pPr>
            <w:r>
              <w:rPr>
                <w:rFonts w:ascii="Arial" w:cs="Arial" w:eastAsia="Arial" w:hAnsi="Arial"/>
                <w:sz w:val="13"/>
                <w:szCs w:val="13"/>
                <w:color w:val="auto"/>
              </w:rPr>
              <w:t>Unrealized gain on available-for-sale</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20"/>
              <w:spacing w:after="0"/>
              <w:rPr>
                <w:sz w:val="20"/>
                <w:szCs w:val="20"/>
                <w:color w:val="auto"/>
              </w:rPr>
            </w:pPr>
            <w:r>
              <w:rPr>
                <w:rFonts w:ascii="Arial" w:cs="Arial" w:eastAsia="Arial" w:hAnsi="Arial"/>
                <w:sz w:val="13"/>
                <w:szCs w:val="13"/>
                <w:color w:val="auto"/>
              </w:rPr>
              <w:t>securities</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16.1</w:t>
            </w:r>
          </w:p>
        </w:tc>
        <w:tc>
          <w:tcPr>
            <w:tcW w:w="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4"/>
        </w:trPr>
        <w:tc>
          <w:tcPr>
            <w:tcW w:w="2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w:t>
            </w:r>
          </w:p>
        </w:tc>
        <w:tc>
          <w:tcPr>
            <w:tcW w:w="0" w:type="dxa"/>
            <w:vAlign w:val="bottom"/>
          </w:tcPr>
          <w:p>
            <w:pPr>
              <w:spacing w:after="0"/>
              <w:rPr>
                <w:sz w:val="1"/>
                <w:szCs w:val="1"/>
                <w:color w:val="auto"/>
              </w:rPr>
            </w:pPr>
          </w:p>
        </w:tc>
      </w:tr>
      <w:tr>
        <w:trPr>
          <w:trHeight w:val="167"/>
        </w:trPr>
        <w:tc>
          <w:tcPr>
            <w:tcW w:w="282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149"/>
        </w:trPr>
        <w:tc>
          <w:tcPr>
            <w:tcW w:w="2820" w:type="dxa"/>
            <w:vAlign w:val="bottom"/>
          </w:tcPr>
          <w:p>
            <w:pPr>
              <w:ind w:left="180"/>
              <w:spacing w:after="0"/>
              <w:rPr>
                <w:sz w:val="20"/>
                <w:szCs w:val="20"/>
                <w:color w:val="auto"/>
              </w:rPr>
            </w:pPr>
            <w:r>
              <w:rPr>
                <w:rFonts w:ascii="Arial" w:cs="Arial" w:eastAsia="Arial" w:hAnsi="Arial"/>
                <w:sz w:val="13"/>
                <w:szCs w:val="13"/>
                <w:color w:val="auto"/>
              </w:rPr>
              <w:t>Issuance of common stock under equity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20"/>
              <w:spacing w:after="0"/>
              <w:rPr>
                <w:sz w:val="20"/>
                <w:szCs w:val="20"/>
                <w:color w:val="auto"/>
              </w:rPr>
            </w:pPr>
            <w:r>
              <w:rPr>
                <w:rFonts w:ascii="Arial" w:cs="Arial" w:eastAsia="Arial" w:hAnsi="Arial"/>
                <w:sz w:val="13"/>
                <w:szCs w:val="13"/>
                <w:color w:val="auto"/>
              </w:rPr>
              <w:t>incentive plans</w:t>
            </w:r>
          </w:p>
        </w:tc>
        <w:tc>
          <w:tcPr>
            <w:tcW w:w="980" w:type="dxa"/>
            <w:vAlign w:val="bottom"/>
          </w:tcPr>
          <w:p>
            <w:pPr>
              <w:jc w:val="right"/>
              <w:spacing w:after="0"/>
              <w:rPr>
                <w:sz w:val="20"/>
                <w:szCs w:val="20"/>
                <w:color w:val="auto"/>
              </w:rPr>
            </w:pPr>
            <w:r>
              <w:rPr>
                <w:rFonts w:ascii="Arial" w:cs="Arial" w:eastAsia="Arial" w:hAnsi="Arial"/>
                <w:sz w:val="13"/>
                <w:szCs w:val="13"/>
                <w:color w:val="auto"/>
              </w:rPr>
              <w:t>0.8</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gain on available-for-sale</w:t>
            </w: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securities</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68.8</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0.1</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(1,531.6)</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2,092.2</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561.7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97"/>
        </w:trPr>
        <w:tc>
          <w:tcPr>
            <w:tcW w:w="28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under equity</w:t>
            </w: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incentive plans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9"/>
        </w:trPr>
        <w:tc>
          <w:tcPr>
            <w:tcW w:w="2820" w:type="dxa"/>
            <w:vAlign w:val="bottom"/>
          </w:tcPr>
          <w:p>
            <w:pPr>
              <w:ind w:left="180"/>
              <w:spacing w:after="0"/>
              <w:rPr>
                <w:sz w:val="20"/>
                <w:szCs w:val="20"/>
                <w:color w:val="auto"/>
              </w:rPr>
            </w:pPr>
            <w:r>
              <w:rPr>
                <w:rFonts w:ascii="Arial" w:cs="Arial" w:eastAsia="Arial" w:hAnsi="Arial"/>
                <w:sz w:val="13"/>
                <w:szCs w:val="13"/>
                <w:color w:val="auto"/>
              </w:rPr>
              <w:t>Issuance of common stock for pre-funded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20"/>
              <w:spacing w:after="0"/>
              <w:rPr>
                <w:sz w:val="20"/>
                <w:szCs w:val="20"/>
                <w:color w:val="auto"/>
              </w:rPr>
            </w:pPr>
            <w:r>
              <w:rPr>
                <w:rFonts w:ascii="Arial" w:cs="Arial" w:eastAsia="Arial" w:hAnsi="Arial"/>
                <w:sz w:val="13"/>
                <w:szCs w:val="13"/>
                <w:color w:val="auto"/>
              </w:rPr>
              <w:t>warrants</w:t>
            </w:r>
          </w:p>
        </w:tc>
        <w:tc>
          <w:tcPr>
            <w:tcW w:w="980" w:type="dxa"/>
            <w:vAlign w:val="bottom"/>
          </w:tcPr>
          <w:p>
            <w:pPr>
              <w:jc w:val="right"/>
              <w:spacing w:after="0"/>
              <w:rPr>
                <w:sz w:val="20"/>
                <w:szCs w:val="20"/>
                <w:color w:val="auto"/>
              </w:rPr>
            </w:pPr>
            <w:r>
              <w:rPr>
                <w:rFonts w:ascii="Arial" w:cs="Arial" w:eastAsia="Arial" w:hAnsi="Arial"/>
                <w:sz w:val="13"/>
                <w:szCs w:val="13"/>
                <w:color w:val="auto"/>
              </w:rPr>
              <w:t>3.4</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Share repurchases (Treasury stock)</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9"/>
              </w:rPr>
              <w:t>(91.9)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0" w:type="dxa"/>
            <w:vAlign w:val="bottom"/>
          </w:tcPr>
          <w:p>
            <w:pPr>
              <w:spacing w:after="0"/>
              <w:rPr>
                <w:sz w:val="1"/>
                <w:szCs w:val="1"/>
                <w:color w:val="auto"/>
              </w:rPr>
            </w:pPr>
          </w:p>
        </w:tc>
      </w:tr>
      <w:tr>
        <w:trPr>
          <w:trHeight w:val="159"/>
        </w:trPr>
        <w:tc>
          <w:tcPr>
            <w:tcW w:w="2820" w:type="dxa"/>
            <w:vAlign w:val="bottom"/>
          </w:tcPr>
          <w:p>
            <w:pPr>
              <w:ind w:left="180"/>
              <w:spacing w:after="0"/>
              <w:rPr>
                <w:sz w:val="20"/>
                <w:szCs w:val="20"/>
                <w:color w:val="auto"/>
              </w:rPr>
            </w:pPr>
            <w:r>
              <w:rPr>
                <w:rFonts w:ascii="Arial" w:cs="Arial" w:eastAsia="Arial" w:hAnsi="Arial"/>
                <w:sz w:val="13"/>
                <w:szCs w:val="13"/>
                <w:color w:val="auto"/>
              </w:rPr>
              <w:t>Unrealized gain on available-for-sale</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320"/>
              <w:spacing w:after="0"/>
              <w:rPr>
                <w:sz w:val="20"/>
                <w:szCs w:val="20"/>
                <w:color w:val="auto"/>
              </w:rPr>
            </w:pPr>
            <w:r>
              <w:rPr>
                <w:rFonts w:ascii="Arial" w:cs="Arial" w:eastAsia="Arial" w:hAnsi="Arial"/>
                <w:sz w:val="13"/>
                <w:szCs w:val="13"/>
                <w:color w:val="auto"/>
              </w:rPr>
              <w:t>securities</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4"/>
        </w:trPr>
        <w:tc>
          <w:tcPr>
            <w:tcW w:w="2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0.1</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(1,612.4)</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2,136.9</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9"/>
              </w:rPr>
              <w:t>(91.9)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4"/>
          <w:szCs w:val="14"/>
          <w:b w:val="1"/>
          <w:bCs w:val="1"/>
          <w:color w:val="2E2E2E"/>
        </w:rPr>
        <w:t>ARVINAS</w:t>
      </w:r>
      <w:r>
        <w:rPr>
          <w:rFonts w:ascii="Arial" w:cs="Arial" w:eastAsia="Arial" w:hAnsi="Arial"/>
          <w:sz w:val="14"/>
          <w:szCs w:val="14"/>
          <w:b w:val="1"/>
          <w:bCs w:val="1"/>
          <w:color w:val="000000"/>
        </w:rPr>
        <w:t>,</w:t>
      </w:r>
      <w:r>
        <w:rPr>
          <w:rFonts w:ascii="Arial" w:cs="Arial" w:eastAsia="Arial" w:hAnsi="Arial"/>
          <w:sz w:val="14"/>
          <w:szCs w:val="14"/>
          <w:b w:val="1"/>
          <w:bCs w:val="1"/>
          <w:color w:val="2E2E2E"/>
        </w:rPr>
        <w:t xml:space="preserve"> INC</w:t>
      </w:r>
      <w:r>
        <w:rPr>
          <w:rFonts w:ascii="Arial" w:cs="Arial" w:eastAsia="Arial" w:hAnsi="Arial"/>
          <w:sz w:val="14"/>
          <w:szCs w:val="14"/>
          <w:b w:val="1"/>
          <w:bCs w:val="1"/>
          <w:color w:val="000000"/>
        </w:rPr>
        <w:t>.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6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2023</w:t>
            </w:r>
          </w:p>
        </w:tc>
      </w:tr>
      <w:tr>
        <w:trPr>
          <w:trHeight w:val="16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67"/>
        </w:trPr>
        <w:tc>
          <w:tcPr>
            <w:tcW w:w="6340" w:type="dxa"/>
            <w:vAlign w:val="bottom"/>
          </w:tcPr>
          <w:p>
            <w:pPr>
              <w:ind w:left="180"/>
              <w:spacing w:after="0"/>
              <w:rPr>
                <w:sz w:val="20"/>
                <w:szCs w:val="20"/>
                <w:color w:val="auto"/>
              </w:rPr>
            </w:pPr>
            <w:r>
              <w:rPr>
                <w:rFonts w:ascii="Arial" w:cs="Arial" w:eastAsia="Arial" w:hAnsi="Arial"/>
                <w:sz w:val="11"/>
                <w:szCs w:val="11"/>
                <w:color w:val="auto"/>
              </w:rPr>
              <w:t>Net loss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(80.8)</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(198.9)</w:t>
            </w:r>
          </w:p>
        </w:tc>
        <w:tc>
          <w:tcPr>
            <w:tcW w:w="100" w:type="dxa"/>
            <w:vAlign w:val="bottom"/>
          </w:tcPr>
          <w:p>
            <w:pPr>
              <w:spacing w:after="0"/>
              <w:rPr>
                <w:sz w:val="14"/>
                <w:szCs w:val="14"/>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(367.3)</w:t>
            </w:r>
          </w:p>
        </w:tc>
      </w:tr>
      <w:tr>
        <w:trPr>
          <w:trHeight w:val="184"/>
        </w:trPr>
        <w:tc>
          <w:tcPr>
            <w:tcW w:w="6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Depreciation and amortization</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4.8</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Net accretion of bond discounts/premiums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Loss on sale of marketable securities</w:t>
            </w:r>
          </w:p>
        </w:tc>
        <w:tc>
          <w:tcPr>
            <w:tcW w:w="3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Amortization of right-of-use assets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Amortization of collaboration contract asset</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Net loss on disposal of property, equipment and leasehold improvements</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Stock-based compensation</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71.6</w:t>
            </w:r>
          </w:p>
        </w:tc>
      </w:tr>
      <w:tr>
        <w:trPr>
          <w:trHeight w:val="173"/>
        </w:trPr>
        <w:tc>
          <w:tcPr>
            <w:tcW w:w="6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Accounts receivable</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Other receivables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Prepaid expenses and other assets</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14.1</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Collaboration contract asset</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7"/>
        </w:trPr>
        <w:tc>
          <w:tcPr>
            <w:tcW w:w="6340" w:type="dxa"/>
            <w:vAlign w:val="bottom"/>
          </w:tcPr>
          <w:p>
            <w:pPr>
              <w:ind w:left="380"/>
              <w:spacing w:after="0"/>
              <w:rPr>
                <w:sz w:val="20"/>
                <w:szCs w:val="20"/>
                <w:color w:val="auto"/>
              </w:rPr>
            </w:pPr>
            <w:r>
              <w:rPr>
                <w:rFonts w:ascii="Arial" w:cs="Arial" w:eastAsia="Arial" w:hAnsi="Arial"/>
                <w:sz w:val="11"/>
                <w:szCs w:val="11"/>
                <w:color w:val="auto"/>
              </w:rPr>
              <w:t>Accounts payable and accrued liabilities</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17.3</w:t>
            </w:r>
          </w:p>
        </w:tc>
      </w:tr>
      <w:tr>
        <w:trPr>
          <w:trHeight w:val="173"/>
        </w:trPr>
        <w:tc>
          <w:tcPr>
            <w:tcW w:w="63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Operating lease liabilities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67"/>
        </w:trPr>
        <w:tc>
          <w:tcPr>
            <w:tcW w:w="634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Deferred revenue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w:t>
            </w:r>
          </w:p>
        </w:tc>
      </w:tr>
      <w:tr>
        <w:trPr>
          <w:trHeight w:val="164"/>
        </w:trPr>
        <w:tc>
          <w:tcPr>
            <w:tcW w:w="6340" w:type="dxa"/>
            <w:vAlign w:val="bottom"/>
            <w:shd w:val="clear" w:color="auto" w:fill="CCEEFF"/>
          </w:tcPr>
          <w:p>
            <w:pPr>
              <w:ind w:left="520"/>
              <w:spacing w:after="0"/>
              <w:rPr>
                <w:sz w:val="20"/>
                <w:szCs w:val="20"/>
                <w:color w:val="auto"/>
              </w:rPr>
            </w:pPr>
            <w:r>
              <w:rPr>
                <w:rFonts w:ascii="Arial" w:cs="Arial" w:eastAsia="Arial" w:hAnsi="Arial"/>
                <w:sz w:val="11"/>
                <w:szCs w:val="11"/>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(347.8)</w:t>
            </w:r>
          </w:p>
        </w:tc>
      </w:tr>
      <w:tr>
        <w:trPr>
          <w:trHeight w:val="150"/>
        </w:trPr>
        <w:tc>
          <w:tcPr>
            <w:tcW w:w="634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0"/>
        </w:trPr>
        <w:tc>
          <w:tcPr>
            <w:tcW w:w="6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 of marketable securities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(956.3)</w:t>
            </w:r>
          </w:p>
        </w:tc>
      </w:tr>
      <w:tr>
        <w:trPr>
          <w:trHeight w:val="167"/>
        </w:trPr>
        <w:tc>
          <w:tcPr>
            <w:tcW w:w="6340" w:type="dxa"/>
            <w:vAlign w:val="bottom"/>
          </w:tcPr>
          <w:p>
            <w:pPr>
              <w:ind w:left="220"/>
              <w:spacing w:after="0"/>
              <w:rPr>
                <w:sz w:val="20"/>
                <w:szCs w:val="20"/>
                <w:color w:val="auto"/>
              </w:rPr>
            </w:pPr>
            <w:r>
              <w:rPr>
                <w:rFonts w:ascii="Arial" w:cs="Arial" w:eastAsia="Arial" w:hAnsi="Arial"/>
                <w:sz w:val="11"/>
                <w:szCs w:val="11"/>
                <w:color w:val="auto"/>
              </w:rPr>
              <w:t>Maturities of marketable securities</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731.1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644.0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1,103.9</w:t>
            </w:r>
          </w:p>
        </w:tc>
      </w:tr>
      <w:tr>
        <w:trPr>
          <w:trHeight w:val="173"/>
        </w:trPr>
        <w:tc>
          <w:tcPr>
            <w:tcW w:w="6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Sale of marketable securities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w:t>
            </w:r>
          </w:p>
        </w:tc>
      </w:tr>
      <w:tr>
        <w:trPr>
          <w:trHeight w:val="167"/>
        </w:trPr>
        <w:tc>
          <w:tcPr>
            <w:tcW w:w="6340" w:type="dxa"/>
            <w:vAlign w:val="bottom"/>
          </w:tcPr>
          <w:p>
            <w:pPr>
              <w:ind w:left="220"/>
              <w:spacing w:after="0"/>
              <w:rPr>
                <w:sz w:val="20"/>
                <w:szCs w:val="20"/>
                <w:color w:val="auto"/>
              </w:rPr>
            </w:pPr>
            <w:r>
              <w:rPr>
                <w:rFonts w:ascii="Arial" w:cs="Arial" w:eastAsia="Arial" w:hAnsi="Arial"/>
                <w:sz w:val="11"/>
                <w:szCs w:val="11"/>
                <w:color w:val="auto"/>
              </w:rPr>
              <w:t>Purchase of property, equipment and leasehold improvements</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73"/>
        </w:trPr>
        <w:tc>
          <w:tcPr>
            <w:tcW w:w="6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disposal of property, equipment and leasehold improvements</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6340" w:type="dxa"/>
            <w:vAlign w:val="bottom"/>
            <w:tcBorders>
              <w:bottom w:val="single" w:sz="8" w:color="CCEEFF"/>
            </w:tcBorders>
          </w:tcPr>
          <w:p>
            <w:pPr>
              <w:ind w:left="360"/>
              <w:spacing w:after="0"/>
              <w:rPr>
                <w:sz w:val="20"/>
                <w:szCs w:val="20"/>
                <w:color w:val="auto"/>
              </w:rPr>
            </w:pPr>
            <w:r>
              <w:rPr>
                <w:rFonts w:ascii="Arial" w:cs="Arial" w:eastAsia="Arial" w:hAnsi="Arial"/>
                <w:sz w:val="11"/>
                <w:szCs w:val="11"/>
                <w:b w:val="1"/>
                <w:bCs w:val="1"/>
                <w:color w:val="auto"/>
              </w:rPr>
              <w:t>Net cash provided by investing activities</w:t>
            </w: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407.6</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34.7</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203.5</w:t>
            </w:r>
          </w:p>
        </w:tc>
      </w:tr>
      <w:tr>
        <w:trPr>
          <w:trHeight w:val="153"/>
        </w:trPr>
        <w:tc>
          <w:tcPr>
            <w:tcW w:w="63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7"/>
        </w:trPr>
        <w:tc>
          <w:tcPr>
            <w:tcW w:w="6340" w:type="dxa"/>
            <w:vAlign w:val="bottom"/>
          </w:tcPr>
          <w:p>
            <w:pPr>
              <w:ind w:left="220"/>
              <w:spacing w:after="0"/>
              <w:rPr>
                <w:sz w:val="20"/>
                <w:szCs w:val="20"/>
                <w:color w:val="auto"/>
              </w:rPr>
            </w:pPr>
            <w:r>
              <w:rPr>
                <w:rFonts w:ascii="Arial" w:cs="Arial" w:eastAsia="Arial" w:hAnsi="Arial"/>
                <w:sz w:val="11"/>
                <w:szCs w:val="11"/>
                <w:color w:val="auto"/>
              </w:rPr>
              <w:t>Repayments of long-term debt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6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issuance of common stock and pre-funded warrants</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387.2</w:t>
            </w:r>
          </w:p>
        </w:tc>
      </w:tr>
      <w:tr>
        <w:trPr>
          <w:trHeight w:val="167"/>
        </w:trPr>
        <w:tc>
          <w:tcPr>
            <w:tcW w:w="6340" w:type="dxa"/>
            <w:vAlign w:val="bottom"/>
          </w:tcPr>
          <w:p>
            <w:pPr>
              <w:ind w:left="220"/>
              <w:spacing w:after="0"/>
              <w:rPr>
                <w:sz w:val="20"/>
                <w:szCs w:val="20"/>
                <w:color w:val="auto"/>
              </w:rPr>
            </w:pPr>
            <w:r>
              <w:rPr>
                <w:rFonts w:ascii="Arial" w:cs="Arial" w:eastAsia="Arial" w:hAnsi="Arial"/>
                <w:sz w:val="11"/>
                <w:szCs w:val="11"/>
                <w:color w:val="auto"/>
              </w:rPr>
              <w:t>Payment of common stock offering costs</w:t>
            </w:r>
          </w:p>
        </w:tc>
        <w:tc>
          <w:tcPr>
            <w:tcW w:w="3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(17.0)</w:t>
            </w:r>
          </w:p>
        </w:tc>
      </w:tr>
      <w:tr>
        <w:trPr>
          <w:trHeight w:val="194"/>
        </w:trPr>
        <w:tc>
          <w:tcPr>
            <w:tcW w:w="6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common shares, net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w:t>
            </w:r>
          </w:p>
        </w:tc>
      </w:tr>
      <w:tr>
        <w:trPr>
          <w:trHeight w:val="167"/>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Proceeds from exercise of stock options and issuance of ESPP shares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r>
      <w:tr>
        <w:trPr>
          <w:trHeight w:val="164"/>
        </w:trPr>
        <w:tc>
          <w:tcPr>
            <w:tcW w:w="634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Net cash (used in) provided by financing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374.7</w:t>
            </w:r>
          </w:p>
        </w:tc>
      </w:tr>
      <w:tr>
        <w:trPr>
          <w:trHeight w:val="157"/>
        </w:trPr>
        <w:tc>
          <w:tcPr>
            <w:tcW w:w="6340" w:type="dxa"/>
            <w:vAlign w:val="bottom"/>
          </w:tcPr>
          <w:p>
            <w:pPr>
              <w:ind w:left="20"/>
              <w:spacing w:after="0"/>
              <w:rPr>
                <w:sz w:val="20"/>
                <w:szCs w:val="20"/>
                <w:color w:val="auto"/>
              </w:rPr>
            </w:pPr>
            <w:r>
              <w:rPr>
                <w:rFonts w:ascii="Arial" w:cs="Arial" w:eastAsia="Arial" w:hAnsi="Arial"/>
                <w:sz w:val="11"/>
                <w:szCs w:val="11"/>
                <w:b w:val="1"/>
                <w:bCs w:val="1"/>
                <w:color w:val="auto"/>
              </w:rPr>
              <w:t>Net increase (decrease) in cash, cash equivalents and restricted cash</w:t>
            </w: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(216.7)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230.4</w:t>
            </w:r>
          </w:p>
        </w:tc>
      </w:tr>
      <w:tr>
        <w:trPr>
          <w:trHeight w:val="173"/>
        </w:trPr>
        <w:tc>
          <w:tcPr>
            <w:tcW w:w="6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cash equivalents and restricted cash, beginning of the period</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317.2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w:t>
            </w:r>
          </w:p>
        </w:tc>
      </w:tr>
      <w:tr>
        <w:trPr>
          <w:trHeight w:val="157"/>
        </w:trPr>
        <w:tc>
          <w:tcPr>
            <w:tcW w:w="6340" w:type="dxa"/>
            <w:vAlign w:val="bottom"/>
          </w:tcPr>
          <w:p>
            <w:pPr>
              <w:ind w:left="20"/>
              <w:spacing w:after="0"/>
              <w:rPr>
                <w:sz w:val="20"/>
                <w:szCs w:val="20"/>
                <w:color w:val="auto"/>
              </w:rPr>
            </w:pPr>
            <w:r>
              <w:rPr>
                <w:rFonts w:ascii="Arial" w:cs="Arial" w:eastAsia="Arial" w:hAnsi="Arial"/>
                <w:sz w:val="11"/>
                <w:szCs w:val="11"/>
                <w:b w:val="1"/>
                <w:bCs w:val="1"/>
                <w:color w:val="auto"/>
              </w:rPr>
              <w:t>Cash, cash equivalents and restricted cash, end of the period</w:t>
            </w: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142.9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100.5</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4"/>
        </w:trPr>
        <w:tc>
          <w:tcPr>
            <w:tcW w:w="63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74"/>
        </w:trPr>
        <w:tc>
          <w:tcPr>
            <w:tcW w:w="6340" w:type="dxa"/>
            <w:vAlign w:val="bottom"/>
          </w:tcPr>
          <w:p>
            <w:pPr>
              <w:ind w:left="220"/>
              <w:spacing w:after="0"/>
              <w:rPr>
                <w:sz w:val="20"/>
                <w:szCs w:val="20"/>
                <w:color w:val="auto"/>
              </w:rPr>
            </w:pPr>
            <w:r>
              <w:rPr>
                <w:rFonts w:ascii="Arial" w:cs="Arial" w:eastAsia="Arial" w:hAnsi="Arial"/>
                <w:sz w:val="11"/>
                <w:szCs w:val="11"/>
                <w:color w:val="auto"/>
              </w:rPr>
              <w:t>Purchases of property, equipment and leasehold improvements unpaid at period end</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5"/>
                <w:szCs w:val="15"/>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5"/>
                <w:szCs w:val="15"/>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4"/>
          <w:szCs w:val="14"/>
          <w:b w:val="1"/>
          <w:bCs w:val="1"/>
          <w:color w:val="2E2E2E"/>
        </w:rPr>
        <w:t>ARVINAS</w:t>
      </w:r>
      <w:r>
        <w:rPr>
          <w:rFonts w:ascii="Arial" w:cs="Arial" w:eastAsia="Arial" w:hAnsi="Arial"/>
          <w:sz w:val="14"/>
          <w:szCs w:val="14"/>
          <w:b w:val="1"/>
          <w:bCs w:val="1"/>
          <w:color w:val="000000"/>
        </w:rPr>
        <w:t>,</w:t>
      </w:r>
      <w:r>
        <w:rPr>
          <w:rFonts w:ascii="Arial" w:cs="Arial" w:eastAsia="Arial" w:hAnsi="Arial"/>
          <w:sz w:val="14"/>
          <w:szCs w:val="14"/>
          <w:b w:val="1"/>
          <w:bCs w:val="1"/>
          <w:color w:val="2E2E2E"/>
        </w:rPr>
        <w:t xml:space="preserve"> INC</w:t>
      </w:r>
      <w:r>
        <w:rPr>
          <w:rFonts w:ascii="Arial" w:cs="Arial" w:eastAsia="Arial" w:hAnsi="Arial"/>
          <w:sz w:val="14"/>
          <w:szCs w:val="14"/>
          <w:b w:val="1"/>
          <w:bCs w:val="1"/>
          <w:color w:val="000000"/>
        </w:rPr>
        <w:t>.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Nature of Business and Basis of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Business</w:t>
      </w:r>
    </w:p>
    <w:p>
      <w:pPr>
        <w:spacing w:after="0" w:line="94" w:lineRule="exact"/>
        <w:rPr>
          <w:sz w:val="20"/>
          <w:szCs w:val="20"/>
          <w:color w:val="auto"/>
        </w:rPr>
      </w:pPr>
    </w:p>
    <w:p>
      <w:pPr>
        <w:ind w:right="420" w:firstLine="509"/>
        <w:spacing w:after="0" w:line="265" w:lineRule="auto"/>
        <w:rPr>
          <w:sz w:val="20"/>
          <w:szCs w:val="20"/>
          <w:color w:val="auto"/>
        </w:rPr>
      </w:pPr>
      <w:r>
        <w:rPr>
          <w:rFonts w:ascii="Arial" w:cs="Arial" w:eastAsia="Arial" w:hAnsi="Arial"/>
          <w:sz w:val="14"/>
          <w:szCs w:val="14"/>
          <w:color w:val="auto"/>
        </w:rPr>
        <w:t>Arvinas, Inc. is a clinical-stage biotechnology company dedicated to improving the lives of patients suffering from debilitating and life-threatening diseases through the discovery, development and commercialization of therapies that degrade disease-causing proteins. Arvinas, Inc. has four wholly owned subsidiaries; Arvinas Operations, Inc. formed in 2013, Arvinas Androgen Receptor, Inc. formed in 2015, Arvinas Estrogen Receptor, Inc. formed in 2016, and Arvinas Winchester, Inc. formed in 2018 (collectively, "Arvinas" or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4"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The Company's consolidated financial statements are prepared in conformity with accounting principles generally accepted in the United States of America ("U.S. GAAP") and include the accounts of Arvinas, Inc. and its wholly owned subsidiaries. All intercompany transactions have been eliminated upon consolidation. The accounting policies used to prepare the Company's consolidated financial statements are the same as those used to prepare the consolidated financial statements in prior years.</w:t>
      </w:r>
    </w:p>
    <w:p>
      <w:pPr>
        <w:spacing w:after="0" w:line="134" w:lineRule="exact"/>
        <w:rPr>
          <w:sz w:val="20"/>
          <w:szCs w:val="20"/>
          <w:color w:val="auto"/>
        </w:rPr>
      </w:pPr>
    </w:p>
    <w:p>
      <w:pPr>
        <w:ind w:right="60" w:firstLine="509"/>
        <w:spacing w:after="0" w:line="265" w:lineRule="auto"/>
        <w:rPr>
          <w:sz w:val="20"/>
          <w:szCs w:val="20"/>
          <w:color w:val="auto"/>
        </w:rPr>
      </w:pPr>
      <w:r>
        <w:rPr>
          <w:rFonts w:ascii="Arial" w:cs="Arial" w:eastAsia="Arial" w:hAnsi="Arial"/>
          <w:sz w:val="14"/>
          <w:szCs w:val="14"/>
          <w:color w:val="auto"/>
        </w:rPr>
        <w:t>The preparation of the Company’s consolidated financial statements in conformity with U.S. GAAP requires management to make certain estimates and assumptions that affect the reported amounts and disclosures in the consolidated financial statements and notes. While management believes that estimates and assumptions used in the preparation of the consolidated financial statements and notes are appropriate, actual results could differ from those estimates. The most significant estimates are those used in the determination of the Company’s revenue recognition, uncertain tax positions and 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Summary of Significant Accounting Policies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9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Company classifies as cash and cash equivalents amounts on deposit in banks and cash invested temporarily in various instruments, primarily money market accounts, with original maturities of three months or less at time of purchase. The carrying amounts reported in the consolidated balance sheets represent the fair values of cash and cash equivalents and are considered Level 1 financial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Cash</w:t>
      </w:r>
    </w:p>
    <w:p>
      <w:pPr>
        <w:spacing w:after="0" w:line="94" w:lineRule="exact"/>
        <w:rPr>
          <w:sz w:val="20"/>
          <w:szCs w:val="20"/>
          <w:color w:val="auto"/>
        </w:rPr>
      </w:pPr>
    </w:p>
    <w:p>
      <w:pPr>
        <w:ind w:right="620" w:firstLine="509"/>
        <w:spacing w:after="0" w:line="290" w:lineRule="auto"/>
        <w:rPr>
          <w:sz w:val="20"/>
          <w:szCs w:val="20"/>
          <w:color w:val="auto"/>
        </w:rPr>
      </w:pPr>
      <w:r>
        <w:rPr>
          <w:rFonts w:ascii="Arial" w:cs="Arial" w:eastAsia="Arial" w:hAnsi="Arial"/>
          <w:sz w:val="14"/>
          <w:szCs w:val="14"/>
          <w:color w:val="auto"/>
        </w:rPr>
        <w:t>Restricted cash represents a letter of credit collateralized by a certificate of deposit in the same amount which was canceled in connection with a lease termination agreement the Company entered into with 101 College Street LLC in August 2024.</w:t>
      </w:r>
    </w:p>
    <w:p>
      <w:pPr>
        <w:spacing w:after="0" w:line="35"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The following table provides a reconciliation of cash, cash equivalents and restricted cash reported within the consolidated balance sheets to the total amounts shown on the consolidated statements of cash flows for the years ended December 31, 2025, 2024 and 2023: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20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92"/>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w:t>
            </w:r>
          </w:p>
        </w:tc>
      </w:tr>
      <w:tr>
        <w:trPr>
          <w:trHeight w:val="202"/>
        </w:trPr>
        <w:tc>
          <w:tcPr>
            <w:tcW w:w="43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Cash, cash equivalents and restricted cash</w:t>
            </w:r>
          </w:p>
        </w:tc>
        <w:tc>
          <w:tcPr>
            <w:tcW w:w="20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75"/>
        </w:trPr>
        <w:tc>
          <w:tcPr>
            <w:tcW w:w="4300" w:type="dxa"/>
            <w:vAlign w:val="bottom"/>
          </w:tcPr>
          <w:p>
            <w:pPr>
              <w:spacing w:after="0"/>
              <w:rPr>
                <w:sz w:val="24"/>
                <w:szCs w:val="24"/>
                <w:color w:val="auto"/>
              </w:rPr>
            </w:pPr>
          </w:p>
        </w:tc>
        <w:tc>
          <w:tcPr>
            <w:tcW w:w="2420" w:type="dxa"/>
            <w:vAlign w:val="bottom"/>
            <w:gridSpan w:val="2"/>
          </w:tcPr>
          <w:p>
            <w:pPr>
              <w:jc w:val="right"/>
              <w:ind w:right="869"/>
              <w:spacing w:after="0"/>
              <w:rPr>
                <w:sz w:val="20"/>
                <w:szCs w:val="20"/>
                <w:color w:val="auto"/>
              </w:rPr>
            </w:pPr>
            <w:r>
              <w:rPr>
                <w:rFonts w:ascii="Arial" w:cs="Arial" w:eastAsia="Arial" w:hAnsi="Arial"/>
                <w:sz w:val="14"/>
                <w:szCs w:val="14"/>
                <w:color w:val="auto"/>
              </w:rPr>
              <w:t>F - 8</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5"/>
        </w:trPr>
        <w:tc>
          <w:tcPr>
            <w:tcW w:w="43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color w:val="auto"/>
        </w:rPr>
        <w:t>Concentration of Credit Risk and Other Risks and Uncertainties</w:t>
      </w:r>
    </w:p>
    <w:p>
      <w:pPr>
        <w:spacing w:after="0" w:line="94" w:lineRule="exact"/>
        <w:rPr>
          <w:sz w:val="20"/>
          <w:szCs w:val="20"/>
          <w:color w:val="auto"/>
        </w:rPr>
      </w:pPr>
    </w:p>
    <w:p>
      <w:pPr>
        <w:ind w:right="20" w:firstLine="509"/>
        <w:spacing w:after="0" w:line="265" w:lineRule="auto"/>
        <w:rPr>
          <w:sz w:val="20"/>
          <w:szCs w:val="20"/>
          <w:color w:val="auto"/>
        </w:rPr>
      </w:pPr>
      <w:r>
        <w:rPr>
          <w:rFonts w:ascii="Arial" w:cs="Arial" w:eastAsia="Arial" w:hAnsi="Arial"/>
          <w:sz w:val="14"/>
          <w:szCs w:val="14"/>
          <w:color w:val="auto"/>
        </w:rPr>
        <w:t>The Company is subject to a number of risks similar to other biotechnology companies in a similar stage, including, but not limited to, the need to obtain adequate additional funding, possible failure of preclinical testing or clinical trials, the need to obtain marketing approval for its product candidates, competitors developing new technological innovations, and the need to successfully commercialize and gain market acceptance of the Company’s products and protect its proprietary technology. If the Company does not successfully obtain regulatory approval for its product candidates, it will be unable to generate revenue from product sales or achieve profitability.</w:t>
      </w:r>
    </w:p>
    <w:p>
      <w:pPr>
        <w:spacing w:after="0" w:line="138"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To date, the Company has not generated any revenue from product sales and expects to incur additional operating losses and negative operating cash flows for the foreseeable future. The Company has financed its operations primarily through sales of assets and equity, proceeds from collaborations and a licensing arrangement, grant funding and debt financing. The Company had cash, cash equivalents and marketable securities of approximately $685.4 million as of December 31, 2025.</w:t>
      </w:r>
    </w:p>
    <w:p>
      <w:pPr>
        <w:spacing w:after="0" w:line="134"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The Company maintains its cash in financial institution accounts that may at times exceed federally insured limits. The cash balances in the financial institutions are insured by the Federal Deposit Insurance Corporation ("FDIC") up to $250,000. Cash may also be maintained at commercial institutions that are not insured by the FDIC.</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years ended December 31, 2025, 2024 and 2023, one collaborator represented 92.0%, 62.0% and 97% of the Company's revenue,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Marketable Securities</w:t>
      </w:r>
    </w:p>
    <w:p>
      <w:pPr>
        <w:spacing w:after="0" w:line="9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4"/>
          <w:szCs w:val="14"/>
          <w:color w:val="auto"/>
        </w:rPr>
        <w:t>The Company's marketable securities are classified as available-for-sale securities and are carried at their fair value based on the quoted market prices of the securities, with unrealized gains and losses reported as accumulated other comprehensive income (loss), a separate component of stockholders' equity. Realized gains and losses on available-for-sale securities are included in other income in the period earned or incurred.</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Equipment, and Leasehold Improvements</w:t>
      </w:r>
    </w:p>
    <w:p>
      <w:pPr>
        <w:spacing w:after="0" w:line="94"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Property and equipment are recorded at cost. Depreciation is calculated using the straight-line method over the estimated useful lives, which range from three years for office equipment to five years for laboratory equipment. Maintenance and repairs which do not extend the lives of the assets are charged directly to expense as incurred. Upon retirement or disposal, cost and related accumulated depreciation is removed from the related accounts, and any resulting gain or loss is recognized as a component of income or loss for the period. Leasehold improvements are recorded at cost and amortized using the straight-line method over the shorter of the lease term or the useful life of the asset.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and Rent Expense</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 xml:space="preserve">The Company accounts for leases under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At the inception of an arrangement, the Company determines whether the arrangement is or contains a lease based on the unique facts and circumstances present in the arrangement. Leases with a term greater than one year are recognized on the balance sheet as right-of-use ("ROU") assets and short-term and long-term lease liabilities, as applicable. ROU assets represent the Company’s right to use an underlying asset for the lease term and lease liabilities represent its obligation to make lease payments arising from the lease. The Company has elected not to recognize leases with an original term of one year or less on the balance sheet. The Company typically only includes an initial lease term in its assessment of the term of the lease arrangement. It also considers termination options and factors those into the determination of lease payments. Options to renew a lease are not included in the lease term unless there is reasonable certainty of renewal.</w:t>
      </w:r>
    </w:p>
    <w:p>
      <w:pPr>
        <w:spacing w:after="0" w:line="142"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color w:val="auto"/>
        </w:rPr>
        <w:t>similar term, in a similar economic environment. The Company's weighted average incremental borrowing rate at December 31, 2025 totaled 7.0%.</w:t>
      </w:r>
    </w:p>
    <w:p>
      <w:pPr>
        <w:spacing w:after="0" w:line="179"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Variable lease payments are not included within the lease right-of-use asset and lease liability on the consolidated balance sheet, and instead are reflected as expense in the period they are incurred.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94"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No such impairments were recorded during 2025, 2024 or 2023.</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 and Deferred Revenue</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Revenues from Contracts</w:t>
      </w:r>
    </w:p>
    <w:p>
      <w:pPr>
        <w:spacing w:after="0" w:line="92"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 xml:space="preserve">The Company recognizes revenue under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The Company’s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the Company evaluates whether the license agreement, research and development services and participation in research and development steering committees represent separate or combined performance obligations. The Company has determined that these services within its existing contracts represent combined single performance obligations. The Company also generated revenue through the sale of assets based on fair value.</w:t>
      </w:r>
    </w:p>
    <w:p>
      <w:pPr>
        <w:spacing w:after="0" w:line="142"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The research collaboration and license agreements may include contingent milestone payments related to specified preclinical and clinical development milestones and regulatory milestones. These milestone payments represent variable consideration to be included within the transaction price using the most likely amount method. The Company continually assesses the probability of significant reversals for any amounts that become likely to be realized prior to recognizing the variable consideration associated with these payments within the transaction price.</w:t>
      </w:r>
    </w:p>
    <w:p>
      <w:pPr>
        <w:spacing w:after="0" w:line="138"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Revenue is recognized ratably over the Company’s expected performance period under each respective arrangement. Management makes its best estimate of the period over which the Company expects to fulfill its performance obligations, which includes access to technology through the license agreement and research activities. Given the uncertainties of these collaboration arrangements, significant judgment is required to determine the duration of the performance period. Management evaluates changes in the duration of the performance period at each reporting period and adjusts revenue as necessary. Changes are accounted for prospectively as a change in accounting estimate.</w:t>
      </w:r>
    </w:p>
    <w:p>
      <w:pPr>
        <w:spacing w:after="0" w:line="138"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For the years ended December 31, 2025, 2024 and 2023, the transaction price allocated to the combined performance obligation identified under the individual research collaboration and license agreements was recognized as revenue on either a straight-line basis over the estimated performance period under the arrangement or over the estimated performance period based on the Company’s best estimate of costs to be incurred. Straight-line basis was considered the best measure of progress for certain agreements in which control of the combined obligation transfers to the customers, due to the contract containing license rights to technology, research and development services, and joint committee participation, which in totality are expected to occur ratably over the performance period. For agreements accounted for under the costs to be incurred method, revenue is recognized as program costs are incurred by measuring actual costs incurred to date compared to the total expected costs to satisfy the performance obligations. Management evaluates estimates of expected costs to satisfy the performance obligations at each reporting period and adjusts revenue as necessary. Changes are accounted for prospectively as a change in accounting estimate.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64" w:name="page165"/>
    <w:bookmarkEnd w:id="164"/>
    <w:p>
      <w:pPr>
        <w:ind w:right="140" w:firstLine="509"/>
        <w:spacing w:after="0" w:line="262" w:lineRule="auto"/>
        <w:rPr>
          <w:sz w:val="20"/>
          <w:szCs w:val="20"/>
          <w:color w:val="auto"/>
        </w:rPr>
      </w:pPr>
      <w:r>
        <w:rPr>
          <w:rFonts w:ascii="Arial" w:cs="Arial" w:eastAsia="Arial" w:hAnsi="Arial"/>
          <w:sz w:val="14"/>
          <w:szCs w:val="14"/>
          <w:color w:val="auto"/>
        </w:rPr>
        <w:t>The Company’s contracts may also call for certain sales-based milestone and royalty payments upon successful commercialization of a target. The Company recognizes revenues from sales-based milestone and royalty payments at the later of a) the occurrence of the subsequent sale, or b) the performance obligation to which some or all of the sales-based milestone or royalty payments has been allocated has been satisfied (or partially satisfied). The Company anticipates recognizing these milestones and royalty payments if and when subsequent sales are generated by customers from the use of the technology. To date, no revenue from these sales-based milestone and royalty payments has been recognized for any periods.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Amounts received prior to satisfying the above revenue recognition criteria are recorded as contract liabilities in the Company’s accompanying consolidated balance sheets.</w:t>
      </w:r>
    </w:p>
    <w:p>
      <w:pPr>
        <w:spacing w:after="0" w:line="179"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4"/>
          <w:szCs w:val="14"/>
          <w:color w:val="auto"/>
        </w:rPr>
        <w:t>The Company expenses direct and incremental costs to obtaining and fulfilling a contract as and when incurred if the expected amortization period of the asset that would be recognized is one year or less, or if the amount of the asset is immaterial. Otherwise, such costs are capitalized as collaboration contract assets and amortized as general and administrative expenses over the total estimated period of performance of each underlying contract.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Investments</w:t>
      </w:r>
    </w:p>
    <w:p>
      <w:pPr>
        <w:spacing w:after="0" w:line="94"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 xml:space="preserve">The Company accounts for investments for which it does not have a controlling interest in accordance with ASC 323, </w:t>
      </w:r>
      <w:r>
        <w:rPr>
          <w:rFonts w:ascii="Arial" w:cs="Arial" w:eastAsia="Arial" w:hAnsi="Arial"/>
          <w:sz w:val="14"/>
          <w:szCs w:val="14"/>
          <w:i w:val="1"/>
          <w:iCs w:val="1"/>
          <w:color w:val="auto"/>
        </w:rPr>
        <w:t>Investments – Equity Method and Joint Ventures</w:t>
      </w:r>
      <w:r>
        <w:rPr>
          <w:rFonts w:ascii="Arial" w:cs="Arial" w:eastAsia="Arial" w:hAnsi="Arial"/>
          <w:sz w:val="14"/>
          <w:szCs w:val="14"/>
          <w:color w:val="auto"/>
        </w:rPr>
        <w:t>. The Company recognizes its pro-rata share of income and losses in the investment in “Loss from equity method investment” on the consolidated statement of operations and comprehensive loss, with a corresponding change to the investment in equity method investment in the consolidated balance sheet until such investment is reduced to zero.</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 xml:space="preserve">Arvinas, Inc. and its wholly owned subsidiaries use the asset and liability method of accounting for income taxes, as set forth in ASC 740,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A valuation allowance is established to reduce deferred tax assets to their estimated realizable value. The Company provides a valuation allowance to the extent that it is more likely than not that all or a portion of the deferred tax assets will not be realized.</w:t>
      </w:r>
    </w:p>
    <w:p>
      <w:pPr>
        <w:spacing w:after="0" w:line="140"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color w:val="auto"/>
        </w:rPr>
        <w:t>The Company follows the authoritative guidance under ASC 740 for recognizing and measuring uncertainty in income tax positions taken or expected to be taken in a tax return. The Company recognizes interest accrued related to unrecognized tax benefits and penalties in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Equity-based Compensation</w:t>
      </w:r>
    </w:p>
    <w:p>
      <w:pPr>
        <w:spacing w:after="0" w:line="9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The Company measures employee and board of director equity-based compensation for stock option and restricted stock grants based on the grant date fair value of the equity awards. Equity-based compensation expense is recognized over the requisite service period of the awards, net of estimated forfeitures. Estimated forfeitures are updated on a periodic basis based on actual experience. For equity awards that have a performance condition, the Company recognizes compensation expense based on its assessment of the probability that the performance condition will be achieved.</w:t>
      </w:r>
    </w:p>
    <w:p>
      <w:pPr>
        <w:spacing w:after="0" w:line="138" w:lineRule="exact"/>
        <w:rPr>
          <w:sz w:val="20"/>
          <w:szCs w:val="20"/>
          <w:color w:val="auto"/>
        </w:rPr>
      </w:pPr>
    </w:p>
    <w:p>
      <w:pPr>
        <w:ind w:right="280" w:firstLine="509"/>
        <w:spacing w:after="0" w:line="290" w:lineRule="auto"/>
        <w:rPr>
          <w:sz w:val="20"/>
          <w:szCs w:val="20"/>
          <w:color w:val="auto"/>
        </w:rPr>
      </w:pPr>
      <w:r>
        <w:rPr>
          <w:rFonts w:ascii="Arial" w:cs="Arial" w:eastAsia="Arial" w:hAnsi="Arial"/>
          <w:sz w:val="14"/>
          <w:szCs w:val="14"/>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401(k) Savings Plan</w:t>
      </w:r>
    </w:p>
    <w:p>
      <w:pPr>
        <w:spacing w:after="0" w:line="94" w:lineRule="exact"/>
        <w:rPr>
          <w:sz w:val="20"/>
          <w:szCs w:val="20"/>
          <w:color w:val="auto"/>
        </w:rPr>
      </w:pPr>
    </w:p>
    <w:p>
      <w:pPr>
        <w:ind w:firstLine="509"/>
        <w:spacing w:after="0" w:line="271" w:lineRule="auto"/>
        <w:rPr>
          <w:sz w:val="20"/>
          <w:szCs w:val="20"/>
          <w:color w:val="auto"/>
        </w:rPr>
      </w:pPr>
      <w:r>
        <w:rPr>
          <w:rFonts w:ascii="Arial" w:cs="Arial" w:eastAsia="Arial" w:hAnsi="Arial"/>
          <w:sz w:val="14"/>
          <w:szCs w:val="14"/>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Under the 401(k) Plan, the Company made discretionary matching contributions on behalf of eligible employees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auto"/>
        </w:rPr>
        <w:t>totaling $2.6 million, $3.4 million and $3.1 million for the years ended December 31, 2025, 2024 and 2023,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94"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Research and development expenses include (i) employee-related expenses, including salaries, benefits, stock-based compensation expense and travel; (ii) external research and development expenses incurred under arrangements with third parties, such as contract research organization agreements, investigational sites and consultants; (iii) the cost of acquiring, developing and manufacturing clinical study materials; (iv) costs associated with preclinical and clinical activities and regulatory operations; and (v) costs incurred in development of intellectual property. Costs incurred in connection with research and development activities are expensed as incurred.</w:t>
      </w:r>
    </w:p>
    <w:p>
      <w:pPr>
        <w:spacing w:after="0" w:line="138"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respective vendors, including the Company’s clinical sites.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94" w:lineRule="exact"/>
        <w:rPr>
          <w:sz w:val="20"/>
          <w:szCs w:val="20"/>
          <w:color w:val="auto"/>
        </w:rPr>
      </w:pPr>
    </w:p>
    <w:p>
      <w:pPr>
        <w:ind w:right="80" w:firstLine="509"/>
        <w:spacing w:after="0" w:line="271" w:lineRule="auto"/>
        <w:rPr>
          <w:sz w:val="20"/>
          <w:szCs w:val="20"/>
          <w:color w:val="auto"/>
        </w:rPr>
      </w:pPr>
      <w:r>
        <w:rPr>
          <w:rFonts w:ascii="Arial" w:cs="Arial" w:eastAsia="Arial" w:hAnsi="Arial"/>
          <w:sz w:val="14"/>
          <w:szCs w:val="14"/>
          <w:color w:val="auto"/>
        </w:rPr>
        <w:t>The Company determines fair value as the price that would be received to sell an asset or paid to transfer a liability in an orderly transaction between market participants at the measurement date. Inputs used in the valuation techniques to determine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49" w:lineRule="exact"/>
        <w:rPr>
          <w:sz w:val="20"/>
          <w:szCs w:val="20"/>
          <w:color w:val="auto"/>
        </w:rPr>
      </w:pPr>
    </w:p>
    <w:p>
      <w:pPr>
        <w:ind w:left="1260" w:right="40" w:hanging="763"/>
        <w:spacing w:after="0" w:line="290" w:lineRule="auto"/>
        <w:tabs>
          <w:tab w:leader="none" w:pos="1240" w:val="left"/>
        </w:tabs>
        <w:rPr>
          <w:sz w:val="20"/>
          <w:szCs w:val="20"/>
          <w:color w:val="auto"/>
        </w:rPr>
      </w:pPr>
      <w:r>
        <w:rPr>
          <w:rFonts w:ascii="Arial" w:cs="Arial" w:eastAsia="Arial" w:hAnsi="Arial"/>
          <w:sz w:val="14"/>
          <w:szCs w:val="14"/>
          <w:color w:val="auto"/>
        </w:rPr>
        <w:t>Level 1—</w:t>
        <w:tab/>
        <w:t>Inputs are based upon observable or quoted prices (unadjusted) for identical instruments traded in active markets. The Company’s Level 1 financial instruments consist of cash equivalents.</w:t>
      </w:r>
    </w:p>
    <w:p>
      <w:pPr>
        <w:spacing w:after="0" w:line="35" w:lineRule="exact"/>
        <w:rPr>
          <w:sz w:val="20"/>
          <w:szCs w:val="20"/>
          <w:color w:val="auto"/>
        </w:rPr>
      </w:pPr>
    </w:p>
    <w:p>
      <w:pPr>
        <w:ind w:left="1260" w:right="80" w:hanging="763"/>
        <w:spacing w:after="0" w:line="265" w:lineRule="auto"/>
        <w:tabs>
          <w:tab w:leader="none" w:pos="1240" w:val="left"/>
        </w:tabs>
        <w:rPr>
          <w:sz w:val="20"/>
          <w:szCs w:val="20"/>
          <w:color w:val="auto"/>
        </w:rPr>
      </w:pPr>
      <w:r>
        <w:rPr>
          <w:rFonts w:ascii="Arial" w:cs="Arial" w:eastAsia="Arial" w:hAnsi="Arial"/>
          <w:sz w:val="14"/>
          <w:szCs w:val="14"/>
          <w:color w:val="auto"/>
        </w:rPr>
        <w:t>Level 2—</w:t>
        <w:tab/>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The Company’s Level 2 investments consist primarily of corporate notes and bonds and U.S. government and agency securities.</w:t>
      </w:r>
    </w:p>
    <w:p>
      <w:pPr>
        <w:spacing w:after="0" w:line="53" w:lineRule="exact"/>
        <w:rPr>
          <w:sz w:val="20"/>
          <w:szCs w:val="20"/>
          <w:color w:val="auto"/>
        </w:rPr>
      </w:pPr>
    </w:p>
    <w:p>
      <w:pPr>
        <w:ind w:left="1260" w:right="280" w:hanging="763"/>
        <w:spacing w:after="0" w:line="271" w:lineRule="auto"/>
        <w:tabs>
          <w:tab w:leader="none" w:pos="1240" w:val="left"/>
        </w:tabs>
        <w:rPr>
          <w:sz w:val="20"/>
          <w:szCs w:val="20"/>
          <w:color w:val="auto"/>
        </w:rPr>
      </w:pPr>
      <w:r>
        <w:rPr>
          <w:rFonts w:ascii="Arial" w:cs="Arial" w:eastAsia="Arial" w:hAnsi="Arial"/>
          <w:sz w:val="14"/>
          <w:szCs w:val="14"/>
          <w:color w:val="auto"/>
        </w:rPr>
        <w:t>Level 3—</w:t>
        <w:tab/>
        <w:t>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34" w:lineRule="exact"/>
        <w:rPr>
          <w:sz w:val="20"/>
          <w:szCs w:val="20"/>
          <w:color w:val="auto"/>
        </w:rPr>
      </w:pPr>
    </w:p>
    <w:p>
      <w:pPr>
        <w:ind w:right="160" w:firstLine="509"/>
        <w:spacing w:after="0" w:line="290" w:lineRule="auto"/>
        <w:rPr>
          <w:sz w:val="20"/>
          <w:szCs w:val="20"/>
          <w:color w:val="auto"/>
        </w:rPr>
      </w:pPr>
      <w:r>
        <w:rPr>
          <w:rFonts w:ascii="Arial" w:cs="Arial" w:eastAsia="Arial" w:hAnsi="Arial"/>
          <w:sz w:val="14"/>
          <w:szCs w:val="14"/>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Common Share</w:t>
      </w:r>
    </w:p>
    <w:p>
      <w:pPr>
        <w:spacing w:after="0" w:line="94"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4"/>
          <w:szCs w:val="14"/>
          <w:color w:val="auto"/>
        </w:rPr>
        <w:t>Basic net loss per common share is computed by dividing net loss by the weighted-average number of common shares outstanding during the period. Diluted net loss per common share is computed using the weighted-average number of common shares outstanding during the period and, if dilutive, the weighted-average number of potential shares of common shares.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6" w:name="page167"/>
    <w:bookmarkEnd w:id="166"/>
    <w:p>
      <w:pPr>
        <w:ind w:right="320" w:firstLine="509"/>
        <w:spacing w:after="0" w:line="290" w:lineRule="auto"/>
        <w:rPr>
          <w:sz w:val="20"/>
          <w:szCs w:val="20"/>
          <w:color w:val="auto"/>
        </w:rPr>
      </w:pPr>
      <w:r>
        <w:rPr>
          <w:rFonts w:ascii="Arial" w:cs="Arial" w:eastAsia="Arial" w:hAnsi="Arial"/>
          <w:sz w:val="14"/>
          <w:szCs w:val="14"/>
          <w:color w:val="auto"/>
        </w:rPr>
        <w:t xml:space="preserve">The weighted-average number of common shares included in the computation of basic and diluted net loss per common share gives effect to pre-funded warrants. See Note 9, </w:t>
      </w:r>
      <w:r>
        <w:rPr>
          <w:rFonts w:ascii="Arial" w:cs="Arial" w:eastAsia="Arial" w:hAnsi="Arial"/>
          <w:sz w:val="14"/>
          <w:szCs w:val="14"/>
          <w:i w:val="1"/>
          <w:iCs w:val="1"/>
          <w:color w:val="auto"/>
        </w:rPr>
        <w:t>Equity</w:t>
      </w:r>
      <w:r>
        <w:rPr>
          <w:rFonts w:ascii="Arial" w:cs="Arial" w:eastAsia="Arial" w:hAnsi="Arial"/>
          <w:sz w:val="14"/>
          <w:szCs w:val="14"/>
          <w:color w:val="auto"/>
        </w:rPr>
        <w:t xml:space="preserve">, and Note 13, </w:t>
      </w:r>
      <w:r>
        <w:rPr>
          <w:rFonts w:ascii="Arial" w:cs="Arial" w:eastAsia="Arial" w:hAnsi="Arial"/>
          <w:sz w:val="14"/>
          <w:szCs w:val="14"/>
          <w:i w:val="1"/>
          <w:iCs w:val="1"/>
          <w:color w:val="auto"/>
        </w:rPr>
        <w:t>Net Loss Per Share</w:t>
      </w:r>
      <w:r>
        <w:rPr>
          <w:rFonts w:ascii="Arial" w:cs="Arial" w:eastAsia="Arial" w:hAnsi="Arial"/>
          <w:sz w:val="14"/>
          <w:szCs w:val="14"/>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7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b w:val="1"/>
          <w:bCs w:val="1"/>
          <w:i w:val="1"/>
          <w:iCs w:val="1"/>
          <w:color w:val="auto"/>
        </w:rPr>
        <w:t xml:space="preserve">Income Taxes (Topic 740) </w:t>
      </w:r>
      <w:r>
        <w:rPr>
          <w:rFonts w:ascii="Arial" w:cs="Arial" w:eastAsia="Arial" w:hAnsi="Arial"/>
          <w:sz w:val="14"/>
          <w:szCs w:val="14"/>
          <w:color w:val="auto"/>
        </w:rPr>
        <w:t>- In December 2023, the FASB issued ASU No. 2023-09,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which requires enhanced income tax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adopted the new standard on January 1, 2025 and presented disclosures on a retrospective basis. The adoption of the standard did not have a material impact on the Company's consolidated financial statements.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Recently Issued Accounting Pronouncements Not Yet Adopted</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b w:val="1"/>
          <w:bCs w:val="1"/>
          <w:i w:val="1"/>
          <w:iCs w:val="1"/>
          <w:color w:val="auto"/>
        </w:rPr>
        <w:t xml:space="preserve">Income Statement - Reporting Comprehensive Income - Expense Disaggregation Disclosures (Subtopic 220-40) </w:t>
      </w:r>
      <w:r>
        <w:rPr>
          <w:rFonts w:ascii="Arial" w:cs="Arial" w:eastAsia="Arial" w:hAnsi="Arial"/>
          <w:sz w:val="14"/>
          <w:szCs w:val="14"/>
          <w:color w:val="auto"/>
        </w:rPr>
        <w:t>- In November 2024, the FASB issued ASU No.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2024-03,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which requires disaggregation and disclosure of specified information about certain costs and expenses in the notes to the financial statements. The requirements of the ASU are effective for annual periods beginning after December 15, 2026, and interim reporting periods beginning after December 15, 2027, with early adoption permitted. The Company is currently evaluating the impact ASU No. 2024-03 will have on its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 Research Collaboration and License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Vepdegestrant (ARV-471) Collaboration Agreement</w:t>
      </w:r>
    </w:p>
    <w:p>
      <w:pPr>
        <w:spacing w:after="0" w:line="9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In July 2021, the Company entered into a collaboration agreement with Pfizer (the “Vepdegestrant (ARV-471) Collaboration Agreement”) pursuant to which the Company granted Pfizer worldwide co-exclusive rights to develop and commercialize products containing the Company’s proprietary compound vepdegestrant (the “Licensed Products”). Under the Vepdegestrant (ARV-471) Collaboration Agreement, the Company received an upfront, non-refundable payment of $650.0 million. In addition, the Company will be eligible to receive up to an additional $ 1.4 billion in contingent payments based on specific regulatory and sales-based milestones for the Licensed Products. Of the total contingent payments, $400.0 million in regulatory milestones are related to marketing approvals and $1.0 billion are related to sales-based milestones. There were no regulatory or sales-based milestone payments received through December 31, 2025.</w:t>
      </w:r>
    </w:p>
    <w:p>
      <w:pPr>
        <w:spacing w:after="0" w:line="142" w:lineRule="exact"/>
        <w:rPr>
          <w:sz w:val="20"/>
          <w:szCs w:val="20"/>
          <w:color w:val="auto"/>
        </w:rPr>
      </w:pPr>
    </w:p>
    <w:p>
      <w:pPr>
        <w:jc w:val="both"/>
        <w:ind w:right="160" w:firstLine="509"/>
        <w:spacing w:after="0" w:line="271" w:lineRule="auto"/>
        <w:rPr>
          <w:sz w:val="20"/>
          <w:szCs w:val="20"/>
          <w:color w:val="auto"/>
        </w:rPr>
      </w:pPr>
      <w:r>
        <w:rPr>
          <w:rFonts w:ascii="Arial" w:cs="Arial" w:eastAsia="Arial" w:hAnsi="Arial"/>
          <w:sz w:val="14"/>
          <w:szCs w:val="14"/>
          <w:color w:val="auto"/>
        </w:rPr>
        <w:t>The Company and Pfizer share equally all development costs, including costs of conducting clinical trials, for the Licensed Products, subject to certain exceptions. Except for certain regions described below, the parties will also share equally all profits and losses in commercialization and medical affairs activities for the Licensed Products in all other countries, subject to certain exceptions.</w:t>
      </w:r>
    </w:p>
    <w:p>
      <w:pPr>
        <w:spacing w:after="0" w:line="13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4"/>
          <w:szCs w:val="14"/>
          <w:color w:val="auto"/>
        </w:rPr>
        <w:t>The Company will be the marketing authorization applicant in the United States and, subject to approval, can book sales in the United States, while Pfizer will hold marketing authorizations outside the United States. The parties will determine which, if any, regions within the world will be solely commercialized by one party, and in such region the parties will adjust their share of profits and losses for the Licensed Products based on the role each party will be performing.</w:t>
      </w:r>
    </w:p>
    <w:p>
      <w:pPr>
        <w:spacing w:after="0" w:line="134" w:lineRule="exact"/>
        <w:rPr>
          <w:sz w:val="20"/>
          <w:szCs w:val="20"/>
          <w:color w:val="auto"/>
        </w:rPr>
      </w:pPr>
    </w:p>
    <w:p>
      <w:pPr>
        <w:jc w:val="both"/>
        <w:ind w:right="60" w:firstLine="509"/>
        <w:spacing w:after="0" w:line="262" w:lineRule="auto"/>
        <w:rPr>
          <w:sz w:val="20"/>
          <w:szCs w:val="20"/>
          <w:color w:val="auto"/>
        </w:rPr>
      </w:pPr>
      <w:r>
        <w:rPr>
          <w:rFonts w:ascii="Arial" w:cs="Arial" w:eastAsia="Arial" w:hAnsi="Arial"/>
          <w:sz w:val="14"/>
          <w:szCs w:val="14"/>
          <w:color w:val="auto"/>
        </w:rPr>
        <w:t>In addition, in connection with the execution of the Vepdegestrant (ARV-471) Collaboration Agreement, the Company and Pfizer entered into a Stock Purchase Agreement (the "Pfizer Stock Purchase Agreement") for the sale and issuance of 3,457,815 shares of the Company’s common stock (the “Shares”) to Pfizer at a price of $101.22 per share, for an aggregate purchase price of $350.0 million (the “Pfizer Equity Transaction”), less financial advisor fees of $4.6 million, which was consummated in September 2021. Pursuant to terms of the Pfizer Stock Purchase Agreement, Pfizer has agreed not to sell or transfer the Shares without prior written approval of the Company for a specified time period, subject to specified exceptions.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67" w:name="page168"/>
    <w:bookmarkEnd w:id="167"/>
    <w:p>
      <w:pPr>
        <w:ind w:right="120" w:firstLine="509"/>
        <w:spacing w:after="0" w:line="260" w:lineRule="auto"/>
        <w:rPr>
          <w:sz w:val="20"/>
          <w:szCs w:val="20"/>
          <w:color w:val="auto"/>
        </w:rPr>
      </w:pPr>
      <w:r>
        <w:rPr>
          <w:rFonts w:ascii="Arial" w:cs="Arial" w:eastAsia="Arial" w:hAnsi="Arial"/>
          <w:sz w:val="14"/>
          <w:szCs w:val="14"/>
          <w:color w:val="auto"/>
        </w:rPr>
        <w:t xml:space="preserve">The Company determined that the Vepdegestrant (ARV-471) Collaboration Agreement and the Pfizer Equity Transaction entered into with Pfizer concurrently should be evaluated as a combined contract in accordance with Accounting Standards Codification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The Company determined the fair value of the shares sold under the Pfizer Equity Transaction to be $85.4 million less than the contractual purchase price stipulated in the agreement. In accordance with the applicable accounting guidance in ASC 815-40, </w:t>
      </w:r>
      <w:r>
        <w:rPr>
          <w:rFonts w:ascii="Arial" w:cs="Arial" w:eastAsia="Arial" w:hAnsi="Arial"/>
          <w:sz w:val="14"/>
          <w:szCs w:val="14"/>
          <w:i w:val="1"/>
          <w:iCs w:val="1"/>
          <w:color w:val="auto"/>
        </w:rPr>
        <w:t>Contracts in Entity’s Own Equity</w:t>
      </w:r>
      <w:r>
        <w:rPr>
          <w:rFonts w:ascii="Arial" w:cs="Arial" w:eastAsia="Arial" w:hAnsi="Arial"/>
          <w:sz w:val="14"/>
          <w:szCs w:val="14"/>
          <w:color w:val="auto"/>
        </w:rPr>
        <w:t>, the Company determined that the sale of stock should be recorded at fair value and therefore allocated the excess consideration received under the Pfizer Equity Transaction to the Vepdegestrant (ARV-471) Collaboration Agreement, which, along with the non-refundable payment of $650.0 million, is being recognized as revenue over the total estimated period of performance based on the Company’s best estimate of costs to be incurred.</w:t>
      </w:r>
    </w:p>
    <w:p>
      <w:pPr>
        <w:spacing w:after="0" w:line="142"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 xml:space="preserve">As a direct result of the Company’s entry into the Vepdegestrant (ARV-471) Collaboration Agreement, the Company incurred direct and incremental costs to obtain the contract, paid to a financial advisor, totaling $ 12.9 million. In accordance with ASC 340, </w:t>
      </w:r>
      <w:r>
        <w:rPr>
          <w:rFonts w:ascii="Arial" w:cs="Arial" w:eastAsia="Arial" w:hAnsi="Arial"/>
          <w:sz w:val="14"/>
          <w:szCs w:val="14"/>
          <w:i w:val="1"/>
          <w:iCs w:val="1"/>
          <w:color w:val="auto"/>
        </w:rPr>
        <w:t>Other Assets and Deferred Costs</w:t>
      </w:r>
      <w:r>
        <w:rPr>
          <w:rFonts w:ascii="Arial" w:cs="Arial" w:eastAsia="Arial" w:hAnsi="Arial"/>
          <w:sz w:val="14"/>
          <w:szCs w:val="14"/>
          <w:color w:val="auto"/>
        </w:rPr>
        <w:t>, the Company recognized an asset of $12.9 million in collaboration contract asset and other assets in the consolidated balance sheet, which is being amortized as general and administrative expense over the total estimated period of performance under the Vepdegestrant (ARV-471) Collaboration Agreement.</w:t>
      </w:r>
    </w:p>
    <w:p>
      <w:pPr>
        <w:spacing w:after="0" w:line="138" w:lineRule="exact"/>
        <w:rPr>
          <w:sz w:val="20"/>
          <w:szCs w:val="20"/>
          <w:color w:val="auto"/>
        </w:rPr>
      </w:pPr>
    </w:p>
    <w:p>
      <w:pPr>
        <w:ind w:right="560" w:firstLine="509"/>
        <w:spacing w:after="0" w:line="290" w:lineRule="auto"/>
        <w:rPr>
          <w:sz w:val="20"/>
          <w:szCs w:val="20"/>
          <w:color w:val="auto"/>
        </w:rPr>
      </w:pPr>
      <w:r>
        <w:rPr>
          <w:rFonts w:ascii="Arial" w:cs="Arial" w:eastAsia="Arial" w:hAnsi="Arial"/>
          <w:sz w:val="14"/>
          <w:szCs w:val="14"/>
          <w:color w:val="auto"/>
        </w:rPr>
        <w:t>In September 2025, the Company announced that the Company and Pfizer have agreed to jointly select a third party for the commercialization and potential further development of vepdegestrant. The announcement did not have an effect on revenue recognition for the year ended December 31, 2025.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Pfizer Research Collaboration Agreement</w:t>
      </w:r>
    </w:p>
    <w:p>
      <w:pPr>
        <w:spacing w:after="0" w:line="94"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In December 2017, the Company entered into a Research Collaboration and License Agreement with Pfizer (the "Pfizer Research Collaboration Agreement"). Under the terms of the Pfizer Research Collaboration Agreement, the Company received an upfront, non-refundable payment and certain additional payments totaling $28.0 million in 2018 in exchange for use of the Company’s technology license and to fund Pfizer-related research as defined within the Pfizer Research Collaboration Agreement. These payments are being recognized over the total estimated period of performance. As of December 31, 2025, there remains a single target under the Pfizer Research Collaboration Agreement, and, in accordance with the terms of such Agreement, the Company is eligible to receive up to an additional $3.8 million in non-refundable option payments if Pfizer exercises its option for such target protein under the Pfizer Research Collaboration Agreement.</w:t>
      </w:r>
    </w:p>
    <w:p>
      <w:pPr>
        <w:spacing w:after="0" w:line="5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4"/>
          <w:szCs w:val="14"/>
          <w:color w:val="auto"/>
        </w:rPr>
        <w:t>The Company is also entitled to receive up to $225.0 million in development milestone payments and up to $550.0 million in sales-based milestone payments for all designated targets under the Pfizer Research Collaboration Agreement, as well as tiered royalties based on sales. There were no sales-based milestone payments or royalties received through December 31,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Novartis License and Asset Agreements</w:t>
      </w:r>
    </w:p>
    <w:p>
      <w:pPr>
        <w:spacing w:after="0" w:line="9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the Company's second generation PROTAC androgen receptor (AR) degrader for patients with prostate cancer and for the sale of the Company's preclinical AR-V7 program. Under the terms of the agreements, Novartis is responsible for worldwide clinical development and commercialization of luxdegalutamide (ARV-766) and has all research, development, manufacturing, and commercialization rights with respect to the Company’s PROTAC protein degrader targeting AR-V7, a splice variant of the AR.</w:t>
      </w:r>
    </w:p>
    <w:p>
      <w:pPr>
        <w:spacing w:after="0" w:line="140"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In May 2024, Novartis paid to the Company a one-time, upfront payment in the aggregate amount of $150.0 million in accordance with the terms of the Novartis License Agreement and the Novartis Asset Agreement. Under the terms of the Novartis License Agreement, the Company is eligible to receive up to an additional $1.01 billion as contingent payments based on specified development, regulatory and commercial milestones for luxdegalutamide (ARV-766) being met, as well as tiered royalties based on worldwide net sales of luxdegalutamide (ARV-766), subject to reduction under certain circumstances as provided in the Novartis License Agreement. During the year ended December 31, 2025, the Company recognized as revenue $20.0 million upon the achievement of a development milestone pursuant to the terms of the Novartis License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color w:val="auto"/>
        </w:rPr>
        <w:t>Agreement. There were no development, regulatory or commercial milestone payments, or sales-based royalties received during the year ended December 31, 2024.</w:t>
      </w:r>
    </w:p>
    <w:p>
      <w:pPr>
        <w:spacing w:after="0" w:line="179"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38"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 xml:space="preserve">The Company determined that the Novartis License Agreement and the Novartis Asset Agreement entered into with Novartis concurrently should be accounted for as a combined contract 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The Company determined the fair value of the assets sold under the Novartis Asset Agreement to be $20.0 million, which was recognized at the time of sale as revenue, and the fair value of the Novartis License Agreement to be $130.0 million, which was recognized as revenue over the total estimated period of performance during the technology transfer period, as defined in the agreement, based on the cost incurred input method. Under the Novartis License Agreement, Novartis will also reimburse the Company for development costs incurred during the technology transfer period, which will be recognized as revenue as costs are incurred. As of December 31, 2024, the technology transfer period ended as the Company completed the transition of its ongoing and planned clinical trials of luxdegalutamide (ARV-766) to Novartis.</w:t>
      </w:r>
    </w:p>
    <w:p>
      <w:pPr>
        <w:spacing w:after="0" w:line="142"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 xml:space="preserve">As a direct result of the Company’s entry into the Novartis Transaction, the Company incurred direct and incremental costs to obtain the contract, paid to a financial advisor, totaling $ 3.0 million. In accordance with ASC 340, </w:t>
      </w:r>
      <w:r>
        <w:rPr>
          <w:rFonts w:ascii="Arial" w:cs="Arial" w:eastAsia="Arial" w:hAnsi="Arial"/>
          <w:sz w:val="14"/>
          <w:szCs w:val="14"/>
          <w:i w:val="1"/>
          <w:iCs w:val="1"/>
          <w:color w:val="auto"/>
        </w:rPr>
        <w:t>Other Assets and Deferred Costs</w:t>
      </w:r>
      <w:r>
        <w:rPr>
          <w:rFonts w:ascii="Arial" w:cs="Arial" w:eastAsia="Arial" w:hAnsi="Arial"/>
          <w:sz w:val="14"/>
          <w:szCs w:val="14"/>
          <w:color w:val="auto"/>
        </w:rPr>
        <w:t>, the Company recognized an asset of $3.0 million in collaboration contract asset and other assets in the consolidated balance sheet at inception of the Novartis License Agreement and the Novartis Asset Agreement, which was amortized as general and administrative expense over the total estimated period of performance under the Novartis License Agreement and the Novartis Asset Agreement.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Genentech Modification</w:t>
      </w:r>
    </w:p>
    <w:p>
      <w:pPr>
        <w:spacing w:after="0" w:line="94" w:lineRule="exact"/>
        <w:rPr>
          <w:sz w:val="20"/>
          <w:szCs w:val="20"/>
          <w:color w:val="auto"/>
        </w:rPr>
      </w:pPr>
    </w:p>
    <w:p>
      <w:pPr>
        <w:ind w:right="200" w:firstLine="509"/>
        <w:spacing w:after="0" w:line="265" w:lineRule="auto"/>
        <w:rPr>
          <w:sz w:val="20"/>
          <w:szCs w:val="20"/>
          <w:color w:val="auto"/>
        </w:rPr>
      </w:pPr>
      <w:r>
        <w:rPr>
          <w:rFonts w:ascii="Arial" w:cs="Arial" w:eastAsia="Arial" w:hAnsi="Arial"/>
          <w:sz w:val="14"/>
          <w:szCs w:val="14"/>
          <w:color w:val="auto"/>
        </w:rPr>
        <w:t>In November 2017, the Company entered into an Amended and Restated Option, License, and Collaboration Agreement (the "Genentech Modification") with Genentech, Inc. and F. Hoffman-La Roche Ltd (together "Genentech"), amending a previous Genentech agreement entered into in September 2015. Under the Genentech Modification, the Company received upfront, non-refundable payments of $34.5 million (in addition to $11.0 million received under the previous agreement in 2015) to fund Genentech-related research. Upfront non-refundable payments were recognized as revenue over the total estimated period of performance, which concluded during the first quarter of 2023.</w:t>
      </w:r>
    </w:p>
    <w:p>
      <w:pPr>
        <w:spacing w:after="0" w:line="13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4"/>
          <w:szCs w:val="14"/>
          <w:color w:val="auto"/>
        </w:rPr>
        <w:t>The Company is eligible to receive up to $44.0 million per target in development milestone payments, $52.5 million in regulatory milestone payments and $60.0 million in commercial milestone payments based on sales as well as tiered royalties based on sales. There were no development, regulatory or commercial milestone payments or royalties received through December 31, 2025.</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Bayer Collaboration Agreement</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June 2019, the Company and Bayer AG entered into a Collaboration and License Agreement (the "Bayer Collaboration Agreement") setting forth the Company’s collaboration with Bayer AG to identify or optimize proteolysis targeting chimeras, or PROTAC targeted protein degraders, that mediate for degradation of target proteins ("Targets"), using the Company’s proprietary platform technology, which Targets were selected by Bayer AG, subject to certain exclusions and limitations. Under the terms of the Bayer Collaboration Agreement, the Company received an upfront, non-refundable payment of $17.5 million in exchange for the use of the Company’s technology license. The Company also received an additional $12.0 million from Bayer AG from inception through 2023, including $1.5 million received during the year ended December 31, 2023. These payments were recognized over the total estimated period of performance.</w:t>
      </w:r>
    </w:p>
    <w:p>
      <w:pPr>
        <w:spacing w:after="0" w:line="142" w:lineRule="exact"/>
        <w:rPr>
          <w:sz w:val="20"/>
          <w:szCs w:val="20"/>
          <w:color w:val="auto"/>
        </w:rPr>
      </w:pPr>
    </w:p>
    <w:p>
      <w:pPr>
        <w:ind w:right="60" w:firstLine="509"/>
        <w:spacing w:after="0" w:line="290" w:lineRule="auto"/>
        <w:rPr>
          <w:sz w:val="20"/>
          <w:szCs w:val="20"/>
          <w:color w:val="auto"/>
        </w:rPr>
      </w:pPr>
      <w:r>
        <w:rPr>
          <w:rFonts w:ascii="Arial" w:cs="Arial" w:eastAsia="Arial" w:hAnsi="Arial"/>
          <w:sz w:val="14"/>
          <w:szCs w:val="14"/>
          <w:color w:val="auto"/>
        </w:rPr>
        <w:t>Pursuant to notice from Bayer AG in accordance with the terms of the Bayer Collaboration Agreement, the Bayer Collaboration Agreement was terminated effective August 12, 2024.</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69" w:name="page170"/>
    <w:bookmarkEnd w:id="169"/>
    <w:p>
      <w:pPr>
        <w:ind w:right="100" w:firstLine="509"/>
        <w:spacing w:after="0" w:line="265" w:lineRule="auto"/>
        <w:rPr>
          <w:sz w:val="20"/>
          <w:szCs w:val="20"/>
          <w:color w:val="auto"/>
        </w:rPr>
      </w:pPr>
      <w:r>
        <w:rPr>
          <w:rFonts w:ascii="Arial" w:cs="Arial" w:eastAsia="Arial" w:hAnsi="Arial"/>
          <w:sz w:val="14"/>
          <w:szCs w:val="14"/>
          <w:color w:val="auto"/>
        </w:rPr>
        <w:t>The Company was also eligible to receive up to $197.5 million in development milestone payments and up to $490.0 million in sales-based milestone payments for all designated Targets. In addition, the Company was eligible to receive, on net sales of PROTAC targeted protein degrader-related products, mid-single digit to low-double digit tiered royalties, which were subject to reductions. There were no development or sales-based milestone payments or royalties received through August 12, 2024, the termination date of the agreement.</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Changes in the Company's contract balances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80" w:type="dxa"/>
            <w:vAlign w:val="bottom"/>
          </w:tcPr>
          <w:p>
            <w:pPr>
              <w:ind w:left="180"/>
              <w:spacing w:after="0"/>
              <w:rPr>
                <w:sz w:val="20"/>
                <w:szCs w:val="20"/>
                <w:color w:val="auto"/>
              </w:rPr>
            </w:pPr>
            <w:r>
              <w:rPr>
                <w:rFonts w:ascii="Arial" w:cs="Arial" w:eastAsia="Arial" w:hAnsi="Arial"/>
                <w:sz w:val="14"/>
                <w:szCs w:val="14"/>
                <w:color w:val="auto"/>
              </w:rPr>
              <w:t>Beginning balance</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7"/>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Payments received</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Ending balance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1"/>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Accounts payable related to collaborations</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7"/>
        </w:trPr>
        <w:tc>
          <w:tcPr>
            <w:tcW w:w="7780" w:type="dxa"/>
            <w:vAlign w:val="bottom"/>
          </w:tcPr>
          <w:p>
            <w:pPr>
              <w:ind w:left="360"/>
              <w:spacing w:after="0"/>
              <w:rPr>
                <w:sz w:val="20"/>
                <w:szCs w:val="20"/>
                <w:color w:val="auto"/>
              </w:rPr>
            </w:pPr>
            <w:r>
              <w:rPr>
                <w:rFonts w:ascii="Arial" w:cs="Arial" w:eastAsia="Arial" w:hAnsi="Arial"/>
                <w:sz w:val="14"/>
                <w:szCs w:val="14"/>
                <w:color w:val="auto"/>
              </w:rPr>
              <w:t>Additions</w:t>
            </w:r>
          </w:p>
        </w:tc>
        <w:tc>
          <w:tcPr>
            <w:tcW w:w="420" w:type="dxa"/>
            <w:vAlign w:val="bottom"/>
          </w:tcPr>
          <w:p>
            <w:pPr>
              <w:spacing w:after="0"/>
              <w:rPr>
                <w:sz w:val="17"/>
                <w:szCs w:val="17"/>
                <w:color w:val="auto"/>
              </w:rPr>
            </w:pP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46.4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made</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7"/>
        </w:trPr>
        <w:tc>
          <w:tcPr>
            <w:tcW w:w="7780" w:type="dxa"/>
            <w:vAlign w:val="bottom"/>
          </w:tcPr>
          <w:p>
            <w:pPr>
              <w:ind w:left="520"/>
              <w:spacing w:after="0"/>
              <w:rPr>
                <w:sz w:val="20"/>
                <w:szCs w:val="20"/>
                <w:color w:val="auto"/>
              </w:rPr>
            </w:pPr>
            <w:r>
              <w:rPr>
                <w:rFonts w:ascii="Arial" w:cs="Arial" w:eastAsia="Arial" w:hAnsi="Arial"/>
                <w:sz w:val="14"/>
                <w:szCs w:val="14"/>
                <w:b w:val="1"/>
                <w:bCs w:val="1"/>
                <w:color w:val="auto"/>
              </w:rPr>
              <w:t>Ending balance</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Contract assets: Collaboration contract asset</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80" w:type="dxa"/>
            <w:vAlign w:val="bottom"/>
          </w:tcPr>
          <w:p>
            <w:pPr>
              <w:ind w:left="180"/>
              <w:spacing w:after="0"/>
              <w:rPr>
                <w:sz w:val="20"/>
                <w:szCs w:val="20"/>
                <w:color w:val="auto"/>
              </w:rPr>
            </w:pPr>
            <w:r>
              <w:rPr>
                <w:rFonts w:ascii="Arial" w:cs="Arial" w:eastAsia="Arial" w:hAnsi="Arial"/>
                <w:sz w:val="14"/>
                <w:szCs w:val="14"/>
                <w:color w:val="auto"/>
              </w:rPr>
              <w:t>Beginning balance</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7"/>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Ending balance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Contract liabilities: Deferred revenue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448.2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197"/>
        </w:trPr>
        <w:tc>
          <w:tcPr>
            <w:tcW w:w="7780" w:type="dxa"/>
            <w:vAlign w:val="bottom"/>
          </w:tcPr>
          <w:p>
            <w:pPr>
              <w:ind w:left="360"/>
              <w:spacing w:after="0"/>
              <w:rPr>
                <w:sz w:val="20"/>
                <w:szCs w:val="20"/>
                <w:color w:val="auto"/>
              </w:rPr>
            </w:pPr>
            <w:r>
              <w:rPr>
                <w:rFonts w:ascii="Arial" w:cs="Arial" w:eastAsia="Arial" w:hAnsi="Arial"/>
                <w:sz w:val="14"/>
                <w:szCs w:val="14"/>
                <w:color w:val="auto"/>
              </w:rPr>
              <w:t>Additions to collaboration agreements</w:t>
            </w:r>
          </w:p>
        </w:tc>
        <w:tc>
          <w:tcPr>
            <w:tcW w:w="4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Revenue recognized from balances held at the beginning of the period</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97"/>
        </w:trPr>
        <w:tc>
          <w:tcPr>
            <w:tcW w:w="7780" w:type="dxa"/>
            <w:vAlign w:val="bottom"/>
          </w:tcPr>
          <w:p>
            <w:pPr>
              <w:ind w:left="360"/>
              <w:spacing w:after="0"/>
              <w:rPr>
                <w:sz w:val="20"/>
                <w:szCs w:val="20"/>
                <w:color w:val="auto"/>
              </w:rPr>
            </w:pPr>
            <w:r>
              <w:rPr>
                <w:rFonts w:ascii="Arial" w:cs="Arial" w:eastAsia="Arial" w:hAnsi="Arial"/>
                <w:sz w:val="14"/>
                <w:szCs w:val="14"/>
                <w:color w:val="auto"/>
              </w:rPr>
              <w:t>Revenue recognized from balances not held at the beginning of the period</w:t>
            </w:r>
          </w:p>
        </w:tc>
        <w:tc>
          <w:tcPr>
            <w:tcW w:w="4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22"/>
        </w:trPr>
        <w:tc>
          <w:tcPr>
            <w:tcW w:w="77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Ending balance</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09"/>
        <w:spacing w:after="0" w:line="265" w:lineRule="auto"/>
        <w:rPr>
          <w:sz w:val="20"/>
          <w:szCs w:val="20"/>
          <w:color w:val="auto"/>
        </w:rPr>
      </w:pPr>
      <w:r>
        <w:rPr>
          <w:rFonts w:ascii="Arial" w:cs="Arial" w:eastAsia="Arial" w:hAnsi="Arial"/>
          <w:sz w:val="14"/>
          <w:szCs w:val="14"/>
          <w:color w:val="auto"/>
        </w:rPr>
        <w:t>During the year ended December 31, 2025, the Company updated its estimate to satisfy the performance obligations under the Vepdegestrant (ARV-471) Collaboration Agreement due to the removal of the first-line Phase 3 combination trial with Pfizer’s novel investigational CDK4 inhibitor, atirmociclib, and the removal of the second-line Phase 3 combination trial with a CDK4/6 inhibitor from the development plan. The change in accounting estimate resulted in an increase in revenue of $ 150.2 million, an increase in operating expenses of $2.6 million, a decrease in net loss of $147.6 million, and a decrease in basic and diluted loss per share of $2.08 for the year ended December 31, 2025.</w:t>
      </w:r>
    </w:p>
    <w:p>
      <w:pPr>
        <w:spacing w:after="0" w:line="138"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During the year ended December 31, 2025, the Company also changed its estimate of the duration of the performance period under the Pfizer Research Collaboration Agreement as a result of updated research timelines. The change in accounting estimate resulted in a decrease of $6.6 million in revenue, an increase in net loss, and an increase in basic and diluted loss per share of $0.09 for the year ended December 31, 2025. The reversed revenue will continue to be recognized in future periods as the Company continues to advance on the performance obligation under the updated collaboration timeline.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0" w:name="page171"/>
    <w:bookmarkEnd w:id="170"/>
    <w:p>
      <w:pPr>
        <w:ind w:right="20" w:firstLine="509"/>
        <w:spacing w:after="0" w:line="265" w:lineRule="auto"/>
        <w:rPr>
          <w:sz w:val="20"/>
          <w:szCs w:val="20"/>
          <w:color w:val="auto"/>
        </w:rPr>
      </w:pPr>
      <w:r>
        <w:rPr>
          <w:rFonts w:ascii="Arial" w:cs="Arial" w:eastAsia="Arial" w:hAnsi="Arial"/>
          <w:sz w:val="14"/>
          <w:szCs w:val="14"/>
          <w:color w:val="auto"/>
        </w:rPr>
        <w:t>During the year ended December 31, 2024, the Company changed its estimate of the duration of the performance period under the Pfizer Research Collaboration Agreement as a result of updated research timelines. The changes in accounting estimate resulted in a decrease in revenue and an increase in net loss of $2.4 million, respectively, and an increase in net loss per share of $0.03 for the year ended December 31, 2024. The reversed revenue will be recognized in subsequent periods as the Company continues to advance on the performance obligation under the updated collaboration timeline.</w:t>
      </w:r>
    </w:p>
    <w:p>
      <w:pPr>
        <w:spacing w:after="0" w:line="138" w:lineRule="exact"/>
        <w:rPr>
          <w:sz w:val="20"/>
          <w:szCs w:val="20"/>
          <w:color w:val="auto"/>
        </w:rPr>
      </w:pPr>
    </w:p>
    <w:p>
      <w:pPr>
        <w:ind w:right="280" w:firstLine="509"/>
        <w:spacing w:after="0" w:line="265" w:lineRule="auto"/>
        <w:rPr>
          <w:sz w:val="20"/>
          <w:szCs w:val="20"/>
          <w:color w:val="auto"/>
        </w:rPr>
      </w:pPr>
      <w:r>
        <w:rPr>
          <w:rFonts w:ascii="Arial" w:cs="Arial" w:eastAsia="Arial" w:hAnsi="Arial"/>
          <w:sz w:val="14"/>
          <w:szCs w:val="14"/>
          <w:color w:val="auto"/>
        </w:rPr>
        <w:t>During the fourth quarter of 2023, the Company had a change to its estimate to satisfy the performance obligations under the Vepdegestrant (ARV-471) Collaboration Agreement due to the expansion of the development programs. The changes in accounting estimate resulted in a decrease in revenue and increase in net loss of $35.0 million, respectively, and an increase in net loss per share of $0.63 for the year ended December 31, 2023. The reversed revenue will continue to be recognized in future periods as the Company continues to advance on the performance obligation under the collaboration.</w:t>
      </w:r>
    </w:p>
    <w:p>
      <w:pPr>
        <w:spacing w:after="0" w:line="138"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During the year ended December 31, 2023, the Company also changed its estimate of the duration of the performance period under the Bayer Collaboration Agreement and Pfizer Research Collaboration Agreement as a result of updated research timelines. The changes in accounting estimate resulted in a decrease in revenue and an increase in net loss of $10.6 million, respectively, and an increase in net loss per share of $0.19 for the year ended December 31, 2023. The reversed revenue was recognized in subsequent periods as the Company continued to advance on the performance obligation under the updated collaboration timelines.</w:t>
      </w:r>
    </w:p>
    <w:p>
      <w:pPr>
        <w:spacing w:after="0" w:line="138" w:lineRule="exact"/>
        <w:rPr>
          <w:sz w:val="20"/>
          <w:szCs w:val="20"/>
          <w:color w:val="auto"/>
        </w:rPr>
      </w:pPr>
    </w:p>
    <w:p>
      <w:pPr>
        <w:ind w:right="20" w:firstLine="509"/>
        <w:spacing w:after="0" w:line="290" w:lineRule="auto"/>
        <w:rPr>
          <w:sz w:val="20"/>
          <w:szCs w:val="20"/>
          <w:color w:val="auto"/>
        </w:rPr>
      </w:pPr>
      <w:r>
        <w:rPr>
          <w:rFonts w:ascii="Arial" w:cs="Arial" w:eastAsia="Arial" w:hAnsi="Arial"/>
          <w:sz w:val="14"/>
          <w:szCs w:val="14"/>
          <w:color w:val="auto"/>
        </w:rPr>
        <w:t>The aggregate amount of the transaction price allocated to performance obligations that were unsatisfied as of December 31, 2025 totaled $205.6 million, which is expected to be recognized in the following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60" w:type="dxa"/>
            <w:vAlign w:val="bottom"/>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2027</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83"/>
        </w:trPr>
        <w:tc>
          <w:tcPr>
            <w:tcW w:w="366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4. Marketable Securities and Fair Value Measurements</w:t>
            </w: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36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640" w:type="dxa"/>
            <w:vAlign w:val="bottom"/>
            <w:gridSpan w:val="10"/>
          </w:tcPr>
          <w:p>
            <w:pPr>
              <w:ind w:left="520"/>
              <w:spacing w:after="0"/>
              <w:rPr>
                <w:sz w:val="20"/>
                <w:szCs w:val="20"/>
                <w:color w:val="auto"/>
              </w:rPr>
            </w:pPr>
            <w:r>
              <w:rPr>
                <w:rFonts w:ascii="Arial" w:cs="Arial" w:eastAsia="Arial" w:hAnsi="Arial"/>
                <w:sz w:val="14"/>
                <w:szCs w:val="14"/>
                <w:color w:val="auto"/>
              </w:rPr>
              <w:t>The following is a summary of the Company’s available for sale marketable securities measured at fair value on a recurring basis.</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66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31, 2025</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3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Gross</w:t>
            </w:r>
          </w:p>
        </w:tc>
        <w:tc>
          <w:tcPr>
            <w:tcW w:w="420" w:type="dxa"/>
            <w:vAlign w:val="bottom"/>
          </w:tcPr>
          <w:p>
            <w:pPr>
              <w:spacing w:after="0"/>
              <w:rPr>
                <w:sz w:val="13"/>
                <w:szCs w:val="13"/>
                <w:color w:val="auto"/>
              </w:rPr>
            </w:pPr>
          </w:p>
        </w:tc>
        <w:tc>
          <w:tcPr>
            <w:tcW w:w="1060" w:type="dxa"/>
            <w:vAlign w:val="bottom"/>
          </w:tcPr>
          <w:p>
            <w:pPr>
              <w:jc w:val="center"/>
              <w:ind w:right="336"/>
              <w:spacing w:after="0"/>
              <w:rPr>
                <w:sz w:val="20"/>
                <w:szCs w:val="20"/>
                <w:color w:val="auto"/>
              </w:rPr>
            </w:pPr>
            <w:r>
              <w:rPr>
                <w:rFonts w:ascii="Arial" w:cs="Arial" w:eastAsia="Arial" w:hAnsi="Arial"/>
                <w:sz w:val="11"/>
                <w:szCs w:val="11"/>
                <w:b w:val="1"/>
                <w:bCs w:val="1"/>
                <w:color w:val="auto"/>
              </w:rPr>
              <w:t>Gross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4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Valuation</w:t>
            </w:r>
          </w:p>
        </w:tc>
        <w:tc>
          <w:tcPr>
            <w:tcW w:w="24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Unrealized</w:t>
            </w:r>
          </w:p>
        </w:tc>
        <w:tc>
          <w:tcPr>
            <w:tcW w:w="420" w:type="dxa"/>
            <w:vAlign w:val="bottom"/>
          </w:tcPr>
          <w:p>
            <w:pPr>
              <w:spacing w:after="0"/>
              <w:rPr>
                <w:sz w:val="12"/>
                <w:szCs w:val="12"/>
                <w:color w:val="auto"/>
              </w:rPr>
            </w:pPr>
          </w:p>
        </w:tc>
        <w:tc>
          <w:tcPr>
            <w:tcW w:w="1060" w:type="dxa"/>
            <w:vAlign w:val="bottom"/>
          </w:tcPr>
          <w:p>
            <w:pPr>
              <w:jc w:val="center"/>
              <w:ind w:right="336"/>
              <w:spacing w:after="0"/>
              <w:rPr>
                <w:sz w:val="20"/>
                <w:szCs w:val="20"/>
                <w:color w:val="auto"/>
              </w:rPr>
            </w:pPr>
            <w:r>
              <w:rPr>
                <w:rFonts w:ascii="Arial" w:cs="Arial" w:eastAsia="Arial" w:hAnsi="Arial"/>
                <w:sz w:val="11"/>
                <w:szCs w:val="11"/>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31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59"/>
        </w:trPr>
        <w:tc>
          <w:tcPr>
            <w:tcW w:w="3660" w:type="dxa"/>
            <w:vAlign w:val="bottom"/>
            <w:tcBorders>
              <w:bottom w:val="single" w:sz="8" w:color="CCEEFF"/>
            </w:tcBorders>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Hierarchy</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1"/>
                <w:szCs w:val="11"/>
                <w:b w:val="1"/>
                <w:bCs w:val="1"/>
                <w:color w:val="auto"/>
              </w:rPr>
              <w:t>Cost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rPr>
              <w:t>Gains</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Losses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7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4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Level 2</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529.1</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Government securities</w:t>
            </w:r>
          </w:p>
        </w:tc>
        <w:tc>
          <w:tcPr>
            <w:tcW w:w="14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4"/>
                <w:szCs w:val="14"/>
                <w:color w:val="auto"/>
              </w:rPr>
              <w:t>Level 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Gross</w:t>
            </w:r>
          </w:p>
        </w:tc>
        <w:tc>
          <w:tcPr>
            <w:tcW w:w="420" w:type="dxa"/>
            <w:vAlign w:val="bottom"/>
          </w:tcPr>
          <w:p>
            <w:pPr>
              <w:spacing w:after="0"/>
              <w:rPr>
                <w:sz w:val="14"/>
                <w:szCs w:val="14"/>
                <w:color w:val="auto"/>
              </w:rPr>
            </w:pPr>
          </w:p>
        </w:tc>
        <w:tc>
          <w:tcPr>
            <w:tcW w:w="1060" w:type="dxa"/>
            <w:vAlign w:val="bottom"/>
          </w:tcPr>
          <w:p>
            <w:pPr>
              <w:jc w:val="center"/>
              <w:ind w:right="336"/>
              <w:spacing w:after="0"/>
              <w:rPr>
                <w:sz w:val="20"/>
                <w:szCs w:val="20"/>
                <w:color w:val="auto"/>
              </w:rPr>
            </w:pPr>
            <w:r>
              <w:rPr>
                <w:rFonts w:ascii="Arial" w:cs="Arial" w:eastAsia="Arial" w:hAnsi="Arial"/>
                <w:sz w:val="11"/>
                <w:szCs w:val="11"/>
                <w:b w:val="1"/>
                <w:bCs w:val="1"/>
                <w:color w:val="auto"/>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Valuation</w:t>
            </w:r>
          </w:p>
        </w:tc>
        <w:tc>
          <w:tcPr>
            <w:tcW w:w="2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Unrealized</w:t>
            </w:r>
          </w:p>
        </w:tc>
        <w:tc>
          <w:tcPr>
            <w:tcW w:w="420" w:type="dxa"/>
            <w:vAlign w:val="bottom"/>
          </w:tcPr>
          <w:p>
            <w:pPr>
              <w:spacing w:after="0"/>
              <w:rPr>
                <w:sz w:val="11"/>
                <w:szCs w:val="11"/>
                <w:color w:val="auto"/>
              </w:rPr>
            </w:pPr>
          </w:p>
        </w:tc>
        <w:tc>
          <w:tcPr>
            <w:tcW w:w="1060" w:type="dxa"/>
            <w:vAlign w:val="bottom"/>
          </w:tcPr>
          <w:p>
            <w:pPr>
              <w:jc w:val="center"/>
              <w:ind w:right="336"/>
              <w:spacing w:after="0"/>
              <w:rPr>
                <w:sz w:val="20"/>
                <w:szCs w:val="20"/>
                <w:color w:val="auto"/>
              </w:rPr>
            </w:pPr>
            <w:r>
              <w:rPr>
                <w:rFonts w:ascii="Arial" w:cs="Arial" w:eastAsia="Arial" w:hAnsi="Arial"/>
                <w:sz w:val="11"/>
                <w:szCs w:val="11"/>
                <w:b w:val="1"/>
                <w:bCs w:val="1"/>
                <w:color w:val="auto"/>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center"/>
              <w:ind w:right="313"/>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Hierarchy</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1"/>
                <w:szCs w:val="11"/>
                <w:b w:val="1"/>
                <w:bCs w:val="1"/>
                <w:color w:val="auto"/>
              </w:rPr>
              <w:t>Cost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rPr>
              <w:t>Gains</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36"/>
              <w:spacing w:after="0"/>
              <w:rPr>
                <w:sz w:val="20"/>
                <w:szCs w:val="20"/>
                <w:color w:val="auto"/>
              </w:rPr>
            </w:pPr>
            <w:r>
              <w:rPr>
                <w:rFonts w:ascii="Arial" w:cs="Arial" w:eastAsia="Arial" w:hAnsi="Arial"/>
                <w:sz w:val="11"/>
                <w:szCs w:val="11"/>
                <w:b w:val="1"/>
                <w:bCs w:val="1"/>
                <w:color w:val="auto"/>
              </w:rPr>
              <w:t>Losses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73"/>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4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Level 2</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7"/>
              </w:rPr>
              <w:t>(0.7)</w:t>
            </w:r>
          </w:p>
        </w:tc>
        <w:tc>
          <w:tcPr>
            <w:tcW w:w="4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Arial" w:cs="Arial" w:eastAsia="Arial" w:hAnsi="Arial"/>
                <w:sz w:val="14"/>
                <w:szCs w:val="14"/>
                <w:color w:val="auto"/>
              </w:rPr>
              <w:t>Government securities</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60" w:type="dxa"/>
            <w:vAlign w:val="bottom"/>
          </w:tcPr>
          <w:p>
            <w:pPr>
              <w:ind w:left="8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w w:val="97"/>
              </w:rPr>
              <w:t>(0.7)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3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 - 17</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1" w:name="page172"/>
    <w:bookmarkEnd w:id="171"/>
    <w:p>
      <w:pPr>
        <w:ind w:right="20" w:firstLine="509"/>
        <w:spacing w:after="0" w:line="290" w:lineRule="auto"/>
        <w:rPr>
          <w:sz w:val="20"/>
          <w:szCs w:val="20"/>
          <w:color w:val="auto"/>
        </w:rPr>
      </w:pPr>
      <w:r>
        <w:rPr>
          <w:rFonts w:ascii="Arial" w:cs="Arial" w:eastAsia="Arial" w:hAnsi="Arial"/>
          <w:sz w:val="14"/>
          <w:szCs w:val="14"/>
          <w:color w:val="auto"/>
        </w:rPr>
        <w:t>The Company generally does not intend to sell any investments prior to recovery of their amortized cost basis for any investment in an unrealized loss position. As such, the Company has classified these losses as temporary in nature.</w:t>
      </w:r>
    </w:p>
    <w:p>
      <w:pPr>
        <w:spacing w:after="0" w:line="120"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carrying value of cash and cash equivalents, accounts receivable and accounts payable and accrued liabilities approximate their fair values due to the short-term nature of these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Property, Equipment and Leasehold Improvements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equipment and leasehold improvements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r>
      <w:tr>
        <w:trPr>
          <w:trHeight w:val="16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8"/>
        </w:trPr>
        <w:tc>
          <w:tcPr>
            <w:tcW w:w="8020" w:type="dxa"/>
            <w:vAlign w:val="bottom"/>
          </w:tcPr>
          <w:p>
            <w:pPr>
              <w:ind w:left="180"/>
              <w:spacing w:after="0"/>
              <w:rPr>
                <w:sz w:val="20"/>
                <w:szCs w:val="20"/>
                <w:color w:val="auto"/>
              </w:rPr>
            </w:pPr>
            <w:r>
              <w:rPr>
                <w:rFonts w:ascii="Arial" w:cs="Arial" w:eastAsia="Arial" w:hAnsi="Arial"/>
                <w:sz w:val="14"/>
                <w:szCs w:val="14"/>
                <w:b w:val="1"/>
                <w:bCs w:val="1"/>
                <w:color w:val="auto"/>
              </w:rPr>
              <w:t>Total property, equipment and leasehold improvements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06"/>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88"/>
        </w:trPr>
        <w:tc>
          <w:tcPr>
            <w:tcW w:w="8020" w:type="dxa"/>
            <w:vAlign w:val="bottom"/>
          </w:tcPr>
          <w:p>
            <w:pPr>
              <w:ind w:left="520"/>
              <w:spacing w:after="0"/>
              <w:rPr>
                <w:sz w:val="20"/>
                <w:szCs w:val="20"/>
                <w:color w:val="auto"/>
              </w:rPr>
            </w:pPr>
            <w:r>
              <w:rPr>
                <w:rFonts w:ascii="Arial" w:cs="Arial" w:eastAsia="Arial" w:hAnsi="Arial"/>
                <w:sz w:val="14"/>
                <w:szCs w:val="14"/>
                <w:b w:val="1"/>
                <w:bCs w:val="1"/>
                <w:color w:val="auto"/>
              </w:rPr>
              <w:t>Property, equipment and leasehold improvements, net</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and amortization expense totaled $3.0 million, $4.6 million, and $4.8 million for the years ended December 31, 2025, 2024 and 2023, respectively.</w:t>
      </w:r>
    </w:p>
    <w:p>
      <w:pPr>
        <w:spacing w:after="0" w:line="179"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 xml:space="preserve">During the year ended December 31, 2024, the Company wrote-off leasehold improvements totaling $2.4 million resulting from the termination of the Terminated Lease, as discussed below in Note 6, </w:t>
      </w:r>
      <w:r>
        <w:rPr>
          <w:rFonts w:ascii="Arial" w:cs="Arial" w:eastAsia="Arial" w:hAnsi="Arial"/>
          <w:sz w:val="14"/>
          <w:szCs w:val="14"/>
          <w:i w:val="1"/>
          <w:iCs w:val="1"/>
          <w:color w:val="auto"/>
        </w:rPr>
        <w:t>Right-of-Use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Right-of-Use Assets and Liabilities</w:t>
      </w:r>
    </w:p>
    <w:p>
      <w:pPr>
        <w:spacing w:after="0" w:line="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4"/>
          <w:szCs w:val="14"/>
          <w:color w:val="auto"/>
        </w:rPr>
        <w:t>In August 2024, the Company entered into a Lease Termination Agreement with 101 College Street LLC (the "Landlord"). Under the terms of the Lease Termination Agreement, the lease, by and between the Company and the Landlord, dated May 4, 2021 (as amended, the "Terminated Lease"), for certain leased premises of approximately 160,000 square feet of laboratory and office space, was terminated in full, effective August 15, 2024. The leased premises were expected to be occupied by the Company in 2025. In connection with the Lease Termination Agreement and as consideration for the Landlord’s agreement to terminate the lease for its laboratory and office space at 101 College Street in full, the Company agreed to pay to the Landlord a one-time cash termination fee in the amount of $41.5 million and wrote-off $1.9 million of prepaid rent, both of which were recognized in general and administrative operating expenses on the consolidated statements of operations. The Company also cancelled its previously issued letter of credit in the amount of $5.5 million.</w:t>
      </w:r>
    </w:p>
    <w:p>
      <w:pPr>
        <w:spacing w:after="0" w:line="142" w:lineRule="exact"/>
        <w:rPr>
          <w:sz w:val="20"/>
          <w:szCs w:val="20"/>
          <w:color w:val="auto"/>
        </w:rPr>
      </w:pPr>
    </w:p>
    <w:p>
      <w:pPr>
        <w:ind w:right="260" w:firstLine="509"/>
        <w:spacing w:after="0" w:line="290" w:lineRule="auto"/>
        <w:rPr>
          <w:sz w:val="20"/>
          <w:szCs w:val="20"/>
          <w:color w:val="auto"/>
        </w:rPr>
      </w:pPr>
      <w:r>
        <w:rPr>
          <w:rFonts w:ascii="Arial" w:cs="Arial" w:eastAsia="Arial" w:hAnsi="Arial"/>
          <w:sz w:val="14"/>
          <w:szCs w:val="14"/>
          <w:color w:val="auto"/>
        </w:rPr>
        <w:t>The Company has operating leases for its corporate office, laboratories and certain equipment, which expire no later than December 2029. The leases have a weighted-average remaining term of 4.0 years.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lease expense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2023</w:t>
            </w:r>
          </w:p>
        </w:tc>
      </w:tr>
      <w:tr>
        <w:trPr>
          <w:trHeight w:val="19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2" w:name="page173"/>
    <w:bookmarkEnd w:id="172"/>
    <w:p>
      <w:pPr>
        <w:ind w:left="520"/>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2023</w:t>
            </w:r>
          </w:p>
        </w:tc>
      </w:tr>
      <w:tr>
        <w:trPr>
          <w:trHeight w:val="19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6320" w:type="dxa"/>
            <w:vAlign w:val="bottom"/>
          </w:tcPr>
          <w:p>
            <w:pPr>
              <w:ind w:left="220"/>
              <w:spacing w:after="0"/>
              <w:rPr>
                <w:sz w:val="20"/>
                <w:szCs w:val="20"/>
                <w:color w:val="auto"/>
              </w:rPr>
            </w:pPr>
            <w:r>
              <w:rPr>
                <w:rFonts w:ascii="Arial" w:cs="Arial" w:eastAsia="Arial" w:hAnsi="Arial"/>
                <w:sz w:val="14"/>
                <w:szCs w:val="14"/>
                <w:color w:val="auto"/>
              </w:rPr>
              <w:t>Operating cash flows from operating leases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6"/>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non-cash information:</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4"/>
                <w:szCs w:val="14"/>
                <w:color w:val="auto"/>
              </w:rPr>
              <w:t>Right-of-use assets obtained in exchange for new lease obligations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5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In December 2024, the Company, entered into a Seventh Amendment and an Eighth Amendment to its lease (collectively the “Seventh and Eighth Building 5 Lease Amendments") with Science Park Development Corporation for certain premises in New Haven, Connecticut (the “Building 5 Premises”). The Seventh and Eighth Building 5 Lease Amendments extend the term of the original lease to December 31, 2029, resulting in an increase in the Company's ROU assets of $8.5 million, and, effective on January 1 2025, expand the Building 5 Premises to include approximately 11,200 square feet of additional laboratory and office space resulting in an increase in the Company's ROU assets of $1.5 million. The annual base rent during the extended term will range from $2.2 million to $2.6 million.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Maturities of operating lease liabilities as of December 31, 2025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60" w:type="dxa"/>
            <w:vAlign w:val="bottom"/>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color w:val="auto"/>
              </w:rPr>
              <w:t>2027</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2029</w:t>
            </w:r>
          </w:p>
        </w:tc>
        <w:tc>
          <w:tcPr>
            <w:tcW w:w="29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Total lease payments</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imputed interest</w:t>
            </w:r>
          </w:p>
        </w:tc>
        <w:tc>
          <w:tcPr>
            <w:tcW w:w="29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Total</w:t>
            </w:r>
          </w:p>
        </w:tc>
        <w:tc>
          <w:tcPr>
            <w:tcW w:w="2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i w:val="1"/>
                <w:iCs w:val="1"/>
                <w:color w:val="auto"/>
              </w:rPr>
              <w:t>7. Accounts Payable and Accrued Liabilities</w:t>
            </w:r>
          </w:p>
        </w:tc>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06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60" w:type="dxa"/>
            <w:vAlign w:val="bottom"/>
          </w:tcPr>
          <w:p>
            <w:pPr>
              <w:ind w:left="520"/>
              <w:spacing w:after="0"/>
              <w:rPr>
                <w:sz w:val="20"/>
                <w:szCs w:val="20"/>
                <w:color w:val="auto"/>
              </w:rPr>
            </w:pPr>
            <w:r>
              <w:rPr>
                <w:rFonts w:ascii="Arial" w:cs="Arial" w:eastAsia="Arial" w:hAnsi="Arial"/>
                <w:sz w:val="14"/>
                <w:szCs w:val="14"/>
                <w:color w:val="auto"/>
              </w:rPr>
              <w:t>Accounts payable and accrued liabilities consisted of the following:</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5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29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expenses</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7"/>
        </w:trPr>
        <w:tc>
          <w:tcPr>
            <w:tcW w:w="5060" w:type="dxa"/>
            <w:vAlign w:val="bottom"/>
          </w:tcPr>
          <w:p>
            <w:pPr>
              <w:ind w:left="180"/>
              <w:spacing w:after="0"/>
              <w:rPr>
                <w:sz w:val="20"/>
                <w:szCs w:val="20"/>
                <w:color w:val="auto"/>
              </w:rPr>
            </w:pPr>
            <w:r>
              <w:rPr>
                <w:rFonts w:ascii="Arial" w:cs="Arial" w:eastAsia="Arial" w:hAnsi="Arial"/>
                <w:sz w:val="14"/>
                <w:szCs w:val="14"/>
                <w:color w:val="auto"/>
              </w:rPr>
              <w:t>Employee expenses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7"/>
        </w:trPr>
        <w:tc>
          <w:tcPr>
            <w:tcW w:w="5060" w:type="dxa"/>
            <w:vAlign w:val="bottom"/>
          </w:tcPr>
          <w:p>
            <w:pPr>
              <w:ind w:left="180"/>
              <w:spacing w:after="0"/>
              <w:rPr>
                <w:sz w:val="20"/>
                <w:szCs w:val="20"/>
                <w:color w:val="auto"/>
              </w:rPr>
            </w:pPr>
            <w:r>
              <w:rPr>
                <w:rFonts w:ascii="Arial" w:cs="Arial" w:eastAsia="Arial" w:hAnsi="Arial"/>
                <w:sz w:val="14"/>
                <w:szCs w:val="14"/>
                <w:color w:val="auto"/>
              </w:rPr>
              <w:t>General and administrative and commercial expenses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29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5060" w:type="dxa"/>
            <w:vAlign w:val="bottom"/>
          </w:tcPr>
          <w:p>
            <w:pPr>
              <w:spacing w:after="0"/>
              <w:rPr>
                <w:sz w:val="24"/>
                <w:szCs w:val="24"/>
                <w:color w:val="auto"/>
              </w:rPr>
            </w:pPr>
          </w:p>
        </w:tc>
        <w:tc>
          <w:tcPr>
            <w:tcW w:w="3340" w:type="dxa"/>
            <w:vAlign w:val="bottom"/>
            <w:gridSpan w:val="2"/>
          </w:tcPr>
          <w:p>
            <w:pPr>
              <w:jc w:val="right"/>
              <w:ind w:right="2580"/>
              <w:spacing w:after="0"/>
              <w:rPr>
                <w:sz w:val="20"/>
                <w:szCs w:val="20"/>
                <w:color w:val="auto"/>
              </w:rPr>
            </w:pPr>
            <w:r>
              <w:rPr>
                <w:rFonts w:ascii="Arial" w:cs="Arial" w:eastAsia="Arial" w:hAnsi="Arial"/>
                <w:sz w:val="14"/>
                <w:szCs w:val="14"/>
                <w:color w:val="auto"/>
              </w:rPr>
              <w:t>F - 19</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06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i w:val="1"/>
          <w:iCs w:val="1"/>
          <w:color w:val="auto"/>
        </w:rPr>
        <w:t>8. Long-Term Debt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Debt obligations consisted of the following:</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millions)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2018 Assistance Agreement Debt</w:t>
      </w:r>
    </w:p>
    <w:p>
      <w:pPr>
        <w:spacing w:after="0" w:line="51" w:lineRule="exact"/>
        <w:rPr>
          <w:sz w:val="20"/>
          <w:szCs w:val="20"/>
          <w:color w:val="auto"/>
        </w:rPr>
      </w:pPr>
    </w:p>
    <w:p>
      <w:pPr>
        <w:ind w:left="180"/>
        <w:spacing w:after="0" w:line="274" w:lineRule="auto"/>
        <w:rPr>
          <w:sz w:val="20"/>
          <w:szCs w:val="20"/>
          <w:color w:val="auto"/>
        </w:rPr>
      </w:pPr>
      <w:r>
        <w:rPr>
          <w:rFonts w:ascii="Arial" w:cs="Arial" w:eastAsia="Arial" w:hAnsi="Arial"/>
          <w:sz w:val="14"/>
          <w:szCs w:val="14"/>
          <w:color w:val="auto"/>
        </w:rPr>
        <w:t>Less: current installments included within Accounts Payable and Accrued Liabilities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180" w:type="dxa"/>
            <w:vAlign w:val="bottom"/>
            <w:tcBorders>
              <w:bottom w:val="single" w:sz="8" w:color="auto"/>
            </w:tcBorders>
          </w:tcPr>
          <w:p>
            <w:pPr>
              <w:spacing w:after="0"/>
              <w:rPr>
                <w:sz w:val="13"/>
                <w:szCs w:val="13"/>
                <w:color w:val="auto"/>
              </w:rPr>
            </w:pPr>
          </w:p>
        </w:tc>
      </w:tr>
      <w:tr>
        <w:trPr>
          <w:trHeight w:val="160"/>
        </w:trPr>
        <w:tc>
          <w:tcPr>
            <w:tcW w:w="1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Maturity Date</w:t>
            </w:r>
          </w:p>
        </w:tc>
        <w:tc>
          <w:tcPr>
            <w:tcW w:w="1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Interest Rate</w:t>
            </w:r>
          </w:p>
        </w:tc>
        <w:tc>
          <w:tcPr>
            <w:tcW w:w="420" w:type="dxa"/>
            <w:vAlign w:val="bottom"/>
          </w:tcPr>
          <w:p>
            <w:pPr>
              <w:spacing w:after="0"/>
              <w:rPr>
                <w:sz w:val="13"/>
                <w:szCs w:val="13"/>
                <w:color w:val="auto"/>
              </w:rPr>
            </w:pPr>
          </w:p>
        </w:tc>
        <w:tc>
          <w:tcPr>
            <w:tcW w:w="1300" w:type="dxa"/>
            <w:vAlign w:val="bottom"/>
          </w:tcPr>
          <w:p>
            <w:pPr>
              <w:jc w:val="right"/>
              <w:ind w:right="675"/>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ind w:right="653"/>
              <w:spacing w:after="0"/>
              <w:rPr>
                <w:sz w:val="20"/>
                <w:szCs w:val="20"/>
                <w:color w:val="auto"/>
              </w:rPr>
            </w:pPr>
            <w:r>
              <w:rPr>
                <w:rFonts w:ascii="Arial" w:cs="Arial" w:eastAsia="Arial" w:hAnsi="Arial"/>
                <w:sz w:val="11"/>
                <w:szCs w:val="11"/>
                <w:b w:val="1"/>
                <w:bCs w:val="1"/>
                <w:color w:val="auto"/>
              </w:rPr>
              <w:t>2024</w:t>
            </w:r>
          </w:p>
        </w:tc>
      </w:tr>
      <w:tr>
        <w:trPr>
          <w:trHeight w:val="364"/>
        </w:trPr>
        <w:tc>
          <w:tcPr>
            <w:tcW w:w="1700" w:type="dxa"/>
            <w:vAlign w:val="bottom"/>
            <w:tcBorders>
              <w:top w:val="single" w:sz="8" w:color="auto"/>
            </w:tcBorders>
          </w:tcPr>
          <w:p>
            <w:pPr>
              <w:jc w:val="right"/>
              <w:ind w:right="596"/>
              <w:spacing w:after="0"/>
              <w:rPr>
                <w:sz w:val="20"/>
                <w:szCs w:val="20"/>
                <w:color w:val="auto"/>
              </w:rPr>
            </w:pPr>
            <w:r>
              <w:rPr>
                <w:rFonts w:ascii="Arial" w:cs="Arial" w:eastAsia="Arial" w:hAnsi="Arial"/>
                <w:sz w:val="14"/>
                <w:szCs w:val="14"/>
                <w:color w:val="auto"/>
              </w:rPr>
              <w:t>09/28</w:t>
            </w:r>
          </w:p>
        </w:tc>
        <w:tc>
          <w:tcPr>
            <w:tcW w:w="80" w:type="dxa"/>
            <w:vAlign w:val="bottom"/>
          </w:tcPr>
          <w:p>
            <w:pPr>
              <w:spacing w:after="0"/>
              <w:rPr>
                <w:sz w:val="24"/>
                <w:szCs w:val="24"/>
                <w:color w:val="auto"/>
              </w:rPr>
            </w:pPr>
          </w:p>
        </w:tc>
        <w:tc>
          <w:tcPr>
            <w:tcW w:w="1720" w:type="dxa"/>
            <w:vAlign w:val="bottom"/>
            <w:tcBorders>
              <w:top w:val="single" w:sz="8" w:color="auto"/>
            </w:tcBorders>
          </w:tcPr>
          <w:p>
            <w:pPr>
              <w:jc w:val="right"/>
              <w:ind w:right="596"/>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center"/>
              <w:ind w:left="895"/>
              <w:spacing w:after="0"/>
              <w:rPr>
                <w:sz w:val="20"/>
                <w:szCs w:val="20"/>
                <w:color w:val="auto"/>
              </w:rPr>
            </w:pPr>
            <w:r>
              <w:rPr>
                <w:rFonts w:ascii="Arial" w:cs="Arial" w:eastAsia="Arial" w:hAnsi="Arial"/>
                <w:sz w:val="14"/>
                <w:szCs w:val="14"/>
                <w:color w:val="auto"/>
                <w:w w:val="92"/>
              </w:rPr>
              <w:t>0.6</w:t>
            </w:r>
          </w:p>
        </w:tc>
        <w:tc>
          <w:tcPr>
            <w:tcW w:w="80" w:type="dxa"/>
            <w:vAlign w:val="bottom"/>
          </w:tcPr>
          <w:p>
            <w:pPr>
              <w:spacing w:after="0"/>
              <w:rPr>
                <w:sz w:val="24"/>
                <w:szCs w:val="24"/>
                <w:color w:val="auto"/>
              </w:rPr>
            </w:pPr>
          </w:p>
        </w:tc>
        <w:tc>
          <w:tcPr>
            <w:tcW w:w="52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center"/>
              <w:ind w:left="793"/>
              <w:spacing w:after="0"/>
              <w:rPr>
                <w:sz w:val="20"/>
                <w:szCs w:val="20"/>
                <w:color w:val="auto"/>
              </w:rPr>
            </w:pPr>
            <w:r>
              <w:rPr>
                <w:rFonts w:ascii="Arial" w:cs="Arial" w:eastAsia="Arial" w:hAnsi="Arial"/>
                <w:sz w:val="14"/>
                <w:szCs w:val="14"/>
                <w:color w:val="auto"/>
              </w:rPr>
              <w:t>0.8</w:t>
            </w:r>
          </w:p>
        </w:tc>
      </w:tr>
      <w:tr>
        <w:trPr>
          <w:trHeight w:val="355"/>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left="875"/>
              <w:spacing w:after="0"/>
              <w:rPr>
                <w:sz w:val="20"/>
                <w:szCs w:val="20"/>
                <w:color w:val="auto"/>
              </w:rPr>
            </w:pPr>
            <w:r>
              <w:rPr>
                <w:rFonts w:ascii="Arial" w:cs="Arial" w:eastAsia="Arial" w:hAnsi="Arial"/>
                <w:sz w:val="14"/>
                <w:szCs w:val="14"/>
                <w:color w:val="auto"/>
                <w:w w:val="97"/>
              </w:rPr>
              <w:t>(0.2)</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left="793"/>
              <w:spacing w:after="0"/>
              <w:rPr>
                <w:sz w:val="20"/>
                <w:szCs w:val="20"/>
                <w:color w:val="auto"/>
              </w:rPr>
            </w:pPr>
            <w:r>
              <w:rPr>
                <w:rFonts w:ascii="Arial" w:cs="Arial" w:eastAsia="Arial" w:hAnsi="Arial"/>
                <w:sz w:val="14"/>
                <w:szCs w:val="14"/>
                <w:color w:val="auto"/>
                <w:w w:val="97"/>
              </w:rPr>
              <w:t>(0.2)</w:t>
            </w:r>
          </w:p>
        </w:tc>
      </w:tr>
      <w:tr>
        <w:trPr>
          <w:trHeight w:val="192"/>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895"/>
              <w:spacing w:after="0"/>
              <w:rPr>
                <w:sz w:val="20"/>
                <w:szCs w:val="20"/>
                <w:color w:val="auto"/>
              </w:rPr>
            </w:pPr>
            <w:r>
              <w:rPr>
                <w:rFonts w:ascii="Arial" w:cs="Arial" w:eastAsia="Arial" w:hAnsi="Arial"/>
                <w:sz w:val="14"/>
                <w:szCs w:val="14"/>
                <w:color w:val="auto"/>
                <w:w w:val="92"/>
              </w:rPr>
              <w:t>0.4</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center"/>
              <w:ind w:left="793"/>
              <w:spacing w:after="0"/>
              <w:rPr>
                <w:sz w:val="20"/>
                <w:szCs w:val="20"/>
                <w:color w:val="auto"/>
              </w:rPr>
            </w:pPr>
            <w:r>
              <w:rPr>
                <w:rFonts w:ascii="Arial" w:cs="Arial" w:eastAsia="Arial" w:hAnsi="Arial"/>
                <w:sz w:val="14"/>
                <w:szCs w:val="14"/>
                <w:color w:val="auto"/>
              </w:rPr>
              <w:t>0.6</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-632460</wp:posOffset>
            </wp:positionV>
            <wp:extent cx="7161530" cy="2425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-161290</wp:posOffset>
            </wp:positionV>
            <wp:extent cx="7161530" cy="147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260"/>
            <w:col w:w="7080"/>
          </w:cols>
          <w:pgMar w:left="300" w:top="1018" w:right="319" w:bottom="1440" w:gutter="0" w:footer="0" w:header="0"/>
        </w:sectPr>
      </w:pPr>
    </w:p>
    <w:p>
      <w:pPr>
        <w:spacing w:after="0" w:line="29"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In June 2018, the Company entered into an Assistance Agreement with the State of Connecticut (the "2018 Assistance Agreement") to provide funding for the expansion and renovation of laboratory and office space. In September 2018, the Company borrowed $2.0 million under the 2018 Assistance Agreement, of which $1.0 million was forgiven by the State of Connecticut in April 2021 as the Company met certain employment conditions, as defined in the agreement. Borrowings under the 2018 Assistance Agreement bear an interest rate of 3.25% per annum, with interest-only payments required for the first 60 months, and mature in September 2028. The 2018 Assistance Agreement requires that the Company be located in the State of Connecticut through September 2028 with a default penalty of repayment of the full original funding amount of $2.0 million plus liquidated damages of 7.5% of the total amount of funding received.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Minimum future principal payments on long-term debt as of December 31, 2025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700" w:type="dxa"/>
            <w:vAlign w:val="bottom"/>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5"/>
        </w:trPr>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2"/>
        </w:trPr>
        <w:tc>
          <w:tcPr>
            <w:tcW w:w="9700" w:type="dxa"/>
            <w:vAlign w:val="bottom"/>
          </w:tcPr>
          <w:p>
            <w:pPr>
              <w:ind w:left="20"/>
              <w:spacing w:after="0"/>
              <w:rPr>
                <w:sz w:val="20"/>
                <w:szCs w:val="20"/>
                <w:color w:val="auto"/>
              </w:rPr>
            </w:pPr>
            <w:r>
              <w:rPr>
                <w:rFonts w:ascii="Arial" w:cs="Arial" w:eastAsia="Arial" w:hAnsi="Arial"/>
                <w:sz w:val="14"/>
                <w:szCs w:val="14"/>
                <w:color w:val="auto"/>
              </w:rPr>
              <w:t>2027</w:t>
            </w: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2"/>
        </w:trPr>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8"/>
        </w:trPr>
        <w:tc>
          <w:tcPr>
            <w:tcW w:w="970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9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During the years ended December 31, 2025, 2024 and 2023, interest expense was immaterial.</w:t>
      </w:r>
    </w:p>
    <w:p>
      <w:pPr>
        <w:spacing w:after="0" w:line="265" w:lineRule="exact"/>
        <w:rPr>
          <w:sz w:val="20"/>
          <w:szCs w:val="20"/>
          <w:color w:val="auto"/>
        </w:rPr>
      </w:pPr>
    </w:p>
    <w:p>
      <w:pPr>
        <w:ind w:right="10220" w:firstLine="5"/>
        <w:spacing w:after="0" w:line="378" w:lineRule="auto"/>
        <w:tabs>
          <w:tab w:leader="none" w:pos="157" w:val="left"/>
        </w:tabs>
        <w:numPr>
          <w:ilvl w:val="0"/>
          <w:numId w:val="9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Equity </w:t>
      </w:r>
      <w:r>
        <w:rPr>
          <w:rFonts w:ascii="Arial" w:cs="Arial" w:eastAsia="Arial" w:hAnsi="Arial"/>
          <w:sz w:val="14"/>
          <w:szCs w:val="14"/>
          <w:b w:val="1"/>
          <w:bCs w:val="1"/>
          <w:color w:val="auto"/>
        </w:rPr>
        <w:t>Preferred Stock</w:t>
      </w:r>
    </w:p>
    <w:p>
      <w:pPr>
        <w:ind w:firstLine="509"/>
        <w:spacing w:after="0" w:line="262" w:lineRule="auto"/>
        <w:rPr>
          <w:sz w:val="20"/>
          <w:szCs w:val="20"/>
          <w:color w:val="auto"/>
        </w:rPr>
      </w:pPr>
      <w:r>
        <w:rPr>
          <w:rFonts w:ascii="Arial" w:cs="Arial" w:eastAsia="Arial" w:hAnsi="Arial"/>
          <w:sz w:val="14"/>
          <w:szCs w:val="14"/>
          <w:color w:val="auto"/>
        </w:rPr>
        <w:t>As of December 31, 2025 and 2024, the Company had authorized 5,000,000 shares of preferred stock, at a $0.001 par value per share. Preferred stock may be issued in one or more series upon authorization of the Company's board of directors. The board of directors is authorized to fix the designations, powers, preferences and the relative, participating, optional or other special rights and any qualifications, limitations and restrictions of the shares of each series of preferred stock. The authorized shares of the Company's preferred stock are available for issuance without further action by the Company's stockholders, unless such action is required by applicable law or the rules of any stock exchange on which our securities may be listed.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94"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As of December 31, 2025 and 2024, the Company had authorized 200,000,000 shares of common stock, at a $0.001 par value per share. 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 No dividends have been declared or paid by the Company since its inception.</w:t>
      </w:r>
    </w:p>
    <w:p>
      <w:pPr>
        <w:spacing w:after="0" w:line="134" w:lineRule="exact"/>
        <w:rPr>
          <w:sz w:val="20"/>
          <w:szCs w:val="20"/>
          <w:color w:val="auto"/>
        </w:rPr>
      </w:pPr>
    </w:p>
    <w:p>
      <w:pPr>
        <w:ind w:right="160" w:firstLine="509"/>
        <w:spacing w:after="0" w:line="265" w:lineRule="auto"/>
        <w:rPr>
          <w:sz w:val="20"/>
          <w:szCs w:val="20"/>
          <w:color w:val="auto"/>
        </w:rPr>
      </w:pPr>
      <w:r>
        <w:rPr>
          <w:rFonts w:ascii="Arial" w:cs="Arial" w:eastAsia="Arial" w:hAnsi="Arial"/>
          <w:sz w:val="14"/>
          <w:szCs w:val="14"/>
          <w:color w:val="auto"/>
        </w:rPr>
        <w:t>In November 2023, the Company completed a private placement offering with certain institutional investors in which the Company issued and sold 12,963,542 shares of common stock at a price of $21.36 per share and, to one investor, in lieu of common stock, pre-funded warrants to purchase up to 3,422,380 shares of common stock at a price of $21.359 per pre-funded warrant. Each pre-funded warrant has an exercise price of $0.001 per share, is exercisable immediately and is exercisable until exercised in full. The aggregate gross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type w:val="continuous"/>
        </w:sectPr>
      </w:pPr>
    </w:p>
    <w:bookmarkStart w:id="174" w:name="page175"/>
    <w:bookmarkEnd w:id="174"/>
    <w:p>
      <w:pPr>
        <w:ind w:right="160"/>
        <w:spacing w:after="0" w:line="271" w:lineRule="auto"/>
        <w:rPr>
          <w:sz w:val="20"/>
          <w:szCs w:val="20"/>
          <w:color w:val="auto"/>
        </w:rPr>
      </w:pPr>
      <w:r>
        <w:rPr>
          <w:rFonts w:ascii="Arial" w:cs="Arial" w:eastAsia="Arial" w:hAnsi="Arial"/>
          <w:sz w:val="14"/>
          <w:szCs w:val="14"/>
          <w:color w:val="auto"/>
        </w:rPr>
        <w:t>proceeds from the issuance of common stock and pre-funded warrants totaled approximately $350.0 million, before deducting placement agent fees and offering costs of approximately $15.9 million. As of December 31, 2025, all outstanding pre-funded warrants had been cashless exercised for no consideration and the Company issued 3,422,186 shares of common stock to the holders.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 Program</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September 17, 2025, the Company announced that its board of directors authorized and approved a share repurchase program for the repurchase of up to</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$100.0 million of the then-currently outstanding shares of the Company’s common stock. Share repurchases under the share repurchase program may be made from time to time through a variety of methods, which may include open market purchases, privately negotiated block trades, accelerated share repurchases, other privately negotiated transactions or any combination of these methods. Repurchases may also be made under a Rule 10b5-1 plan, which would permit shares to be repurchased when the Company might otherwise be precluded from doing so under insider trading laws. The share repurchase program is funded using the Company's working capital. The share repurchase program has no time limit and can be modified, suspended or discontinued at any time without prior notice. Repurchased shares are recorded as treasury stock, at cost, and are eligible to be reissued under the Company's stock plans and for other corporate purposes.</w:t>
      </w:r>
    </w:p>
    <w:p>
      <w:pPr>
        <w:spacing w:after="0" w:line="144" w:lineRule="exact"/>
        <w:rPr>
          <w:sz w:val="20"/>
          <w:szCs w:val="20"/>
          <w:color w:val="auto"/>
        </w:rPr>
      </w:pPr>
    </w:p>
    <w:p>
      <w:pPr>
        <w:ind w:right="180" w:firstLine="509"/>
        <w:spacing w:after="0" w:line="288" w:lineRule="auto"/>
        <w:rPr>
          <w:sz w:val="20"/>
          <w:szCs w:val="20"/>
          <w:color w:val="auto"/>
        </w:rPr>
      </w:pPr>
      <w:r>
        <w:rPr>
          <w:rFonts w:ascii="Arial" w:cs="Arial" w:eastAsia="Arial" w:hAnsi="Arial"/>
          <w:sz w:val="14"/>
          <w:szCs w:val="14"/>
          <w:color w:val="auto"/>
        </w:rPr>
        <w:t xml:space="preserve">During the year ended December 31, 2025, the Company repurchased 10,009,758 shares of its common stock, at an average price of $9.09 per share, for an aggregate purchase price of $91.0 million, plus commissions and excise tax of $0.9 million. As of December 31, 2025, the Company has </w:t>
      </w:r>
      <w:r>
        <w:rPr>
          <w:rFonts w:ascii="Arial" w:cs="Arial" w:eastAsia="Arial" w:hAnsi="Arial"/>
          <w:sz w:val="16"/>
          <w:szCs w:val="16"/>
          <w:color w:val="auto"/>
        </w:rPr>
        <w:t>suspended the program and has no further</w:t>
      </w:r>
      <w:r>
        <w:rPr>
          <w:rFonts w:ascii="Arial" w:cs="Arial" w:eastAsia="Arial" w:hAnsi="Arial"/>
          <w:sz w:val="14"/>
          <w:szCs w:val="14"/>
          <w:color w:val="auto"/>
        </w:rPr>
        <w:t xml:space="preserve"> </w:t>
      </w:r>
      <w:r>
        <w:rPr>
          <w:rFonts w:ascii="Arial" w:cs="Arial" w:eastAsia="Arial" w:hAnsi="Arial"/>
          <w:sz w:val="16"/>
          <w:szCs w:val="16"/>
          <w:color w:val="auto"/>
        </w:rPr>
        <w:t>plans to repurchase additional shares</w:t>
      </w:r>
      <w:r>
        <w:rPr>
          <w:rFonts w:ascii="Arial" w:cs="Arial" w:eastAsia="Arial" w:hAnsi="Arial"/>
          <w:sz w:val="14"/>
          <w:szCs w:val="14"/>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Distribution Agreements</w:t>
      </w:r>
    </w:p>
    <w:p>
      <w:pPr>
        <w:spacing w:after="0" w:line="94"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In August 2021, the Company entered into an Equity Distribution Agreement with Piper Sandler &amp; Company (“Piper Sandler”) and Cantor Fitzgerald &amp; Co. (“Cantor”), as agents, pursuant to which the Company may offer and sell from time to time, through the agents, up to $300.0 million of the common stock registered under a universal shelf registration statement pursuant to one or more “at-the-market" offerings. During the year ended December 31, 2023, the Company issued 1,449,275 shares of common stock under this agreement resulting in gross proceeds of approximately $37.2 million, less offering costs of approximately $1.1 million.</w:t>
      </w:r>
    </w:p>
    <w:p>
      <w:pPr>
        <w:spacing w:after="0" w:line="138" w:lineRule="exact"/>
        <w:rPr>
          <w:sz w:val="20"/>
          <w:szCs w:val="20"/>
          <w:color w:val="auto"/>
        </w:rPr>
      </w:pPr>
    </w:p>
    <w:p>
      <w:pPr>
        <w:ind w:right="60" w:firstLine="509"/>
        <w:spacing w:after="0" w:line="271" w:lineRule="auto"/>
        <w:rPr>
          <w:sz w:val="20"/>
          <w:szCs w:val="20"/>
          <w:color w:val="auto"/>
        </w:rPr>
      </w:pPr>
      <w:r>
        <w:rPr>
          <w:rFonts w:ascii="Arial" w:cs="Arial" w:eastAsia="Arial" w:hAnsi="Arial"/>
          <w:sz w:val="14"/>
          <w:szCs w:val="14"/>
          <w:color w:val="auto"/>
        </w:rPr>
        <w:t>In November 2023, the Company amended and restated the Equity Distribution Agreement with Piper Sandler and Cantor, pursuant to which the Company may offer and sell from time to time, through the agents, up to approximately $ 262.8 million of the common stock registered under a universal shelf registration statement pursuant to one or more “at-the-market” offerings. During the years ended December 31, 2025 and 2024, no shares were issued under this amended and restated agreement.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2018 Employee Stock Purchase Plan</w:t>
      </w:r>
    </w:p>
    <w:p>
      <w:pPr>
        <w:spacing w:after="0" w:line="9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In September 2018, the Company adopted the 2018 Employee Stock Purchase Plan (the "2018 ESPP"), with the first offering period under the 2018 ESPP commencing on January 1, 2020, by initially providing participating employees with the opportunity to purchase an aggregate of 311,850 shares of the Company's common stock. The number of shares of the Company's common stock reserved for issuance under the 2018 ESPP increased, pursuant to the terms of the 2018 ESPP, by additional shares equal to 1% of the Company’s then-outstanding common stock, effective as of January 1 of each year. As of December 31, 2025, 3,577,025 shares remained available for purchase. During the years ended December 31, 2025, 2024 and 2023, the Company issued 110,412, 120,834 and 78,528 shares, respectively, of common stock under the 2018 ESPP.</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5" w:name="page176"/>
    <w:bookmarkEnd w:id="175"/>
    <w:p>
      <w:pPr>
        <w:ind w:left="520"/>
        <w:spacing w:after="0"/>
        <w:rPr>
          <w:sz w:val="20"/>
          <w:szCs w:val="20"/>
          <w:color w:val="auto"/>
        </w:rPr>
      </w:pPr>
      <w:r>
        <w:rPr>
          <w:rFonts w:ascii="Arial" w:cs="Arial" w:eastAsia="Arial" w:hAnsi="Arial"/>
          <w:sz w:val="14"/>
          <w:szCs w:val="14"/>
          <w:b w:val="1"/>
          <w:bCs w:val="1"/>
          <w:i w:val="1"/>
          <w:iCs w:val="1"/>
          <w:color w:val="auto"/>
        </w:rPr>
        <w:t>2018 Stock Incentive Plan</w:t>
      </w:r>
    </w:p>
    <w:p>
      <w:pPr>
        <w:spacing w:after="0" w:line="92" w:lineRule="exact"/>
        <w:rPr>
          <w:sz w:val="20"/>
          <w:szCs w:val="20"/>
          <w:color w:val="auto"/>
        </w:rPr>
      </w:pPr>
    </w:p>
    <w:p>
      <w:pPr>
        <w:ind w:right="60" w:firstLine="509"/>
        <w:spacing w:after="0" w:line="257" w:lineRule="auto"/>
        <w:rPr>
          <w:sz w:val="20"/>
          <w:szCs w:val="20"/>
          <w:color w:val="auto"/>
        </w:rPr>
      </w:pPr>
      <w:r>
        <w:rPr>
          <w:rFonts w:ascii="Arial" w:cs="Arial" w:eastAsia="Arial" w:hAnsi="Arial"/>
          <w:sz w:val="14"/>
          <w:szCs w:val="14"/>
          <w:color w:val="auto"/>
        </w:rPr>
        <w:t>In September 2018, the Company’s board of directors adopted, and the Company’s stockholders approved, the 2018 Stock Incentive Plan (the "2018 Plan"), which became effective upon the effectiveness of the registration statement on Form S-1 for the Company’s initial public offering. The number of common shares initially available for issuance under the 2018 Plan equaled the sum of (1) 4,067,007 shares of common stock; plus (2) the number of shares of common stock (up to 1,277,181 shares) issued in respect of incentive units granted under the Incentive Plan that were subject to vesting immediately prior to the effectiveness of the registration statement that expire, terminate or are otherwise surrendered, cancelled, forfeited or repurchased by the Company at their original issuance price pursuant to a contractual repurchase right; plus (3) an annual increase on the first day of each year beginning with the year ended December 31, 2019 and continuing to, and including, the year ending December 31, 2028, equal to the lesser of 4,989,593 shares of the Company’s common stock, 4% of the number of shares of the Company’s common stock outstanding on the first day of the year or an amount determined by the Company’s board of directors. As of December 31, 2025, 2,966,406 shares are available for issuance under the 2018 Plan. Common shares subject to outstanding equity awards that expire or are terminated, surrendered, or cancelled without having been fully exercised or are forfeited in whole or in part are available for future grants of awards.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Compensation Expense</w:t>
      </w:r>
    </w:p>
    <w:p>
      <w:pPr>
        <w:spacing w:after="0" w:line="92"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 xml:space="preserve">In connection with the strategic restructuring actions initiated by the Company in the second and third quarters of 2025, as further discussed below in Note 14, </w:t>
      </w:r>
      <w:r>
        <w:rPr>
          <w:rFonts w:ascii="Arial" w:cs="Arial" w:eastAsia="Arial" w:hAnsi="Arial"/>
          <w:sz w:val="14"/>
          <w:szCs w:val="14"/>
          <w:i w:val="1"/>
          <w:iCs w:val="1"/>
          <w:color w:val="auto"/>
        </w:rPr>
        <w:t>Restructuring</w:t>
      </w:r>
      <w:r>
        <w:rPr>
          <w:rFonts w:ascii="Arial" w:cs="Arial" w:eastAsia="Arial" w:hAnsi="Arial"/>
          <w:sz w:val="14"/>
          <w:szCs w:val="14"/>
          <w:color w:val="auto"/>
        </w:rPr>
        <w:t xml:space="preserve"> </w:t>
      </w:r>
      <w:r>
        <w:rPr>
          <w:rFonts w:ascii="Arial" w:cs="Arial" w:eastAsia="Arial" w:hAnsi="Arial"/>
          <w:sz w:val="14"/>
          <w:szCs w:val="14"/>
          <w:i w:val="1"/>
          <w:iCs w:val="1"/>
          <w:color w:val="auto"/>
        </w:rPr>
        <w:t>Activity</w:t>
      </w:r>
      <w:r>
        <w:rPr>
          <w:rFonts w:ascii="Arial" w:cs="Arial" w:eastAsia="Arial" w:hAnsi="Arial"/>
          <w:sz w:val="14"/>
          <w:szCs w:val="14"/>
          <w:color w:val="auto"/>
        </w:rPr>
        <w:t>, the Company modified the vesting terms of certain restricted stock units previously granted to employees. The incremental impact of the modification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2025 totaled $5.3 million, as a decrease to compensation expense.</w:t>
      </w:r>
    </w:p>
    <w:p>
      <w:pPr>
        <w:spacing w:after="0" w:line="134" w:lineRule="exact"/>
        <w:rPr>
          <w:sz w:val="20"/>
          <w:szCs w:val="20"/>
          <w:color w:val="auto"/>
        </w:rPr>
      </w:pPr>
    </w:p>
    <w:p>
      <w:pPr>
        <w:ind w:right="220" w:firstLine="509"/>
        <w:spacing w:after="0" w:line="290" w:lineRule="auto"/>
        <w:rPr>
          <w:sz w:val="20"/>
          <w:szCs w:val="20"/>
          <w:color w:val="auto"/>
        </w:rPr>
      </w:pPr>
      <w:r>
        <w:rPr>
          <w:rFonts w:ascii="Arial" w:cs="Arial" w:eastAsia="Arial" w:hAnsi="Arial"/>
          <w:sz w:val="14"/>
          <w:szCs w:val="14"/>
          <w:color w:val="auto"/>
        </w:rPr>
        <w:t>For the years ended December 31, 2025, 2024 and 2023, the Company recognized compensation expense of $44.0 million, $88.2 million and $71.6 million, respectively, related to the issuance of incentive awards, including $0.5 million, $0.7 million and $0.8 million, respectively, related to the 2018 ESPP.</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2025, there was $30.4 million of compensation expense that is expected to be recognized over a weighted-average period of approximately 1.5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The fair value of the stock options granted during each of the years ended December 31, 2025, 2024 and 2023 was determined using the Black-Scholes option pricing model at the grant date with the following range of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80" w:type="dxa"/>
            <w:vAlign w:val="bottom"/>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r>
      <w:tr>
        <w:trPr>
          <w:trHeight w:val="150"/>
        </w:trPr>
        <w:tc>
          <w:tcPr>
            <w:tcW w:w="4380" w:type="dxa"/>
            <w:vAlign w:val="bottom"/>
            <w:tcBorders>
              <w:bottom w:val="single" w:sz="8" w:color="CCEEFF"/>
            </w:tcBorders>
          </w:tcPr>
          <w:p>
            <w:pPr>
              <w:spacing w:after="0"/>
              <w:rPr>
                <w:sz w:val="13"/>
                <w:szCs w:val="13"/>
                <w:color w:val="auto"/>
              </w:rPr>
            </w:pP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right"/>
              <w:ind w:right="793"/>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CCEEFF"/>
            </w:tcBorders>
          </w:tcPr>
          <w:p>
            <w:pPr>
              <w:spacing w:after="0"/>
              <w:rPr>
                <w:sz w:val="13"/>
                <w:szCs w:val="13"/>
                <w:color w:val="auto"/>
              </w:rPr>
            </w:pPr>
          </w:p>
        </w:tc>
        <w:tc>
          <w:tcPr>
            <w:tcW w:w="2000" w:type="dxa"/>
            <w:vAlign w:val="bottom"/>
            <w:tcBorders>
              <w:bottom w:val="single" w:sz="8" w:color="auto"/>
            </w:tcBorders>
          </w:tcPr>
          <w:p>
            <w:pPr>
              <w:jc w:val="right"/>
              <w:ind w:right="792"/>
              <w:spacing w:after="0"/>
              <w:rPr>
                <w:sz w:val="20"/>
                <w:szCs w:val="20"/>
                <w:color w:val="auto"/>
              </w:rPr>
            </w:pPr>
            <w:r>
              <w:rPr>
                <w:rFonts w:ascii="Arial" w:cs="Arial" w:eastAsia="Arial" w:hAnsi="Arial"/>
                <w:sz w:val="11"/>
                <w:szCs w:val="11"/>
                <w:b w:val="1"/>
                <w:bCs w:val="1"/>
                <w:color w:val="auto"/>
              </w:rPr>
              <w:t>2023</w:t>
            </w:r>
          </w:p>
        </w:tc>
      </w:tr>
      <w:tr>
        <w:trPr>
          <w:trHeight w:val="18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420" w:type="dxa"/>
            <w:vAlign w:val="bottom"/>
            <w:gridSpan w:val="2"/>
            <w:shd w:val="clear" w:color="auto" w:fill="CCEEFF"/>
          </w:tcPr>
          <w:p>
            <w:pPr>
              <w:jc w:val="right"/>
              <w:ind w:right="154"/>
              <w:spacing w:after="0" w:line="182" w:lineRule="exact"/>
              <w:rPr>
                <w:sz w:val="20"/>
                <w:szCs w:val="20"/>
                <w:color w:val="auto"/>
              </w:rPr>
            </w:pPr>
            <w:r>
              <w:rPr>
                <w:rFonts w:ascii="Arial" w:cs="Arial" w:eastAsia="Arial" w:hAnsi="Arial"/>
                <w:sz w:val="14"/>
                <w:szCs w:val="14"/>
                <w:color w:val="auto"/>
              </w:rPr>
              <w:t xml:space="preserve">72.1% - 80.4%  </w:t>
            </w:r>
            <w:r>
              <w:rPr>
                <w:rFonts w:ascii="Arial" w:cs="Arial" w:eastAsia="Arial" w:hAnsi="Arial"/>
                <w:sz w:val="18"/>
                <w:szCs w:val="18"/>
                <w:color w:val="auto"/>
                <w:vertAlign w:val="superscript"/>
              </w:rPr>
              <w:t>(1)</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 - 75.6%</w:t>
            </w:r>
          </w:p>
        </w:tc>
        <w:tc>
          <w:tcPr>
            <w:tcW w:w="50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 - 75.0%</w:t>
            </w:r>
          </w:p>
        </w:tc>
      </w:tr>
      <w:tr>
        <w:trPr>
          <w:trHeight w:val="202"/>
        </w:trPr>
        <w:tc>
          <w:tcPr>
            <w:tcW w:w="4380" w:type="dxa"/>
            <w:vAlign w:val="bottom"/>
          </w:tcPr>
          <w:p>
            <w:pPr>
              <w:ind w:left="20"/>
              <w:spacing w:after="0"/>
              <w:rPr>
                <w:sz w:val="20"/>
                <w:szCs w:val="20"/>
                <w:color w:val="auto"/>
              </w:rPr>
            </w:pPr>
            <w:r>
              <w:rPr>
                <w:rFonts w:ascii="Arial" w:cs="Arial" w:eastAsia="Arial" w:hAnsi="Arial"/>
                <w:sz w:val="14"/>
                <w:szCs w:val="14"/>
                <w:color w:val="auto"/>
              </w:rPr>
              <w:t>Expected term (years)</w:t>
            </w:r>
          </w:p>
        </w:tc>
        <w:tc>
          <w:tcPr>
            <w:tcW w:w="2420" w:type="dxa"/>
            <w:vAlign w:val="bottom"/>
            <w:gridSpan w:val="2"/>
          </w:tcPr>
          <w:p>
            <w:pPr>
              <w:jc w:val="right"/>
              <w:ind w:right="154"/>
              <w:spacing w:after="0" w:line="201" w:lineRule="exact"/>
              <w:rPr>
                <w:sz w:val="20"/>
                <w:szCs w:val="20"/>
                <w:color w:val="auto"/>
              </w:rPr>
            </w:pPr>
            <w:r>
              <w:rPr>
                <w:rFonts w:ascii="Arial" w:cs="Arial" w:eastAsia="Arial" w:hAnsi="Arial"/>
                <w:sz w:val="14"/>
                <w:szCs w:val="14"/>
                <w:color w:val="auto"/>
              </w:rPr>
              <w:t xml:space="preserve">5.5 - 5.7  </w:t>
            </w:r>
            <w:r>
              <w:rPr>
                <w:rFonts w:ascii="Arial" w:cs="Arial" w:eastAsia="Arial" w:hAnsi="Arial"/>
                <w:sz w:val="18"/>
                <w:szCs w:val="18"/>
                <w:color w:val="auto"/>
                <w:vertAlign w:val="superscript"/>
              </w:rPr>
              <w:t>(2)</w:t>
            </w:r>
          </w:p>
        </w:tc>
        <w:tc>
          <w:tcPr>
            <w:tcW w:w="1980" w:type="dxa"/>
            <w:vAlign w:val="bottom"/>
          </w:tcPr>
          <w:p>
            <w:pPr>
              <w:jc w:val="right"/>
              <w:spacing w:after="0"/>
              <w:rPr>
                <w:sz w:val="20"/>
                <w:szCs w:val="20"/>
                <w:color w:val="auto"/>
              </w:rPr>
            </w:pPr>
            <w:r>
              <w:rPr>
                <w:rFonts w:ascii="Arial" w:cs="Arial" w:eastAsia="Arial" w:hAnsi="Arial"/>
                <w:sz w:val="14"/>
                <w:szCs w:val="14"/>
                <w:color w:val="auto"/>
              </w:rPr>
              <w:t>5.4 - 5.5</w:t>
            </w:r>
          </w:p>
        </w:tc>
        <w:tc>
          <w:tcPr>
            <w:tcW w:w="500" w:type="dxa"/>
            <w:vAlign w:val="bottom"/>
          </w:tcPr>
          <w:p>
            <w:pPr>
              <w:jc w:val="right"/>
              <w:ind w:right="154"/>
              <w:spacing w:after="0"/>
              <w:rPr>
                <w:sz w:val="20"/>
                <w:szCs w:val="20"/>
                <w:color w:val="auto"/>
              </w:rPr>
            </w:pPr>
            <w:r>
              <w:rPr>
                <w:rFonts w:ascii="Arial" w:cs="Arial" w:eastAsia="Arial" w:hAnsi="Arial"/>
                <w:sz w:val="9"/>
                <w:szCs w:val="9"/>
                <w:color w:val="auto"/>
              </w:rPr>
              <w:t>(2)</w:t>
            </w:r>
          </w:p>
        </w:tc>
        <w:tc>
          <w:tcPr>
            <w:tcW w:w="2000" w:type="dxa"/>
            <w:vAlign w:val="bottom"/>
          </w:tcPr>
          <w:p>
            <w:pPr>
              <w:jc w:val="right"/>
              <w:spacing w:after="0"/>
              <w:rPr>
                <w:sz w:val="20"/>
                <w:szCs w:val="20"/>
                <w:color w:val="auto"/>
              </w:rPr>
            </w:pPr>
            <w:r>
              <w:rPr>
                <w:rFonts w:ascii="Arial" w:cs="Arial" w:eastAsia="Arial" w:hAnsi="Arial"/>
                <w:sz w:val="14"/>
                <w:szCs w:val="14"/>
                <w:color w:val="auto"/>
              </w:rPr>
              <w:t>5.5 - 7.0</w:t>
            </w:r>
          </w:p>
        </w:tc>
      </w:tr>
      <w:tr>
        <w:trPr>
          <w:trHeight w:val="20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- 4.4%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rPr>
              <w:t>(3)</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- 4.6%</w:t>
            </w:r>
          </w:p>
        </w:tc>
        <w:tc>
          <w:tcPr>
            <w:tcW w:w="50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rPr>
              <w:t>(3)</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- 4.8%</w:t>
            </w:r>
          </w:p>
        </w:tc>
      </w:tr>
      <w:tr>
        <w:trPr>
          <w:trHeight w:val="180"/>
        </w:trPr>
        <w:tc>
          <w:tcPr>
            <w:tcW w:w="43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000" w:type="dxa"/>
            <w:vAlign w:val="bottom"/>
          </w:tcPr>
          <w:p>
            <w:pPr>
              <w:jc w:val="right"/>
              <w:spacing w:after="0"/>
              <w:rPr>
                <w:sz w:val="20"/>
                <w:szCs w:val="20"/>
                <w:color w:val="auto"/>
              </w:rPr>
            </w:pPr>
            <w:r>
              <w:rPr>
                <w:rFonts w:ascii="Arial" w:cs="Arial" w:eastAsia="Arial" w:hAnsi="Arial"/>
                <w:sz w:val="14"/>
                <w:szCs w:val="14"/>
                <w:color w:val="auto"/>
              </w:rPr>
              <w:t>0 %</w:t>
            </w:r>
          </w:p>
        </w:tc>
        <w:tc>
          <w:tcPr>
            <w:tcW w:w="4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0 %</w:t>
            </w:r>
          </w:p>
        </w:tc>
        <w:tc>
          <w:tcPr>
            <w:tcW w:w="5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0 %</w:t>
            </w:r>
          </w:p>
        </w:tc>
      </w:tr>
      <w:tr>
        <w:trPr>
          <w:trHeight w:val="18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price</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$6.61 - $17.70</w:t>
            </w: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$24.19 - $47.00</w:t>
            </w:r>
          </w:p>
        </w:tc>
        <w:tc>
          <w:tcPr>
            <w:tcW w:w="50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$16.21 - $36.27</w:t>
            </w:r>
          </w:p>
        </w:tc>
      </w:tr>
    </w:tbl>
    <w:p>
      <w:pPr>
        <w:spacing w:after="0" w:line="206" w:lineRule="exact"/>
        <w:rPr>
          <w:sz w:val="20"/>
          <w:szCs w:val="20"/>
          <w:color w:val="auto"/>
        </w:rPr>
      </w:pPr>
    </w:p>
    <w:p>
      <w:pPr>
        <w:ind w:left="280" w:hanging="275"/>
        <w:spacing w:after="0"/>
        <w:tabs>
          <w:tab w:leader="none" w:pos="28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Expected volatility is calculated by utilizing the Company's historical volatility of its stock price over a period equal to the expected term.</w:t>
      </w:r>
    </w:p>
    <w:p>
      <w:pPr>
        <w:ind w:left="280" w:hanging="275"/>
        <w:spacing w:after="0" w:line="184" w:lineRule="auto"/>
        <w:tabs>
          <w:tab w:leader="none" w:pos="28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Expected term is calculated based on the Company's historical experience.</w:t>
      </w:r>
    </w:p>
    <w:p>
      <w:pPr>
        <w:ind w:left="320" w:hanging="315"/>
        <w:spacing w:after="0" w:line="199" w:lineRule="auto"/>
        <w:tabs>
          <w:tab w:leader="none" w:pos="3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Risk free interest rate is based on an interpolation of U.S. Treasury rates to reflect the expected term at the date of grant.</w:t>
      </w:r>
    </w:p>
    <w:p>
      <w:pPr>
        <w:spacing w:after="0" w:line="143"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During the year ended December 31, 2023, the Company calculated volatility of its common stock by utilizing a weighted-average of a collection of peer company volatilities and its own common stock volatility as the Company’s common stock had not been trading for a sufficient period of time. The expected term was calculated utilizing the simplified method.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176" w:name="page177"/>
    <w:bookmarkEnd w:id="176"/>
    <w:p>
      <w:pPr>
        <w:ind w:right="160" w:firstLine="509"/>
        <w:spacing w:after="0" w:line="271" w:lineRule="auto"/>
        <w:rPr>
          <w:sz w:val="20"/>
          <w:szCs w:val="20"/>
          <w:color w:val="auto"/>
        </w:rPr>
      </w:pPr>
      <w:r>
        <w:rPr>
          <w:rFonts w:ascii="Arial" w:cs="Arial" w:eastAsia="Arial" w:hAnsi="Arial"/>
          <w:sz w:val="14"/>
          <w:szCs w:val="14"/>
          <w:color w:val="auto"/>
        </w:rPr>
        <w:t>A summary of the stock option activity under the 2018 Plan as of December 31, 2025 is presented below. Included in the table are stock options granted to employees, directors and consultants under the 2018 Plan, as well as options to purchase 255,611 shares of common stock granted to certain employees pursuant to the Nasdaq inducement grant exception in accordance with Nasdaq Listing Rule 5635(c)(4).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Weighted-Average</w:t>
            </w: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Weighted-Average</w:t>
            </w:r>
          </w:p>
        </w:tc>
        <w:tc>
          <w:tcPr>
            <w:tcW w:w="168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9"/>
                <w:szCs w:val="9"/>
                <w:color w:val="auto"/>
              </w:rPr>
            </w:pPr>
          </w:p>
        </w:tc>
        <w:tc>
          <w:tcPr>
            <w:tcW w:w="1340" w:type="dxa"/>
            <w:vAlign w:val="bottom"/>
            <w:vMerge w:val="restart"/>
          </w:tcPr>
          <w:p>
            <w:pPr>
              <w:jc w:val="right"/>
              <w:ind w:right="454"/>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7"/>
        </w:trPr>
        <w:tc>
          <w:tcPr>
            <w:tcW w:w="4680" w:type="dxa"/>
            <w:vAlign w:val="bottom"/>
            <w:vMerge w:val="continue"/>
          </w:tcPr>
          <w:p>
            <w:pPr>
              <w:spacing w:after="0"/>
              <w:rPr>
                <w:sz w:val="10"/>
                <w:szCs w:val="10"/>
                <w:color w:val="auto"/>
              </w:rPr>
            </w:pPr>
          </w:p>
        </w:tc>
        <w:tc>
          <w:tcPr>
            <w:tcW w:w="1580" w:type="dxa"/>
            <w:vAlign w:val="bottom"/>
            <w:vMerge w:val="restart"/>
          </w:tcPr>
          <w:p>
            <w:pPr>
              <w:ind w:left="580"/>
              <w:spacing w:after="0"/>
              <w:rPr>
                <w:sz w:val="20"/>
                <w:szCs w:val="20"/>
                <w:color w:val="auto"/>
              </w:rPr>
            </w:pPr>
            <w:r>
              <w:rPr>
                <w:rFonts w:ascii="Arial" w:cs="Arial" w:eastAsia="Arial" w:hAnsi="Arial"/>
                <w:sz w:val="11"/>
                <w:szCs w:val="11"/>
                <w:b w:val="1"/>
                <w:bCs w:val="1"/>
                <w:color w:val="auto"/>
              </w:rPr>
              <w:t>Options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68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rPr>
              <w:t>Contractual</w:t>
            </w:r>
          </w:p>
        </w:tc>
        <w:tc>
          <w:tcPr>
            <w:tcW w:w="2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80" w:type="dxa"/>
            <w:vAlign w:val="bottom"/>
          </w:tcPr>
          <w:p>
            <w:pPr>
              <w:ind w:left="20"/>
              <w:spacing w:after="0"/>
              <w:rPr>
                <w:sz w:val="20"/>
                <w:szCs w:val="20"/>
                <w:color w:val="auto"/>
              </w:rPr>
            </w:pPr>
            <w:r>
              <w:rPr>
                <w:rFonts w:ascii="Arial" w:cs="Arial" w:eastAsia="Arial" w:hAnsi="Arial"/>
                <w:sz w:val="11"/>
                <w:szCs w:val="11"/>
                <w:i w:val="1"/>
                <w:iCs w:val="1"/>
                <w:color w:val="auto"/>
              </w:rPr>
              <w:t>except weighted-average exercise price)</w:t>
            </w:r>
          </w:p>
        </w:tc>
        <w:tc>
          <w:tcPr>
            <w:tcW w:w="1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Term (Years)</w:t>
            </w:r>
          </w:p>
        </w:tc>
        <w:tc>
          <w:tcPr>
            <w:tcW w:w="240" w:type="dxa"/>
            <w:vAlign w:val="bottom"/>
          </w:tcPr>
          <w:p>
            <w:pPr>
              <w:spacing w:after="0"/>
              <w:rPr>
                <w:sz w:val="12"/>
                <w:szCs w:val="12"/>
                <w:color w:val="auto"/>
              </w:rPr>
            </w:pPr>
          </w:p>
        </w:tc>
        <w:tc>
          <w:tcPr>
            <w:tcW w:w="1340" w:type="dxa"/>
            <w:vAlign w:val="bottom"/>
          </w:tcPr>
          <w:p>
            <w:pPr>
              <w:jc w:val="right"/>
              <w:ind w:right="334"/>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71"/>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2024</w:t>
            </w:r>
          </w:p>
        </w:tc>
        <w:tc>
          <w:tcPr>
            <w:tcW w:w="1580" w:type="dxa"/>
            <w:vAlign w:val="bottom"/>
            <w:tcBorders>
              <w:top w:val="single" w:sz="8" w:color="auto"/>
            </w:tcBorders>
            <w:shd w:val="clear" w:color="auto" w:fill="CCEEFF"/>
          </w:tcPr>
          <w:p>
            <w:pPr>
              <w:jc w:val="center"/>
              <w:ind w:left="771"/>
              <w:spacing w:after="0"/>
              <w:rPr>
                <w:sz w:val="20"/>
                <w:szCs w:val="20"/>
                <w:color w:val="auto"/>
              </w:rPr>
            </w:pPr>
            <w:r>
              <w:rPr>
                <w:rFonts w:ascii="Arial" w:cs="Arial" w:eastAsia="Arial" w:hAnsi="Arial"/>
                <w:sz w:val="14"/>
                <w:szCs w:val="14"/>
                <w:color w:val="auto"/>
                <w:w w:val="99"/>
              </w:rPr>
              <w:t>7,892,330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jc w:val="center"/>
              <w:ind w:left="771"/>
              <w:spacing w:after="0"/>
              <w:rPr>
                <w:sz w:val="20"/>
                <w:szCs w:val="20"/>
                <w:color w:val="auto"/>
              </w:rPr>
            </w:pPr>
            <w:r>
              <w:rPr>
                <w:rFonts w:ascii="Arial" w:cs="Arial" w:eastAsia="Arial" w:hAnsi="Arial"/>
                <w:sz w:val="14"/>
                <w:szCs w:val="14"/>
                <w:color w:val="auto"/>
                <w:w w:val="99"/>
              </w:rPr>
              <w:t>2,253,860</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shd w:val="clear" w:color="auto" w:fill="CCEEFF"/>
          </w:tcPr>
          <w:p>
            <w:pPr>
              <w:jc w:val="center"/>
              <w:ind w:left="771"/>
              <w:spacing w:after="0"/>
              <w:rPr>
                <w:sz w:val="20"/>
                <w:szCs w:val="20"/>
                <w:color w:val="auto"/>
              </w:rPr>
            </w:pPr>
            <w:r>
              <w:rPr>
                <w:rFonts w:ascii="Arial" w:cs="Arial" w:eastAsia="Arial" w:hAnsi="Arial"/>
                <w:sz w:val="14"/>
                <w:szCs w:val="14"/>
                <w:color w:val="auto"/>
                <w:w w:val="97"/>
              </w:rPr>
              <w:t>(1,515,115)</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180"/>
              <w:spacing w:after="0"/>
              <w:rPr>
                <w:sz w:val="20"/>
                <w:szCs w:val="20"/>
                <w:color w:val="auto"/>
              </w:rPr>
            </w:pPr>
            <w:r>
              <w:rPr>
                <w:rFonts w:ascii="Arial" w:cs="Arial" w:eastAsia="Arial" w:hAnsi="Arial"/>
                <w:sz w:val="14"/>
                <w:szCs w:val="14"/>
                <w:b w:val="1"/>
                <w:bCs w:val="1"/>
                <w:color w:val="auto"/>
              </w:rPr>
              <w:t>Outstanding as of December 31, 2025</w:t>
            </w:r>
          </w:p>
        </w:tc>
        <w:tc>
          <w:tcPr>
            <w:tcW w:w="1580" w:type="dxa"/>
            <w:vAlign w:val="bottom"/>
            <w:tcBorders>
              <w:bottom w:val="single" w:sz="8" w:color="auto"/>
            </w:tcBorders>
          </w:tcPr>
          <w:p>
            <w:pPr>
              <w:jc w:val="center"/>
              <w:ind w:left="771"/>
              <w:spacing w:after="0"/>
              <w:rPr>
                <w:sz w:val="20"/>
                <w:szCs w:val="20"/>
                <w:color w:val="auto"/>
              </w:rPr>
            </w:pPr>
            <w:r>
              <w:rPr>
                <w:rFonts w:ascii="Arial" w:cs="Arial" w:eastAsia="Arial" w:hAnsi="Arial"/>
                <w:sz w:val="14"/>
                <w:szCs w:val="14"/>
                <w:color w:val="auto"/>
                <w:w w:val="99"/>
              </w:rPr>
              <w:t>8,631,075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35.89</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Vested and exercisable as of December 31, 2025</w:t>
            </w:r>
          </w:p>
        </w:tc>
        <w:tc>
          <w:tcPr>
            <w:tcW w:w="1580" w:type="dxa"/>
            <w:vAlign w:val="bottom"/>
            <w:tcBorders>
              <w:bottom w:val="single" w:sz="8" w:color="auto"/>
            </w:tcBorders>
            <w:shd w:val="clear" w:color="auto" w:fill="CCEEFF"/>
          </w:tcPr>
          <w:p>
            <w:pPr>
              <w:jc w:val="center"/>
              <w:ind w:left="771"/>
              <w:spacing w:after="0"/>
              <w:rPr>
                <w:sz w:val="20"/>
                <w:szCs w:val="20"/>
                <w:color w:val="auto"/>
              </w:rPr>
            </w:pPr>
            <w:r>
              <w:rPr>
                <w:rFonts w:ascii="Arial" w:cs="Arial" w:eastAsia="Arial" w:hAnsi="Arial"/>
                <w:sz w:val="14"/>
                <w:szCs w:val="14"/>
                <w:color w:val="auto"/>
                <w:w w:val="99"/>
              </w:rPr>
              <w:t>5,607,194</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Vested and expected to vest as of December 31, 2025</w:t>
            </w:r>
          </w:p>
        </w:tc>
        <w:tc>
          <w:tcPr>
            <w:tcW w:w="1580" w:type="dxa"/>
            <w:vAlign w:val="bottom"/>
            <w:tcBorders>
              <w:bottom w:val="single" w:sz="8" w:color="auto"/>
            </w:tcBorders>
          </w:tcPr>
          <w:p>
            <w:pPr>
              <w:jc w:val="center"/>
              <w:ind w:left="771"/>
              <w:spacing w:after="0" w:line="143" w:lineRule="exact"/>
              <w:rPr>
                <w:sz w:val="20"/>
                <w:szCs w:val="20"/>
                <w:color w:val="auto"/>
              </w:rPr>
            </w:pPr>
            <w:r>
              <w:rPr>
                <w:rFonts w:ascii="Arial" w:cs="Arial" w:eastAsia="Arial" w:hAnsi="Arial"/>
                <w:sz w:val="14"/>
                <w:szCs w:val="14"/>
                <w:color w:val="auto"/>
                <w:w w:val="99"/>
              </w:rPr>
              <w:t>8,304,964</w:t>
            </w:r>
          </w:p>
        </w:tc>
        <w:tc>
          <w:tcPr>
            <w:tcW w:w="28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36.55</w:t>
            </w:r>
          </w:p>
        </w:tc>
        <w:tc>
          <w:tcPr>
            <w:tcW w:w="80" w:type="dxa"/>
            <w:vAlign w:val="bottom"/>
          </w:tcPr>
          <w:p>
            <w:pPr>
              <w:spacing w:after="0"/>
              <w:rPr>
                <w:sz w:val="12"/>
                <w:szCs w:val="12"/>
                <w:color w:val="auto"/>
              </w:rPr>
            </w:pPr>
          </w:p>
        </w:tc>
        <w:tc>
          <w:tcPr>
            <w:tcW w:w="1580" w:type="dxa"/>
            <w:vAlign w:val="bottom"/>
          </w:tcPr>
          <w:p>
            <w:pPr>
              <w:jc w:val="right"/>
              <w:spacing w:after="0" w:line="143"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240" w:type="dxa"/>
            <w:vAlign w:val="bottom"/>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43"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09"/>
        <w:spacing w:after="0" w:line="271" w:lineRule="auto"/>
        <w:rPr>
          <w:sz w:val="20"/>
          <w:szCs w:val="20"/>
          <w:color w:val="auto"/>
        </w:rPr>
      </w:pPr>
      <w:r>
        <w:rPr>
          <w:rFonts w:ascii="Arial" w:cs="Arial" w:eastAsia="Arial" w:hAnsi="Arial"/>
          <w:sz w:val="14"/>
          <w:szCs w:val="14"/>
          <w:color w:val="auto"/>
        </w:rPr>
        <w:t>The weighted-average grant date fair value of options granted during the years ended December 31, 2025, 2024 and 2023 was $8.15, $27.35 and $ 21.99, respectively. The total intrinsic value of options exercised during the years ended December 31, 2024 and 2023 was $3.6 million and $1.4 million, respectively. There were no options exercised during the year ended December 31, 2025.</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92"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4"/>
          <w:szCs w:val="14"/>
          <w:color w:val="auto"/>
        </w:rPr>
        <w:t>A summary of restricted stock unit ("RSU") activity under the 2018 Plan for the year ended December 31, 2025 is presented below. Included in the table are RSUs granted to employees and directors under the 2018 Plan, as well as RSUs representing 170,365 shares of common stock granted to certain employees pursuant to the Nasdaq inducement grant exception in accordance with Nasdaq Listing Rule 5635(c)(4).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right="56"/>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10"/>
        </w:trPr>
        <w:tc>
          <w:tcPr>
            <w:tcW w:w="8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jc w:val="center"/>
              <w:ind w:right="36"/>
              <w:spacing w:after="0" w:line="111" w:lineRule="exact"/>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17"/>
        </w:trPr>
        <w:tc>
          <w:tcPr>
            <w:tcW w:w="8020" w:type="dxa"/>
            <w:vAlign w:val="bottom"/>
          </w:tcPr>
          <w:p>
            <w:pPr>
              <w:spacing w:after="0"/>
              <w:rPr>
                <w:sz w:val="10"/>
                <w:szCs w:val="10"/>
                <w:color w:val="auto"/>
              </w:rPr>
            </w:pPr>
          </w:p>
        </w:tc>
        <w:tc>
          <w:tcPr>
            <w:tcW w:w="1580" w:type="dxa"/>
            <w:vAlign w:val="bottom"/>
            <w:vMerge w:val="restart"/>
          </w:tcPr>
          <w:p>
            <w:pPr>
              <w:jc w:val="right"/>
              <w:ind w:right="532"/>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right="36"/>
              <w:spacing w:after="0" w:line="117" w:lineRule="exact"/>
              <w:rPr>
                <w:sz w:val="20"/>
                <w:szCs w:val="20"/>
                <w:color w:val="auto"/>
              </w:rPr>
            </w:pPr>
            <w:r>
              <w:rPr>
                <w:rFonts w:ascii="Arial" w:cs="Arial" w:eastAsia="Arial" w:hAnsi="Arial"/>
                <w:sz w:val="11"/>
                <w:szCs w:val="11"/>
                <w:b w:val="1"/>
                <w:bCs w:val="1"/>
                <w:color w:val="auto"/>
              </w:rPr>
              <w:t>Fair Value Per</w:t>
            </w:r>
          </w:p>
        </w:tc>
        <w:tc>
          <w:tcPr>
            <w:tcW w:w="0" w:type="dxa"/>
            <w:vAlign w:val="bottom"/>
          </w:tcPr>
          <w:p>
            <w:pPr>
              <w:spacing w:after="0"/>
              <w:rPr>
                <w:sz w:val="1"/>
                <w:szCs w:val="1"/>
                <w:color w:val="auto"/>
              </w:rPr>
            </w:pPr>
          </w:p>
        </w:tc>
      </w:tr>
      <w:tr>
        <w:trPr>
          <w:trHeight w:val="155"/>
        </w:trPr>
        <w:tc>
          <w:tcPr>
            <w:tcW w:w="80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97"/>
              </w:rPr>
              <w:t>Share</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Unvested RSUs as of December 31, 2024</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2,311,291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3,440,614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(1,253,564)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(874,290)</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Unvested RSUs as of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3,624,051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4"/>
          <w:szCs w:val="14"/>
          <w:color w:val="auto"/>
        </w:rPr>
        <w:t>The weighted-average grant date fair value of RSUs granted during the years ended December 31, 2025, 2024 and 2023 was $12.34, $44.43 and $32.27, respectively. The total intrinsic value of RSUs released during the years ended December 31, 2025, 2024 and 2023 was $17.7 million, $ 13.2 million and $4.3 million, respectively. The total fair value of RSUs vested during the years ended December 31, 2025, 2024 and 2023 was $44.3 million, $13.1 million and $6.9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Equity Method Investments</w:t>
      </w:r>
    </w:p>
    <w:p>
      <w:pPr>
        <w:spacing w:after="0" w:line="92" w:lineRule="exact"/>
        <w:rPr>
          <w:sz w:val="20"/>
          <w:szCs w:val="20"/>
          <w:color w:val="auto"/>
        </w:rPr>
      </w:pPr>
    </w:p>
    <w:p>
      <w:pPr>
        <w:jc w:val="both"/>
        <w:ind w:right="200" w:firstLine="509"/>
        <w:spacing w:after="0" w:line="260" w:lineRule="auto"/>
        <w:rPr>
          <w:sz w:val="20"/>
          <w:szCs w:val="20"/>
          <w:color w:val="auto"/>
        </w:rPr>
      </w:pPr>
      <w:r>
        <w:rPr>
          <w:rFonts w:ascii="Arial" w:cs="Arial" w:eastAsia="Arial" w:hAnsi="Arial"/>
          <w:sz w:val="14"/>
          <w:szCs w:val="14"/>
          <w:color w:val="auto"/>
        </w:rPr>
        <w:t>In July 2019, the Company and Bayer CropScience LP ("Bayer LP") formed Oerth Bio, a joint venture to research, develop and commercialize PROTAC targeted protein degraders for applications in the field of agriculture. Pursuant to the terms of the joint venture agreement, the Company made an in-kind intellectual property contribution to Oerth Bio in the form of a license to certain of the Company’s proprietary technology and Bayer LP committed and subsequently made cash contributions to Oerth Bio totaling</w:t>
      </w:r>
    </w:p>
    <w:p>
      <w:pPr>
        <w:ind w:right="500"/>
        <w:spacing w:after="0" w:line="269" w:lineRule="auto"/>
        <w:rPr>
          <w:sz w:val="20"/>
          <w:szCs w:val="20"/>
          <w:color w:val="auto"/>
        </w:rPr>
      </w:pPr>
      <w:r>
        <w:rPr>
          <w:rFonts w:ascii="Arial" w:cs="Arial" w:eastAsia="Arial" w:hAnsi="Arial"/>
          <w:sz w:val="14"/>
          <w:szCs w:val="14"/>
          <w:color w:val="auto"/>
        </w:rPr>
        <w:t>$56.0 million, as well as an in-kind intellectual property contribution. The Company and Bayer LP each held an initial ownership interest in Oerth Bio representing 50% of the ownership interests. A 15% ownership interest of Oerth Bio was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7" w:name="page178"/>
    <w:bookmarkEnd w:id="177"/>
    <w:p>
      <w:pPr>
        <w:ind w:right="440"/>
        <w:spacing w:after="0" w:line="290" w:lineRule="auto"/>
        <w:rPr>
          <w:sz w:val="20"/>
          <w:szCs w:val="20"/>
          <w:color w:val="auto"/>
        </w:rPr>
      </w:pPr>
      <w:r>
        <w:rPr>
          <w:rFonts w:ascii="Arial" w:cs="Arial" w:eastAsia="Arial" w:hAnsi="Arial"/>
          <w:sz w:val="14"/>
          <w:szCs w:val="14"/>
          <w:color w:val="auto"/>
        </w:rPr>
        <w:t>reserved for the future grants of incentive units to employees and service providers and, as a result, the Company's ownership interest totaled 42.9%, 43.6% and 45.0% as of December 31, 2025, 2024 and 2023, respectively, as a result of vested incentive units.</w:t>
      </w:r>
    </w:p>
    <w:p>
      <w:pPr>
        <w:spacing w:after="0" w:line="120"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Under the joint venture agreement, the Company has no obligation to provide additional funding and the Company’s ownership interest will not be diluted from future contributions from Bayer LP. The activities of Oerth Bio are controlled by a management board under the joint control of the Company and Bayer LP. As Oerth Bio is jointly controlled by the Company and Bayer LP, the Company accounts for its interest using the equity method of accounting. The Company determined that Oerth Bio is a variable interest entity and, accordingly, the Company has evaluated the significant activities of Oerth Bio under the variable interest entity model and concluded that the significant activities consist primarily of research and development activities and, as the Company does not have the sole power to direct such activities, the Company is not the primary beneficiary.</w:t>
      </w:r>
    </w:p>
    <w:p>
      <w:pPr>
        <w:spacing w:after="0" w:line="140" w:lineRule="exact"/>
        <w:rPr>
          <w:sz w:val="20"/>
          <w:szCs w:val="20"/>
          <w:color w:val="auto"/>
        </w:rPr>
      </w:pPr>
    </w:p>
    <w:p>
      <w:pPr>
        <w:ind w:right="40" w:firstLine="509"/>
        <w:spacing w:after="0" w:line="271" w:lineRule="auto"/>
        <w:rPr>
          <w:sz w:val="20"/>
          <w:szCs w:val="20"/>
          <w:color w:val="auto"/>
        </w:rPr>
      </w:pPr>
      <w:r>
        <w:rPr>
          <w:rFonts w:ascii="Arial" w:cs="Arial" w:eastAsia="Arial" w:hAnsi="Arial"/>
          <w:sz w:val="14"/>
          <w:szCs w:val="14"/>
          <w:color w:val="auto"/>
        </w:rPr>
        <w:t>Operating expenses and net loss of Oerth Bio for the years ended December 31, 2025, 2024 and 2023 totaled $1.1 million, $3.7 million and $8.3 million, respectively. The Company recognized no equity method losses for the years ended December 31, 2025 and 2024. The Company recognized equity method losses of $2.5 million for the year ended December 31, 2023. As of December 31, 2025, and 2024, the Company’s carrying value of the investment was zero.</w:t>
      </w:r>
    </w:p>
    <w:p>
      <w:pPr>
        <w:spacing w:after="0" w:line="134" w:lineRule="exact"/>
        <w:rPr>
          <w:sz w:val="20"/>
          <w:szCs w:val="20"/>
          <w:color w:val="auto"/>
        </w:rPr>
      </w:pPr>
    </w:p>
    <w:p>
      <w:pPr>
        <w:ind w:right="120" w:firstLine="509"/>
        <w:spacing w:after="0" w:line="290" w:lineRule="auto"/>
        <w:rPr>
          <w:sz w:val="20"/>
          <w:szCs w:val="20"/>
          <w:color w:val="auto"/>
        </w:rPr>
      </w:pPr>
      <w:r>
        <w:rPr>
          <w:rFonts w:ascii="Arial" w:cs="Arial" w:eastAsia="Arial" w:hAnsi="Arial"/>
          <w:sz w:val="14"/>
          <w:szCs w:val="14"/>
          <w:color w:val="auto"/>
        </w:rPr>
        <w:t>The Company also provides Oerth Bio with compensated research and development and administrative services through a separate agreement. The services rendered by the Company during the years ended December 31, 2025, 2024 and 2023 were immaterial.</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 Income Taxes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years ended December 31, 2025, 2024 and 2023, income tax expense totaled $0.3 million, $0.6 million and $0.9 million, respectively, and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2023</w:t>
            </w:r>
          </w:p>
        </w:tc>
      </w:tr>
      <w:tr>
        <w:trPr>
          <w:trHeight w:val="16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6340" w:type="dxa"/>
            <w:vAlign w:val="bottom"/>
          </w:tcPr>
          <w:p>
            <w:pPr>
              <w:ind w:left="100"/>
              <w:spacing w:after="0"/>
              <w:rPr>
                <w:sz w:val="20"/>
                <w:szCs w:val="20"/>
                <w:color w:val="auto"/>
              </w:rPr>
            </w:pPr>
            <w:r>
              <w:rPr>
                <w:rFonts w:ascii="Arial" w:cs="Arial" w:eastAsia="Arial" w:hAnsi="Arial"/>
                <w:sz w:val="14"/>
                <w:szCs w:val="14"/>
                <w:color w:val="auto"/>
              </w:rPr>
              <w:t>U.S.: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State and local</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71"/>
        </w:trPr>
        <w:tc>
          <w:tcPr>
            <w:tcW w:w="63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current</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60"/>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6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340" w:type="dxa"/>
            <w:vAlign w:val="bottom"/>
          </w:tcPr>
          <w:p>
            <w:pPr>
              <w:ind w:left="180"/>
              <w:spacing w:after="0"/>
              <w:rPr>
                <w:sz w:val="20"/>
                <w:szCs w:val="20"/>
                <w:color w:val="auto"/>
              </w:rPr>
            </w:pPr>
            <w:r>
              <w:rPr>
                <w:rFonts w:ascii="Arial" w:cs="Arial" w:eastAsia="Arial" w:hAnsi="Arial"/>
                <w:sz w:val="14"/>
                <w:szCs w:val="14"/>
                <w:color w:val="auto"/>
              </w:rPr>
              <w:t>Federal</w:t>
            </w: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deferred</w:t>
            </w: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Income tax expense</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The Company generated a taxable loss for the year ended December 31, 2025 primarily due to losses from operations. The Company has not recorded any income tax benefits for the net operating losses incurred in the period due to its uncertainty of realizing a benefit from those items.</w:t>
      </w:r>
    </w:p>
    <w:p>
      <w:pPr>
        <w:spacing w:after="0" w:line="12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4"/>
          <w:szCs w:val="14"/>
          <w:color w:val="auto"/>
        </w:rPr>
        <w:t>The Company generated a taxable income for the year ended December 31, 2024 primarily due to the Novartis License Agreement, the Novartis Asset Agreement and the required capitalization of research and development expenses. The taxable income for federal purposes has been partially offset by losses from operations.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8" w:name="page179"/>
    <w:bookmarkEnd w:id="178"/>
    <w:p>
      <w:pPr>
        <w:ind w:right="300" w:firstLine="509"/>
        <w:spacing w:after="0" w:line="290" w:lineRule="auto"/>
        <w:rPr>
          <w:sz w:val="20"/>
          <w:szCs w:val="20"/>
          <w:color w:val="auto"/>
        </w:rPr>
      </w:pPr>
      <w:r>
        <w:rPr>
          <w:rFonts w:ascii="Arial" w:cs="Arial" w:eastAsia="Arial" w:hAnsi="Arial"/>
          <w:sz w:val="14"/>
          <w:szCs w:val="14"/>
          <w:color w:val="auto"/>
        </w:rPr>
        <w:t>The Company generated a taxable loss for the year ended December 31, 2023 primarily due to losses from operations. The Company has not recorded any income tax benefits for the net operating losses incurred in the period due to its uncertainty of realizing a benefit from those items.</w:t>
      </w:r>
    </w:p>
    <w:p>
      <w:pPr>
        <w:spacing w:after="0" w:line="12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4"/>
          <w:szCs w:val="14"/>
          <w:color w:val="auto"/>
        </w:rPr>
        <w:t>On July 4, 2025, H.R.1, commonly referred to as the One Big Beautiful Bill Act, was signed into law in the U.S., which includes a broad range of tax reform provisions, including extending and modifying certain key Tax Cuts and Jobs Act provisions, and provisions allowing accelerated tax deductions for qualified property and research expenditures. The tax impacts of this legislation do not have a material impact on the Company's consolidated financial statements.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of the Company’s losses before income taxes were generated in the United States.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U.S. federal statutory income tax rate to the Company’s effective income tax rate for the years ended December 31, 2025, 2024 and 2023 were 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380"/>
              <w:spacing w:after="0"/>
              <w:rPr>
                <w:sz w:val="20"/>
                <w:szCs w:val="20"/>
                <w:color w:val="auto"/>
              </w:rPr>
            </w:pPr>
            <w:r>
              <w:rPr>
                <w:rFonts w:ascii="Arial" w:cs="Arial" w:eastAsia="Arial" w:hAnsi="Arial"/>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2025</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096"/>
              <w:spacing w:after="0"/>
              <w:rPr>
                <w:sz w:val="20"/>
                <w:szCs w:val="20"/>
                <w:color w:val="auto"/>
              </w:rPr>
            </w:pPr>
            <w:r>
              <w:rPr>
                <w:rFonts w:ascii="Arial" w:cs="Arial" w:eastAsia="Arial" w:hAnsi="Arial"/>
                <w:sz w:val="11"/>
                <w:szCs w:val="11"/>
                <w:b w:val="1"/>
                <w:bCs w:val="1"/>
                <w:color w:val="auto"/>
                <w:w w:val="97"/>
              </w:rPr>
              <w:t>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096"/>
              <w:spacing w:after="0"/>
              <w:rPr>
                <w:sz w:val="20"/>
                <w:szCs w:val="20"/>
                <w:color w:val="auto"/>
              </w:rPr>
            </w:pPr>
            <w:r>
              <w:rPr>
                <w:rFonts w:ascii="Arial" w:cs="Arial" w:eastAsia="Arial" w:hAnsi="Arial"/>
                <w:sz w:val="11"/>
                <w:szCs w:val="11"/>
                <w:b w:val="1"/>
                <w:bCs w:val="1"/>
                <w:color w:val="auto"/>
                <w:w w:val="89"/>
              </w:rPr>
              <w:t>2023</w:t>
            </w:r>
          </w:p>
        </w:tc>
        <w:tc>
          <w:tcPr>
            <w:tcW w:w="0" w:type="dxa"/>
            <w:vAlign w:val="bottom"/>
          </w:tcPr>
          <w:p>
            <w:pPr>
              <w:spacing w:after="0"/>
              <w:rPr>
                <w:sz w:val="1"/>
                <w:szCs w:val="1"/>
                <w:color w:val="auto"/>
              </w:rPr>
            </w:pPr>
          </w:p>
        </w:tc>
      </w:tr>
      <w:tr>
        <w:trPr>
          <w:trHeight w:val="150"/>
        </w:trPr>
        <w:tc>
          <w:tcPr>
            <w:tcW w:w="3380" w:type="dxa"/>
            <w:vAlign w:val="bottom"/>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220" w:type="dxa"/>
            <w:vAlign w:val="bottom"/>
          </w:tcPr>
          <w:p>
            <w:pPr>
              <w:spacing w:after="0"/>
              <w:rPr>
                <w:sz w:val="13"/>
                <w:szCs w:val="13"/>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1"/>
                <w:szCs w:val="11"/>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1"/>
                <w:szCs w:val="11"/>
                <w:b w:val="1"/>
                <w:bCs w:val="1"/>
                <w:color w:val="auto"/>
              </w:rPr>
              <w:t>Percent</w:t>
            </w:r>
          </w:p>
        </w:tc>
        <w:tc>
          <w:tcPr>
            <w:tcW w:w="220" w:type="dxa"/>
            <w:vAlign w:val="bottom"/>
          </w:tcPr>
          <w:p>
            <w:pPr>
              <w:spacing w:after="0"/>
              <w:rPr>
                <w:sz w:val="13"/>
                <w:szCs w:val="13"/>
                <w:color w:val="auto"/>
              </w:rPr>
            </w:pPr>
          </w:p>
        </w:tc>
        <w:tc>
          <w:tcPr>
            <w:tcW w:w="920" w:type="dxa"/>
            <w:vAlign w:val="bottom"/>
          </w:tcPr>
          <w:p>
            <w:pPr>
              <w:jc w:val="right"/>
              <w:ind w:right="292"/>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1420" w:type="dxa"/>
            <w:vAlign w:val="bottom"/>
            <w:gridSpan w:val="2"/>
          </w:tcPr>
          <w:p>
            <w:pPr>
              <w:ind w:left="440"/>
              <w:spacing w:after="0"/>
              <w:rPr>
                <w:sz w:val="20"/>
                <w:szCs w:val="20"/>
                <w:color w:val="auto"/>
              </w:rPr>
            </w:pPr>
            <w:r>
              <w:rPr>
                <w:rFonts w:ascii="Arial" w:cs="Arial" w:eastAsia="Arial" w:hAnsi="Arial"/>
                <w:sz w:val="11"/>
                <w:szCs w:val="11"/>
                <w:b w:val="1"/>
                <w:bCs w:val="1"/>
                <w:color w:val="auto"/>
              </w:rPr>
              <w:t>Percent</w:t>
            </w:r>
          </w:p>
        </w:tc>
        <w:tc>
          <w:tcPr>
            <w:tcW w:w="22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1320" w:type="dxa"/>
            <w:vAlign w:val="bottom"/>
          </w:tcPr>
          <w:p>
            <w:pPr>
              <w:jc w:val="right"/>
              <w:ind w:right="396"/>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71"/>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Federal statutory tax rate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38"/>
        </w:trPr>
        <w:tc>
          <w:tcPr>
            <w:tcW w:w="3380" w:type="dxa"/>
            <w:vAlign w:val="bottom"/>
          </w:tcPr>
          <w:p>
            <w:pPr>
              <w:ind w:left="20"/>
              <w:spacing w:after="0" w:line="138" w:lineRule="exact"/>
              <w:rPr>
                <w:sz w:val="20"/>
                <w:szCs w:val="20"/>
                <w:color w:val="auto"/>
              </w:rPr>
            </w:pPr>
            <w:r>
              <w:rPr>
                <w:rFonts w:ascii="Arial" w:cs="Arial" w:eastAsia="Arial" w:hAnsi="Arial"/>
                <w:sz w:val="14"/>
                <w:szCs w:val="14"/>
                <w:b w:val="1"/>
                <w:bCs w:val="1"/>
                <w:color w:val="auto"/>
              </w:rPr>
              <w:t>State and local income taxes, net of federal</w:t>
            </w: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income tax effect</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 credits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Arial" w:cs="Arial" w:eastAsia="Arial" w:hAnsi="Arial"/>
                <w:sz w:val="14"/>
                <w:szCs w:val="14"/>
                <w:color w:val="auto"/>
              </w:rPr>
              <w:t>Research and development tax credit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Changes in valuation allowance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Nontaxable or nondeductible items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Effective tax rate</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80" w:firstLine="509"/>
        <w:spacing w:after="0" w:line="271" w:lineRule="auto"/>
        <w:rPr>
          <w:sz w:val="20"/>
          <w:szCs w:val="20"/>
          <w:color w:val="auto"/>
        </w:rPr>
      </w:pPr>
      <w:r>
        <w:rPr>
          <w:rFonts w:ascii="Arial" w:cs="Arial" w:eastAsia="Arial" w:hAnsi="Arial"/>
          <w:sz w:val="14"/>
          <w:szCs w:val="14"/>
          <w:color w:val="auto"/>
        </w:rPr>
        <w:t>For the year ended December 31, 2025, state and local income taxes in Connecticut, Massachusetts, and New York comprised the majority of the state and local income taxes, net of federal effect. For the year ended December 31, 2024, state and local income taxes in Connecticut comprised the majority of the state and local income taxes, net of federal effect. For the year ended December 31, 2023, state and local income taxes in New York comprised the majority of the state and local income taxes, net of federal effect.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income taxes paid, net of refunds received for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5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9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2023</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federal</w:t>
            </w:r>
          </w:p>
        </w:tc>
        <w:tc>
          <w:tcPr>
            <w:tcW w:w="19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US state and local</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California</w:t>
            </w: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Massachusetts</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New York</w:t>
            </w: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New York City</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New Jersey</w:t>
            </w: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Pennsylvania</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Total income taxes paid, net of refunds received</w:t>
            </w:r>
          </w:p>
        </w:tc>
        <w:tc>
          <w:tcPr>
            <w:tcW w:w="19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4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84"/>
        </w:trPr>
        <w:tc>
          <w:tcPr>
            <w:tcW w:w="4360" w:type="dxa"/>
            <w:vAlign w:val="bottom"/>
          </w:tcPr>
          <w:p>
            <w:pPr>
              <w:spacing w:after="0"/>
              <w:rPr>
                <w:sz w:val="24"/>
                <w:szCs w:val="24"/>
                <w:color w:val="auto"/>
              </w:rPr>
            </w:pPr>
          </w:p>
        </w:tc>
        <w:tc>
          <w:tcPr>
            <w:tcW w:w="2360" w:type="dxa"/>
            <w:vAlign w:val="bottom"/>
            <w:gridSpan w:val="2"/>
          </w:tcPr>
          <w:p>
            <w:pPr>
              <w:jc w:val="right"/>
              <w:ind w:right="829"/>
              <w:spacing w:after="0"/>
              <w:rPr>
                <w:sz w:val="20"/>
                <w:szCs w:val="20"/>
                <w:color w:val="auto"/>
              </w:rPr>
            </w:pPr>
            <w:r>
              <w:rPr>
                <w:rFonts w:ascii="Arial" w:cs="Arial" w:eastAsia="Arial" w:hAnsi="Arial"/>
                <w:sz w:val="14"/>
                <w:szCs w:val="14"/>
                <w:color w:val="auto"/>
              </w:rPr>
              <w:t>F - 25</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5"/>
        </w:trPr>
        <w:tc>
          <w:tcPr>
            <w:tcW w:w="43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9" w:name="page180"/>
    <w:bookmarkEnd w:id="179"/>
    <w:p>
      <w:pPr>
        <w:ind w:left="520" w:hanging="260"/>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amount of income taxes paid during the year does not meet the 5% disaggregation threshold.</w:t>
      </w:r>
    </w:p>
    <w:p>
      <w:pPr>
        <w:spacing w:after="0" w:line="179" w:lineRule="exact"/>
        <w:rPr>
          <w:sz w:val="20"/>
          <w:szCs w:val="20"/>
          <w:color w:val="auto"/>
        </w:rPr>
      </w:pPr>
    </w:p>
    <w:p>
      <w:pPr>
        <w:ind w:right="380" w:firstLine="509"/>
        <w:spacing w:after="0" w:line="290" w:lineRule="auto"/>
        <w:rPr>
          <w:sz w:val="20"/>
          <w:szCs w:val="20"/>
          <w:color w:val="auto"/>
        </w:rPr>
      </w:pPr>
      <w:r>
        <w:rPr>
          <w:rFonts w:ascii="Arial" w:cs="Arial" w:eastAsia="Arial" w:hAnsi="Arial"/>
          <w:sz w:val="14"/>
          <w:szCs w:val="14"/>
          <w:color w:val="auto"/>
        </w:rPr>
        <w:t>Deferred income taxes represent the tax effect of transactions that are reported in different periods for financial and tax reporting purposes. Temporary differences and carryforwards that give rise to a significant portion of the deferred income tax benefits and liabilities were as follows as of December 31,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r>
      <w:tr>
        <w:trPr>
          <w:trHeight w:val="1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income tax 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Loss carryforwards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research and development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155.6</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credits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71"/>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 deferred income tax assets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income tax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equipment and leasehold improvements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71"/>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deferred income tax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valuation allowance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(471.4)</w:t>
            </w:r>
          </w:p>
        </w:tc>
      </w:tr>
      <w:tr>
        <w:trPr>
          <w:trHeight w:val="196"/>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Net deferred income tax liability</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has provided a valuation allowance against the full amount of the deferred tax assets since it is more likely than not that the benefits will not be realized. This assessment is based on the Company's historical cumulative losses, which provide strong objective evidence that cannot be overcome with projections of income, as well as the fact the Company expects continuing losses in the future.</w:t>
      </w:r>
    </w:p>
    <w:p>
      <w:pPr>
        <w:spacing w:after="0" w:line="140" w:lineRule="exact"/>
        <w:rPr>
          <w:sz w:val="20"/>
          <w:szCs w:val="20"/>
          <w:color w:val="auto"/>
        </w:rPr>
      </w:pPr>
    </w:p>
    <w:p>
      <w:pPr>
        <w:jc w:val="both"/>
        <w:ind w:right="180" w:firstLine="509"/>
        <w:spacing w:after="0" w:line="271" w:lineRule="auto"/>
        <w:rPr>
          <w:sz w:val="20"/>
          <w:szCs w:val="20"/>
          <w:color w:val="auto"/>
        </w:rPr>
      </w:pPr>
      <w:r>
        <w:rPr>
          <w:rFonts w:ascii="Arial" w:cs="Arial" w:eastAsia="Arial" w:hAnsi="Arial"/>
          <w:sz w:val="14"/>
          <w:szCs w:val="14"/>
          <w:color w:val="auto"/>
        </w:rPr>
        <w:t>All, or a portion of, the remaining valuation allowance may be reduced in future years based on an assessment of earnings sufficient to utilize these potential tax benefits. The valuation allowance increased by $10.0 million and $63.5 million in 2025 and 2024, respectively, due to increases in net operating loss carryforwards, revenue recognition for tax purposes from the Vepdegestrant (ARV-471) Collaboration Agreement and the mandatory capitalization of qualified research and development costs in 2024.</w:t>
      </w:r>
    </w:p>
    <w:p>
      <w:pPr>
        <w:spacing w:after="0" w:line="134"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The Company had $533.6 million and $ 111.0 million of federal net operating loss carryforwards as of December 31, 2025 and 2024, respectively. Federal net operating losses incurred in 2018 and in future years may be carried forward indefinitely, but the deductibility of such carryforwards is limited to 80% of the Company’s taxable income in the year in which carryforwards are used. The Company had $563.2 million and $129.0 million of state and local net operating loss carryforwards as of December 31, 2025 and 2024, respectively, which expire at various dates beginning in 2035. The Company had $44.7 million and $37.7 million of federal tax credit carryforwards as of December 31, 2025 and 2024, respectively. The Company had $22.3 million and $22.4 million of state tax credit carryforwards as of December 31, 2025 and 2024, respectively, which expire at various dates beginning in 2035.</w:t>
      </w:r>
    </w:p>
    <w:p>
      <w:pPr>
        <w:spacing w:after="0" w:line="142"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Company has performed a Section 382 analysis through December 31, 2024 to determine whether an ownership change occurred for tax purposes. Based on this analysis, the Company determined that ownership changes occurred on July 31, 2018 and December 31, 2020 due to various equity offerings, vesting of restricted stock awards and stock option exercises. These ownership changes resulted in Section 382 limitations on the Company’s net operating loss and tax credit carryforwards generated before these dates. However, because the amount of the Section 382 limitations (including carryover of the unused Section 382 limitations and realized built-in gains) exceeds the amount of the Company’s carryforwards generated before these dates, the limitations will not affect the Company's ability to fully utilize these carryforwards.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0" w:name="page181"/>
    <w:bookmarkEnd w:id="180"/>
    <w:p>
      <w:pPr>
        <w:ind w:right="40" w:firstLine="509"/>
        <w:spacing w:after="0" w:line="262" w:lineRule="auto"/>
        <w:rPr>
          <w:sz w:val="20"/>
          <w:szCs w:val="20"/>
          <w:color w:val="auto"/>
        </w:rPr>
      </w:pPr>
      <w:r>
        <w:rPr>
          <w:rFonts w:ascii="Arial" w:cs="Arial" w:eastAsia="Arial" w:hAnsi="Arial"/>
          <w:sz w:val="14"/>
          <w:szCs w:val="14"/>
          <w:color w:val="auto"/>
        </w:rPr>
        <w:t xml:space="preserve">The Company complies with the provisions of ASC 740,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xml:space="preserve"> in accounting for its uncertain tax positions. ASC 740 addresses the determination of whether tax benefits claimed or expected to be claimed on a tax return should be recorded in the financial statements. Under ASC 740, the Company may recognize the tax benefit from an uncertain tax position only if it is more likely than not that the tax position will be sustained on examination by the taxing authorities, based on the technical merits of the position. As of December 31, 2025 and 2024, the Company recorded net uncertain tax positions of $5.9 million and $5.4 million, respectively, relating primarily to state income tax filing positions in various jurisdictions.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Changes in the Company's gross unrecognized tax benefits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7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of period balance - gross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0"/>
        </w:trPr>
        <w:tc>
          <w:tcPr>
            <w:tcW w:w="6340" w:type="dxa"/>
            <w:vAlign w:val="bottom"/>
          </w:tcPr>
          <w:p>
            <w:pPr>
              <w:ind w:left="20"/>
              <w:spacing w:after="0"/>
              <w:rPr>
                <w:sz w:val="20"/>
                <w:szCs w:val="20"/>
                <w:color w:val="auto"/>
              </w:rPr>
            </w:pPr>
            <w:r>
              <w:rPr>
                <w:rFonts w:ascii="Arial" w:cs="Arial" w:eastAsia="Arial" w:hAnsi="Arial"/>
                <w:sz w:val="14"/>
                <w:szCs w:val="14"/>
                <w:color w:val="auto"/>
              </w:rPr>
              <w:t>Increases for tax positions taken during the current period</w:t>
            </w: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71"/>
        </w:trPr>
        <w:tc>
          <w:tcPr>
            <w:tcW w:w="6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End of period balance - gross</w:t>
            </w: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bl>
    <w:p>
      <w:pPr>
        <w:spacing w:after="0" w:line="229" w:lineRule="exact"/>
        <w:rPr>
          <w:sz w:val="20"/>
          <w:szCs w:val="20"/>
          <w:color w:val="auto"/>
        </w:rPr>
      </w:pPr>
    </w:p>
    <w:p>
      <w:pPr>
        <w:ind w:right="500" w:firstLine="509"/>
        <w:spacing w:after="0" w:line="290" w:lineRule="auto"/>
        <w:rPr>
          <w:sz w:val="20"/>
          <w:szCs w:val="20"/>
          <w:color w:val="auto"/>
        </w:rPr>
      </w:pPr>
      <w:r>
        <w:rPr>
          <w:rFonts w:ascii="Arial" w:cs="Arial" w:eastAsia="Arial" w:hAnsi="Arial"/>
          <w:sz w:val="14"/>
          <w:szCs w:val="14"/>
          <w:color w:val="auto"/>
        </w:rPr>
        <w:t>The Company recognizes interest accrued related to unrecognized tax benefits and penalties in tax expense. The Company's accrual for interest and penalties as of December 31, 2025 and 2024 totaled $1.6 million and $1.0 million, respectively.</w:t>
      </w:r>
    </w:p>
    <w:p>
      <w:pPr>
        <w:spacing w:after="0" w:line="120" w:lineRule="exact"/>
        <w:rPr>
          <w:sz w:val="20"/>
          <w:szCs w:val="20"/>
          <w:color w:val="auto"/>
        </w:rPr>
      </w:pPr>
    </w:p>
    <w:p>
      <w:pPr>
        <w:ind w:right="80" w:firstLine="509"/>
        <w:spacing w:after="0" w:line="265" w:lineRule="auto"/>
        <w:rPr>
          <w:sz w:val="20"/>
          <w:szCs w:val="20"/>
          <w:color w:val="auto"/>
        </w:rPr>
      </w:pPr>
      <w:r>
        <w:rPr>
          <w:rFonts w:ascii="Arial" w:cs="Arial" w:eastAsia="Arial" w:hAnsi="Arial"/>
          <w:sz w:val="14"/>
          <w:szCs w:val="14"/>
          <w:color w:val="auto"/>
        </w:rPr>
        <w:t>The Company is required to file income tax returns in the U.S. Federal and various state jurisdictions. As a result of the Company’s net operating loss carryforwards, the Company’s federal and state statutes of limitations generally remain open for all tax years until its net operating loss and tax credit carryforwards are utilized or expire prior to utilization. The Company is currently under federal income tax examination for the year ended December 31, 2023, and state income tax examination with the state of New York for the years ended December 31, 2021 through December 31, 2023.</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 Commitments and Contingencies</w:t>
      </w:r>
    </w:p>
    <w:p>
      <w:pPr>
        <w:spacing w:after="0" w:line="9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From time to time, the Company may be subject to legal proceedings, claims and disputes that arise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which could differ materially. Legal fees and other costs associated with such actions are expensed as incurred. As of December 31, 2025, 2024 and 2023, the Company accrued zero, $5.0 million and $15.2 million, respectively, for such matters, related to the Amended License Agreement with Yale University ("Yale"), as further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and Preclinical Development and Licensing Arrangements</w:t>
      </w:r>
    </w:p>
    <w:p>
      <w:pPr>
        <w:spacing w:after="0" w:line="17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4"/>
          <w:szCs w:val="14"/>
          <w:color w:val="auto"/>
        </w:rPr>
        <w:t>From time to time, the Company enters into contracts in the normal course of business with various third parties who support its clinical trials, preclinical research studies and other services related to its development activities. The scope of the services under these agreements can generally be modified at any time, and the agreement can be terminated by either party after a period of notice and receipt of written notice.</w:t>
      </w:r>
    </w:p>
    <w:p>
      <w:pPr>
        <w:spacing w:after="0" w:line="123" w:lineRule="exact"/>
        <w:rPr>
          <w:sz w:val="20"/>
          <w:szCs w:val="20"/>
          <w:color w:val="auto"/>
        </w:rPr>
      </w:pPr>
    </w:p>
    <w:p>
      <w:pPr>
        <w:jc w:val="both"/>
        <w:ind w:right="260" w:firstLine="509"/>
        <w:spacing w:after="0" w:line="255" w:lineRule="auto"/>
        <w:rPr>
          <w:sz w:val="20"/>
          <w:szCs w:val="20"/>
          <w:color w:val="auto"/>
        </w:rPr>
      </w:pPr>
      <w:r>
        <w:rPr>
          <w:rFonts w:ascii="Arial" w:cs="Arial" w:eastAsia="Arial" w:hAnsi="Arial"/>
          <w:sz w:val="14"/>
          <w:szCs w:val="14"/>
          <w:color w:val="auto"/>
        </w:rPr>
        <w:t>In addition, under licensing and related arrangements to which the Company is a party, the Company may be obligated to make milestone payments to third parties. The payment obligations under these arrangements are contingent upon future events, such as achievement of specified milestones or generation of product sales, and the amount, timing and likelihood of such payments are not known.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Yale University License Agreement</w:t>
      </w:r>
    </w:p>
    <w:p>
      <w:pPr>
        <w:spacing w:after="0" w:line="177" w:lineRule="exact"/>
        <w:rPr>
          <w:sz w:val="20"/>
          <w:szCs w:val="20"/>
          <w:color w:val="auto"/>
        </w:rPr>
      </w:pPr>
    </w:p>
    <w:p>
      <w:pPr>
        <w:ind w:right="100" w:firstLine="509"/>
        <w:spacing w:after="0" w:line="265" w:lineRule="auto"/>
        <w:rPr>
          <w:sz w:val="20"/>
          <w:szCs w:val="20"/>
          <w:color w:val="auto"/>
        </w:rPr>
      </w:pPr>
      <w:r>
        <w:rPr>
          <w:rFonts w:ascii="Arial" w:cs="Arial" w:eastAsia="Arial" w:hAnsi="Arial"/>
          <w:sz w:val="14"/>
          <w:szCs w:val="14"/>
          <w:color w:val="auto"/>
        </w:rPr>
        <w:t xml:space="preserve">In June 2024, the Company entered into an Amended and Restated License Agreement (the “Amended License Agreement”) with Yale pursuant to which the parties amended and restated the license agreement dated July 5, 2013, as amended to date (the "Original Agreement"). In connection with the signing of the Amended License Agreement, the Company made a payment of $14.95 million to Yale, comprising both an upfront payment connected to the Amended License Agreement and an amount related to the collaboration income under the Novartis License Agreement and Novartis Asset Agreement (see Note 3, </w:t>
      </w:r>
      <w:r>
        <w:rPr>
          <w:rFonts w:ascii="Arial" w:cs="Arial" w:eastAsia="Arial" w:hAnsi="Arial"/>
          <w:sz w:val="14"/>
          <w:szCs w:val="14"/>
          <w:i w:val="1"/>
          <w:iCs w:val="1"/>
          <w:color w:val="auto"/>
        </w:rPr>
        <w:t>Research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81" w:name="page182"/>
    <w:bookmarkEnd w:id="181"/>
    <w:p>
      <w:pPr>
        <w:ind w:right="120"/>
        <w:spacing w:after="0" w:line="263" w:lineRule="auto"/>
        <w:rPr>
          <w:sz w:val="20"/>
          <w:szCs w:val="20"/>
          <w:color w:val="auto"/>
        </w:rPr>
      </w:pPr>
      <w:r>
        <w:rPr>
          <w:rFonts w:ascii="Arial" w:cs="Arial" w:eastAsia="Arial" w:hAnsi="Arial"/>
          <w:sz w:val="14"/>
          <w:szCs w:val="14"/>
          <w:i w:val="1"/>
          <w:iCs w:val="1"/>
          <w:color w:val="auto"/>
        </w:rPr>
        <w:t xml:space="preserve">Collaboration and License Agreements, </w:t>
      </w:r>
      <w:r>
        <w:rPr>
          <w:rFonts w:ascii="Arial" w:cs="Arial" w:eastAsia="Arial" w:hAnsi="Arial"/>
          <w:sz w:val="14"/>
          <w:szCs w:val="14"/>
          <w:color w:val="auto"/>
        </w:rPr>
        <w:t>for a description of the agreements</w:t>
      </w:r>
      <w:r>
        <w:rPr>
          <w:rFonts w:ascii="Arial" w:cs="Arial" w:eastAsia="Arial" w:hAnsi="Arial"/>
          <w:sz w:val="14"/>
          <w:szCs w:val="14"/>
          <w:i w:val="1"/>
          <w:iCs w:val="1"/>
          <w:color w:val="auto"/>
        </w:rPr>
        <w:t>)</w:t>
      </w:r>
      <w:r>
        <w:rPr>
          <w:rFonts w:ascii="Arial" w:cs="Arial" w:eastAsia="Arial" w:hAnsi="Arial"/>
          <w:sz w:val="14"/>
          <w:szCs w:val="14"/>
          <w:color w:val="auto"/>
        </w:rPr>
        <w:t>. The Company made another $5.0 million payment in June 2025 on the first anniversary of signing.</w:t>
      </w:r>
      <w:r>
        <w:rPr>
          <w:rFonts w:ascii="Arial" w:cs="Arial" w:eastAsia="Arial" w:hAnsi="Arial"/>
          <w:sz w:val="14"/>
          <w:szCs w:val="14"/>
          <w:i w:val="1"/>
          <w:iCs w:val="1"/>
          <w:color w:val="auto"/>
        </w:rPr>
        <w:t xml:space="preserve"> </w:t>
      </w:r>
      <w:r>
        <w:rPr>
          <w:rFonts w:ascii="Arial" w:cs="Arial" w:eastAsia="Arial" w:hAnsi="Arial"/>
          <w:sz w:val="14"/>
          <w:szCs w:val="14"/>
          <w:color w:val="auto"/>
        </w:rPr>
        <w:t>Thereafter, the Company will also pay to Yale (1) up to $15.0 million if it secures approval of the first and second royalty products (as defined in the Amended License Agreement),</w:t>
      </w:r>
    </w:p>
    <w:p>
      <w:pPr>
        <w:spacing w:after="0" w:line="1" w:lineRule="exact"/>
        <w:rPr>
          <w:sz w:val="20"/>
          <w:szCs w:val="20"/>
          <w:color w:val="auto"/>
        </w:rPr>
      </w:pPr>
    </w:p>
    <w:p>
      <w:pPr>
        <w:ind w:right="40" w:firstLine="5"/>
        <w:spacing w:after="0" w:line="269" w:lineRule="auto"/>
        <w:tabs>
          <w:tab w:leader="none" w:pos="212"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low single digit percentage royalty on certain, more narrowly defined “collaboration products,” and (3) a lower single digit royalty on its aggregate worldwide net sales of certain newly defined “meaningfully involved products.”</w:t>
      </w:r>
    </w:p>
    <w:p>
      <w:pPr>
        <w:spacing w:after="0" w:line="13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Company’s obligations under the Original Agreement to pay Yale minimum annual royalties and certain other annual fees have been eliminated and Yale has agreed to release all claims arising previously under the Original Agreement. Other provisions of the Original Agreement remain materially unchanged under the Amended License Agreement, including the 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$ 3.0 million for the first licensed product and approximately $1.5 million for the second licensed product, certain of which milestones have already been satisfied, and low single-digit royalties on aggregate worldwide net sales of certain licensed products, which may be subject to reductions, and subject to minimum royalty payments that range from $0.2 million to $0.5 million.</w:t>
      </w:r>
    </w:p>
    <w:p>
      <w:pPr>
        <w:spacing w:after="0" w:line="142" w:lineRule="exact"/>
        <w:rPr>
          <w:sz w:val="20"/>
          <w:szCs w:val="20"/>
          <w:color w:val="auto"/>
        </w:rPr>
      </w:pPr>
    </w:p>
    <w:p>
      <w:pPr>
        <w:jc w:val="both"/>
        <w:ind w:right="480" w:firstLine="509"/>
        <w:spacing w:after="0" w:line="271" w:lineRule="auto"/>
        <w:rPr>
          <w:sz w:val="20"/>
          <w:szCs w:val="20"/>
          <w:color w:val="auto"/>
        </w:rPr>
      </w:pPr>
      <w:r>
        <w:rPr>
          <w:rFonts w:ascii="Arial" w:cs="Arial" w:eastAsia="Arial" w:hAnsi="Arial"/>
          <w:sz w:val="14"/>
          <w:szCs w:val="14"/>
          <w:color w:val="auto"/>
        </w:rPr>
        <w:t>During each of the years ended December 31, 2025, 2024 and 2023, the Company recognized expenses under the license agreement totaling $0.7 million, zero and $0.3 million, respectively, under the license agreement. The payment made in the year ended December 31, 2024 included the payment made in connection with signing the Amended License Agreement, as summarized above.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13. Net Loss Per Share</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Basic and diluted loss per common share was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and shares in millions, except per common share amounts)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4"/>
                <w:szCs w:val="14"/>
                <w:color w:val="auto"/>
                <w:w w:val="98"/>
              </w:rPr>
              <w:t>(80.8)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18"/>
        </w:trPr>
        <w:tc>
          <w:tcPr>
            <w:tcW w:w="6340" w:type="dxa"/>
            <w:vAlign w:val="bottom"/>
          </w:tcPr>
          <w:p>
            <w:pPr>
              <w:ind w:left="20"/>
              <w:spacing w:after="0" w:line="118" w:lineRule="exact"/>
              <w:rPr>
                <w:sz w:val="20"/>
                <w:szCs w:val="20"/>
                <w:color w:val="auto"/>
              </w:rPr>
            </w:pPr>
            <w:r>
              <w:rPr>
                <w:rFonts w:ascii="Arial" w:cs="Arial" w:eastAsia="Arial" w:hAnsi="Arial"/>
                <w:sz w:val="13"/>
                <w:szCs w:val="13"/>
                <w:color w:val="auto"/>
              </w:rPr>
              <w:t>Weighted-average common shares outstanding</w:t>
            </w:r>
          </w:p>
        </w:tc>
        <w:tc>
          <w:tcPr>
            <w:tcW w:w="380" w:type="dxa"/>
            <w:vAlign w:val="bottom"/>
          </w:tcPr>
          <w:p>
            <w:pPr>
              <w:spacing w:after="0"/>
              <w:rPr>
                <w:sz w:val="10"/>
                <w:szCs w:val="10"/>
                <w:color w:val="auto"/>
              </w:rPr>
            </w:pPr>
          </w:p>
        </w:tc>
        <w:tc>
          <w:tcPr>
            <w:tcW w:w="1220" w:type="dxa"/>
            <w:vAlign w:val="bottom"/>
            <w:vMerge w:val="restart"/>
          </w:tcPr>
          <w:p>
            <w:pPr>
              <w:jc w:val="center"/>
              <w:ind w:left="753"/>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91"/>
        </w:trPr>
        <w:tc>
          <w:tcPr>
            <w:tcW w:w="63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 basic and diluted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Net loss per common share</w:t>
            </w:r>
          </w:p>
        </w:tc>
        <w:tc>
          <w:tcPr>
            <w:tcW w:w="3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center"/>
              <w:ind w:left="713"/>
              <w:spacing w:after="0"/>
              <w:rPr>
                <w:sz w:val="20"/>
                <w:szCs w:val="20"/>
                <w:color w:val="auto"/>
              </w:rPr>
            </w:pPr>
            <w:r>
              <w:rPr>
                <w:rFonts w:ascii="Arial" w:cs="Arial" w:eastAsia="Arial" w:hAnsi="Arial"/>
                <w:sz w:val="14"/>
                <w:szCs w:val="14"/>
                <w:color w:val="auto"/>
                <w:w w:val="98"/>
              </w:rPr>
              <w:t>(1.14)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 basic and diluted</w:t>
            </w: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Treasury shares are not considered outstanding and are excluded from the calculation of basic and diluted loss per common share.</w:t>
      </w:r>
    </w:p>
    <w:p>
      <w:pPr>
        <w:spacing w:after="0" w:line="179"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 xml:space="preserve">The weighted-average number of common shares included in the computation of basic and diluted net loss per common share for the years ended December 31, 2024 and 2023 gave effect to pre-funded warrants which allowed holders to acquire a specified number of common shares at a nominal exercise price of $0.001 per share and were classified as equity. The shares underlying the pre-funded warrants were exercisable for little or no consideration and therefore the underlying shares were considered outstanding at the issuance of the pre-funded warrants for purposes of calculating the weighted-average number of common shares outstanding in basic and diluted net loss per share for common share. As of December 31, 2025, all outstanding pre-funded warrants had been cashless exercised for no consideration. See Note 9, </w:t>
      </w:r>
      <w:r>
        <w:rPr>
          <w:rFonts w:ascii="Arial" w:cs="Arial" w:eastAsia="Arial" w:hAnsi="Arial"/>
          <w:sz w:val="14"/>
          <w:szCs w:val="14"/>
          <w:i w:val="1"/>
          <w:iCs w:val="1"/>
          <w:color w:val="auto"/>
        </w:rPr>
        <w:t>Equity.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82" w:name="page183"/>
    <w:bookmarkEnd w:id="182"/>
    <w:p>
      <w:pPr>
        <w:ind w:right="780" w:firstLine="491"/>
        <w:spacing w:after="0" w:line="290" w:lineRule="auto"/>
        <w:rPr>
          <w:sz w:val="20"/>
          <w:szCs w:val="20"/>
          <w:color w:val="auto"/>
        </w:rPr>
      </w:pPr>
      <w:r>
        <w:rPr>
          <w:rFonts w:ascii="Arial" w:cs="Arial" w:eastAsia="Arial" w:hAnsi="Arial"/>
          <w:sz w:val="14"/>
          <w:szCs w:val="14"/>
          <w:color w:val="auto"/>
        </w:rPr>
        <w:t>The Company reported net losses for each of the years ended December 31, 2025, 2024 and 2023, and therefore excluded all stock options and RSUs from the computation of diluted net loss per common share as their inclusion would have had an anti-dilutive effect, as summarized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4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1580" w:type="dxa"/>
            <w:vAlign w:val="bottom"/>
            <w:tcBorders>
              <w:bottom w:val="single" w:sz="8" w:color="auto"/>
            </w:tcBorders>
          </w:tcPr>
          <w:p>
            <w:pPr>
              <w:spacing w:after="0"/>
              <w:rPr>
                <w:sz w:val="13"/>
                <w:szCs w:val="13"/>
                <w:color w:val="auto"/>
              </w:rPr>
            </w:pPr>
          </w:p>
        </w:tc>
      </w:tr>
      <w:tr>
        <w:trPr>
          <w:trHeight w:val="15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(shares in millions)</w:t>
            </w:r>
          </w:p>
        </w:tc>
        <w:tc>
          <w:tcPr>
            <w:tcW w:w="160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7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RSUs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63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14. Restructuring Activity</w:t>
      </w:r>
    </w:p>
    <w:p>
      <w:pPr>
        <w:spacing w:after="0" w:line="17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the second quarter of 2025, the Company committed to and approved a reduction of the Company’s workforce by approximately 33% across all areas of the Company, as part of the Company’s decision to streamline operations across the organization and enable the efficient progression of the Company’s portfolio. This decision was made following a strategic review aimed at reducing internal costs while minimally impacting the Company's targeted clinical stage programs to drive value over the next several years by aligning the Company's operations with long-term program development objectives. As of June 30, 2025, these restructuring activities were substantially completed.</w:t>
      </w:r>
    </w:p>
    <w:p>
      <w:pPr>
        <w:spacing w:after="0" w:line="138"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In September 2025, the Company announced an update on its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supporting activities required for commercialization readiness and identification, with Pfizer, of a third party for the commercialization and potential further development of vepdegestrant; reducing the Company's workforce by an additional 15% to streamline operations, with the most significant reductions being roles related to vepdegestrant commercialization; and proactively managing pipeline cost by seeking strategic business development opportunities and by identifying further efficiencies across the business. The September 2025 workforce reduction was substantially completed in the first quarter of 2026.</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Components of Restructuring Charges</w:t>
      </w:r>
    </w:p>
    <w:p>
      <w:pPr>
        <w:spacing w:after="0" w:line="177" w:lineRule="exact"/>
        <w:rPr>
          <w:sz w:val="20"/>
          <w:szCs w:val="20"/>
          <w:color w:val="auto"/>
        </w:rPr>
      </w:pPr>
    </w:p>
    <w:p>
      <w:pPr>
        <w:ind w:right="40" w:firstLine="509"/>
        <w:spacing w:after="0" w:line="265" w:lineRule="auto"/>
        <w:rPr>
          <w:sz w:val="20"/>
          <w:szCs w:val="20"/>
          <w:color w:val="auto"/>
        </w:rPr>
      </w:pPr>
      <w:r>
        <w:rPr>
          <w:rFonts w:ascii="Arial" w:cs="Arial" w:eastAsia="Arial" w:hAnsi="Arial"/>
          <w:sz w:val="14"/>
          <w:szCs w:val="14"/>
          <w:color w:val="auto"/>
        </w:rPr>
        <w:t>During the year ended December 31, 2025, the Company recognized net restructuring charges of $3.7 million, including $15.3 million of cash severance and other one-time employee related termination benefit related to the workforce reduction, partially offset by a reversal of $11.6 million of non-cash stock compensation and bonus expenses, of which $2.3 million of charges are reflected in research and development expenses and $1.3 million of a reversal of previously recognized expense reflected in general and administrative expenses in the accompanying consolidated statement of operations. The Company recognized no restructuring charges during the years ended December 31, 2024 and 2023.</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restructuring accrual totaled $4.4 million and zero as of December 31, 2025 and 2024,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15. Segment Information</w:t>
      </w:r>
    </w:p>
    <w:p>
      <w:pPr>
        <w:spacing w:after="0" w:line="92"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 xml:space="preserve">The Company's operations are organized into one operating and reportable segment focused on the discovery, development and commercialization of therapies that degrade disease-causing proteins. The segment develops protein degradation therapies designed to harness the body's natural protein disposal system to selectively and efficiently degrade and remove disease-causing protein through the Company's PROTAC (PROteolysis TArgeting Chimera) protein degrader platform. The Company is progressing multiple product candidates through clinical development programs, including ARV-102, targeting the leucine-rich repeat kinase 2 protein for the treatment of neurodegenerative diseases; ARV-806, targeting Kirsten rat sarcoma G12D protein for cancers with the G12D mutation, including pancreatic, colorectal and non-small cell lung cancers; ARV-393, targeting the B-cell lymphoma 6 protein for the treatment of relapsed/refractory non-Hodgkin Lymphoma; ARV-027, targeting the polyQ-AR in skeletal muscle and specifically selected for potent </w:t>
      </w:r>
      <w:r>
        <w:rPr>
          <w:rFonts w:ascii="Arial" w:cs="Arial" w:eastAsia="Arial" w:hAnsi="Arial"/>
          <w:sz w:val="14"/>
          <w:szCs w:val="14"/>
          <w:i w:val="1"/>
          <w:iCs w:val="1"/>
          <w:color w:val="auto"/>
        </w:rPr>
        <w:t>in vitro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83" w:name="page184"/>
    <w:bookmarkEnd w:id="183"/>
    <w:p>
      <w:pPr>
        <w:ind w:right="140"/>
        <w:spacing w:after="0" w:line="265" w:lineRule="auto"/>
        <w:rPr>
          <w:sz w:val="20"/>
          <w:szCs w:val="20"/>
          <w:color w:val="auto"/>
        </w:rPr>
      </w:pPr>
      <w:r>
        <w:rPr>
          <w:rFonts w:ascii="Arial" w:cs="Arial" w:eastAsia="Arial" w:hAnsi="Arial"/>
          <w:sz w:val="14"/>
          <w:szCs w:val="14"/>
          <w:color w:val="auto"/>
        </w:rPr>
        <w:t>reduction of cytosolic and nuclear polyQ-AR and for favorable skeletal muscle exposure following oral administration; and vepdegestrant, targeting the estrogen receptor for the treatment of locally advanced or metastatic ER positive / human epidermal growth factor receptor 2 negative breast cancer. The Company's tangible assets are held in the United States and all of the Company's revenue has been generated in the United States. The Company manages all business activities on a consolidated basis. The Company's chief operating decision maker is the Chief Executive Officer.</w:t>
      </w:r>
    </w:p>
    <w:p>
      <w:pPr>
        <w:spacing w:after="0" w:line="138"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The operating segment's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Revenue is recognized ratably over the Company’s expected performance period under each respective arrangement. The Company also generated revenue through the sale of assets based on fair value. The Company does not have intra-entity sales or transfers.</w:t>
      </w:r>
    </w:p>
    <w:p>
      <w:pPr>
        <w:spacing w:after="0" w:line="14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4"/>
          <w:szCs w:val="14"/>
          <w:color w:val="auto"/>
        </w:rPr>
        <w:t xml:space="preserve">The accounting policies of the operating segment are the same as those described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The chief operating decision maker evaluates the performance of the operating segment and allocates resources based on net income/ loss that also is reported on the consolidated income statement as net loss. The measure of the operating segment assets is reported on the consolidated balance sheet as total assets.</w:t>
      </w:r>
    </w:p>
    <w:p>
      <w:pPr>
        <w:spacing w:after="0" w:line="134"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The chief operating decision maker uses net loss to monitor budget versus actual results and to analyze cash flows in assessing performance of the segment and allocating resources.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184" w:name="page185"/>
    <w:bookmarkEnd w:id="184"/>
    <w:p>
      <w:pPr>
        <w:ind w:left="520"/>
        <w:spacing w:after="0"/>
        <w:rPr>
          <w:sz w:val="20"/>
          <w:szCs w:val="20"/>
          <w:color w:val="auto"/>
        </w:rPr>
      </w:pPr>
      <w:r>
        <w:rPr>
          <w:rFonts w:ascii="Arial" w:cs="Arial" w:eastAsia="Arial" w:hAnsi="Arial"/>
          <w:sz w:val="14"/>
          <w:szCs w:val="14"/>
          <w:color w:val="auto"/>
        </w:rPr>
        <w:t>The following table summarizes the reportable segment's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r>
      <w:tr>
        <w:trPr>
          <w:trHeight w:val="19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r>
      <w:tr>
        <w:trPr>
          <w:trHeight w:val="197"/>
        </w:trPr>
        <w:tc>
          <w:tcPr>
            <w:tcW w:w="6660" w:type="dxa"/>
            <w:vAlign w:val="bottom"/>
          </w:tcPr>
          <w:p>
            <w:pPr>
              <w:ind w:left="20"/>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Research and development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7"/>
        </w:trPr>
        <w:tc>
          <w:tcPr>
            <w:tcW w:w="6660" w:type="dxa"/>
            <w:vAlign w:val="bottom"/>
          </w:tcPr>
          <w:p>
            <w:pPr>
              <w:ind w:left="360"/>
              <w:spacing w:after="0"/>
              <w:rPr>
                <w:sz w:val="20"/>
                <w:szCs w:val="20"/>
                <w:color w:val="auto"/>
              </w:rPr>
            </w:pPr>
            <w:r>
              <w:rPr>
                <w:rFonts w:ascii="Arial" w:cs="Arial" w:eastAsia="Arial" w:hAnsi="Arial"/>
                <w:sz w:val="14"/>
                <w:szCs w:val="14"/>
                <w:color w:val="auto"/>
              </w:rPr>
              <w:t>Program-specific external expense: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76"/>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Vepdegestrant (ARV-471) (*)</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w:t>
            </w:r>
          </w:p>
        </w:tc>
      </w:tr>
      <w:tr>
        <w:trPr>
          <w:trHeight w:val="197"/>
        </w:trPr>
        <w:tc>
          <w:tcPr>
            <w:tcW w:w="6660" w:type="dxa"/>
            <w:vAlign w:val="bottom"/>
          </w:tcPr>
          <w:p>
            <w:pPr>
              <w:ind w:left="520"/>
              <w:spacing w:after="0"/>
              <w:rPr>
                <w:sz w:val="20"/>
                <w:szCs w:val="20"/>
                <w:color w:val="auto"/>
              </w:rPr>
            </w:pPr>
            <w:r>
              <w:rPr>
                <w:rFonts w:ascii="Arial" w:cs="Arial" w:eastAsia="Arial" w:hAnsi="Arial"/>
                <w:sz w:val="14"/>
                <w:szCs w:val="14"/>
                <w:color w:val="auto"/>
              </w:rPr>
              <w:t>ARV-102</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6"/>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ARV-806</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660" w:type="dxa"/>
            <w:vAlign w:val="bottom"/>
          </w:tcPr>
          <w:p>
            <w:pPr>
              <w:ind w:left="520"/>
              <w:spacing w:after="0"/>
              <w:rPr>
                <w:sz w:val="20"/>
                <w:szCs w:val="20"/>
                <w:color w:val="auto"/>
              </w:rPr>
            </w:pPr>
            <w:r>
              <w:rPr>
                <w:rFonts w:ascii="Arial" w:cs="Arial" w:eastAsia="Arial" w:hAnsi="Arial"/>
                <w:sz w:val="14"/>
                <w:szCs w:val="14"/>
                <w:color w:val="auto"/>
              </w:rPr>
              <w:t>ARV-393</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6"/>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Bavdegalutamide (ARV-110)</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97"/>
        </w:trPr>
        <w:tc>
          <w:tcPr>
            <w:tcW w:w="6660" w:type="dxa"/>
            <w:vAlign w:val="bottom"/>
          </w:tcPr>
          <w:p>
            <w:pPr>
              <w:ind w:left="520"/>
              <w:spacing w:after="0"/>
              <w:rPr>
                <w:sz w:val="20"/>
                <w:szCs w:val="20"/>
                <w:color w:val="auto"/>
              </w:rPr>
            </w:pPr>
            <w:r>
              <w:rPr>
                <w:rFonts w:ascii="Arial" w:cs="Arial" w:eastAsia="Arial" w:hAnsi="Arial"/>
                <w:sz w:val="14"/>
                <w:szCs w:val="14"/>
                <w:color w:val="auto"/>
              </w:rPr>
              <w:t>Luxdegalutamide (ARV-766)</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6"/>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programs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660" w:type="dxa"/>
            <w:vAlign w:val="bottom"/>
          </w:tcPr>
          <w:p>
            <w:pPr>
              <w:ind w:left="520"/>
              <w:spacing w:after="0"/>
              <w:rPr>
                <w:sz w:val="20"/>
                <w:szCs w:val="20"/>
                <w:color w:val="auto"/>
              </w:rPr>
            </w:pPr>
            <w:r>
              <w:rPr>
                <w:rFonts w:ascii="Arial" w:cs="Arial" w:eastAsia="Arial" w:hAnsi="Arial"/>
                <w:sz w:val="14"/>
                <w:szCs w:val="14"/>
                <w:color w:val="auto"/>
              </w:rPr>
              <w:t>Non program-specific external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72.4</w:t>
            </w:r>
          </w:p>
        </w:tc>
      </w:tr>
      <w:tr>
        <w:trPr>
          <w:trHeight w:val="170"/>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Compensation and related personnel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5"/>
        </w:trPr>
        <w:tc>
          <w:tcPr>
            <w:tcW w:w="6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(including stock-based compensation)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197"/>
        </w:trPr>
        <w:tc>
          <w:tcPr>
            <w:tcW w:w="66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research and development expense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r>
      <w:tr>
        <w:trPr>
          <w:trHeight w:val="197"/>
        </w:trPr>
        <w:tc>
          <w:tcPr>
            <w:tcW w:w="6660" w:type="dxa"/>
            <w:vAlign w:val="bottom"/>
            <w:shd w:val="clear" w:color="auto" w:fill="CCEEFF"/>
          </w:tcPr>
          <w:p>
            <w:pPr>
              <w:ind w:left="700"/>
              <w:spacing w:after="0"/>
              <w:rPr>
                <w:sz w:val="20"/>
                <w:szCs w:val="20"/>
                <w:color w:val="auto"/>
              </w:rPr>
            </w:pPr>
            <w:r>
              <w:rPr>
                <w:rFonts w:ascii="Arial" w:cs="Arial" w:eastAsia="Arial" w:hAnsi="Arial"/>
                <w:sz w:val="14"/>
                <w:szCs w:val="14"/>
                <w:b w:val="1"/>
                <w:bCs w:val="1"/>
                <w:color w:val="auto"/>
              </w:rPr>
              <w:t>Total research and development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w:t>
            </w:r>
          </w:p>
        </w:tc>
      </w:tr>
      <w:tr>
        <w:trPr>
          <w:trHeight w:val="202"/>
        </w:trPr>
        <w:tc>
          <w:tcPr>
            <w:tcW w:w="6660" w:type="dxa"/>
            <w:vAlign w:val="bottom"/>
          </w:tcPr>
          <w:p>
            <w:pPr>
              <w:ind w:left="180"/>
              <w:spacing w:after="0"/>
              <w:rPr>
                <w:sz w:val="20"/>
                <w:szCs w:val="20"/>
                <w:color w:val="auto"/>
              </w:rPr>
            </w:pPr>
            <w:r>
              <w:rPr>
                <w:rFonts w:ascii="Arial" w:cs="Arial" w:eastAsia="Arial" w:hAnsi="Arial"/>
                <w:sz w:val="14"/>
                <w:szCs w:val="14"/>
                <w:b w:val="1"/>
                <w:bCs w:val="1"/>
                <w:color w:val="auto"/>
              </w:rPr>
              <w:t>General and administrative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100.3</w:t>
            </w:r>
          </w:p>
        </w:tc>
      </w:tr>
      <w:tr>
        <w:trPr>
          <w:trHeight w:val="20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Other segment expense, net (**)</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2"/>
        </w:trPr>
        <w:tc>
          <w:tcPr>
            <w:tcW w:w="6660" w:type="dxa"/>
            <w:vAlign w:val="bottom"/>
          </w:tcPr>
          <w:p>
            <w:pPr>
              <w:ind w:left="180"/>
              <w:spacing w:after="0"/>
              <w:rPr>
                <w:sz w:val="20"/>
                <w:szCs w:val="20"/>
                <w:color w:val="auto"/>
              </w:rPr>
            </w:pPr>
            <w:r>
              <w:rPr>
                <w:rFonts w:ascii="Arial" w:cs="Arial" w:eastAsia="Arial" w:hAnsi="Arial"/>
                <w:sz w:val="14"/>
                <w:szCs w:val="14"/>
                <w:b w:val="1"/>
                <w:bCs w:val="1"/>
                <w:color w:val="auto"/>
              </w:rPr>
              <w:t>Income tax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Loss from equity method investment</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7"/>
        </w:trPr>
        <w:tc>
          <w:tcPr>
            <w:tcW w:w="6660" w:type="dxa"/>
            <w:vAlign w:val="bottom"/>
          </w:tcPr>
          <w:p>
            <w:pPr>
              <w:ind w:left="20"/>
              <w:spacing w:after="0"/>
              <w:rPr>
                <w:sz w:val="20"/>
                <w:szCs w:val="20"/>
                <w:color w:val="auto"/>
              </w:rPr>
            </w:pPr>
            <w:r>
              <w:rPr>
                <w:rFonts w:ascii="Arial" w:cs="Arial" w:eastAsia="Arial" w:hAnsi="Arial"/>
                <w:sz w:val="14"/>
                <w:szCs w:val="14"/>
                <w:color w:val="auto"/>
              </w:rPr>
              <w:t>Plus: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Interest income, net</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93"/>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Segment net loss</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right="420" w:hanging="255"/>
        <w:spacing w:after="0" w:line="290" w:lineRule="auto"/>
        <w:tabs>
          <w:tab w:leader="none" w:pos="312"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net reimbursement to and from Pfizer pursuant to the Vepdegestrant (ARV-471) Collaboration Agreement which are accounted for pursuant to ASC 808 and are recorded as an offset or an increase to research and development expenses.</w:t>
      </w:r>
    </w:p>
    <w:p>
      <w:pPr>
        <w:spacing w:after="0" w:line="35" w:lineRule="exact"/>
        <w:rPr>
          <w:sz w:val="20"/>
          <w:szCs w:val="20"/>
          <w:color w:val="auto"/>
        </w:rPr>
      </w:pPr>
    </w:p>
    <w:p>
      <w:pPr>
        <w:ind w:left="260" w:right="700" w:hanging="255"/>
        <w:spacing w:after="0" w:line="290" w:lineRule="auto"/>
        <w:tabs>
          <w:tab w:leader="none" w:pos="367"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loss on disposal of fixed assets, realized gains/ losses on sale of marketable securities and refundable research and development credits from the State of Connecticut.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and amortization expense totaled $3.0 million, $4.6 million, and $4.8 million for the years ended December 31, 2025, 2024 and 2023,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- 31</w:t>
      </w:r>
    </w:p>
    <w:p>
      <w:pPr>
        <w:sectPr>
          <w:pgSz w:w="11900" w:h="16838" w:orient="portrait"/>
          <w:cols w:equalWidth="0" w:num="1">
            <w:col w:w="11280"/>
          </w:cols>
          <w:pgMar w:left="300" w:top="931" w:right="319" w:bottom="1440"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Name of Subsidiary</w:t>
            </w:r>
          </w:p>
        </w:tc>
        <w:tc>
          <w:tcPr>
            <w:tcW w:w="434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State of Incorporation</w:t>
            </w:r>
          </w:p>
        </w:tc>
      </w:tr>
      <w:tr>
        <w:trPr>
          <w:trHeight w:val="405"/>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Arvinas Operations, Inc.</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2"/>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Arvinas Androgen Receptor, Inc.</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2"/>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Arvinas Estrogen Receptor, Inc.</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Arvinas Winchester, Inc.</w:t>
            </w: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60"/>
          </w:cols>
          <w:pgMar w:left="320" w:top="1122"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2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333-234031, 333-234035, 333-251326, 333-275377 and 333-275945 on Form S-3 and Registration Statement Nos. 333-227555, 333-231388, 333-237215, 333-253721, 333-263095, 333-270010, 333-276519, 333-278044, 333-280537 and 333-284848 on Form S-8 of our reports dated February 24, 2026 relating to the consolidated financial statements of Arvinas, Inc. and subsidiaries (the “Company”) and the effectiveness of the Company’s internal control over financial reporting appearing in this Annual Report on Form 10-K for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ectPr>
          <w:pgSz w:w="11900" w:h="16838" w:orient="portrait"/>
          <w:cols w:equalWidth="0" w:num="1">
            <w:col w:w="11280"/>
          </w:cols>
          <w:pgMar w:left="300" w:top="112"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4"/>
          <w:szCs w:val="14"/>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 Randy Teel, Ph.D., certify that:</w:t>
      </w:r>
    </w:p>
    <w:p>
      <w:pPr>
        <w:spacing w:after="0" w:line="179" w:lineRule="exact"/>
        <w:rPr>
          <w:sz w:val="20"/>
          <w:szCs w:val="20"/>
          <w:color w:val="auto"/>
        </w:rPr>
      </w:pPr>
    </w:p>
    <w:p>
      <w:pPr>
        <w:ind w:left="500" w:hanging="495"/>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Arvinas, Inc.;</w:t>
      </w:r>
    </w:p>
    <w:p>
      <w:pPr>
        <w:spacing w:after="0" w:line="178" w:lineRule="exact"/>
        <w:rPr>
          <w:rFonts w:ascii="Arial" w:cs="Arial" w:eastAsia="Arial" w:hAnsi="Arial"/>
          <w:sz w:val="14"/>
          <w:szCs w:val="14"/>
          <w:color w:val="auto"/>
        </w:rPr>
      </w:pPr>
    </w:p>
    <w:p>
      <w:pPr>
        <w:ind w:left="520" w:right="20" w:hanging="515"/>
        <w:spacing w:after="0" w:line="290" w:lineRule="auto"/>
        <w:tabs>
          <w:tab w:leader="none" w:pos="51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80" w:hanging="515"/>
        <w:spacing w:after="0" w:line="290" w:lineRule="auto"/>
        <w:tabs>
          <w:tab w:leader="none" w:pos="51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520" w:right="280" w:hanging="515"/>
        <w:spacing w:after="0" w:line="290" w:lineRule="auto"/>
        <w:tabs>
          <w:tab w:leader="none" w:pos="51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4"/>
          <w:szCs w:val="14"/>
          <w:color w:val="auto"/>
        </w:rPr>
      </w:pPr>
    </w:p>
    <w:p>
      <w:pPr>
        <w:ind w:left="1020" w:right="360" w:hanging="506"/>
        <w:spacing w:after="0" w:line="271" w:lineRule="auto"/>
        <w:tabs>
          <w:tab w:leader="none" w:pos="101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4"/>
          <w:szCs w:val="14"/>
          <w:color w:val="auto"/>
        </w:rPr>
      </w:pPr>
    </w:p>
    <w:p>
      <w:pPr>
        <w:ind w:left="1020" w:right="180" w:hanging="506"/>
        <w:spacing w:after="0" w:line="271" w:lineRule="auto"/>
        <w:tabs>
          <w:tab w:leader="none" w:pos="101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4"/>
          <w:szCs w:val="14"/>
          <w:color w:val="auto"/>
        </w:rPr>
      </w:pPr>
    </w:p>
    <w:p>
      <w:pPr>
        <w:ind w:left="1020" w:right="520" w:hanging="506"/>
        <w:spacing w:after="0" w:line="290" w:lineRule="auto"/>
        <w:tabs>
          <w:tab w:leader="none" w:pos="1015"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left="1020" w:right="20" w:hanging="506"/>
        <w:spacing w:after="0" w:line="271" w:lineRule="auto"/>
        <w:tabs>
          <w:tab w:leader="none" w:pos="101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left="520" w:right="160" w:hanging="515"/>
        <w:spacing w:after="0" w:line="290" w:lineRule="auto"/>
        <w:tabs>
          <w:tab w:leader="none" w:pos="51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left="1020" w:right="260" w:hanging="506"/>
        <w:spacing w:after="0" w:line="290" w:lineRule="auto"/>
        <w:tabs>
          <w:tab w:leader="none" w:pos="101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4"/>
          <w:szCs w:val="14"/>
          <w:color w:val="auto"/>
        </w:rPr>
      </w:pPr>
    </w:p>
    <w:p>
      <w:pPr>
        <w:ind w:left="1020" w:right="500" w:hanging="506"/>
        <w:spacing w:after="0" w:line="290" w:lineRule="auto"/>
        <w:tabs>
          <w:tab w:leader="none" w:pos="101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400" w:val="left"/>
          <w:tab w:leader="none" w:pos="7900" w:val="left"/>
        </w:tabs>
        <w:rPr>
          <w:sz w:val="20"/>
          <w:szCs w:val="20"/>
          <w:color w:val="auto"/>
        </w:rPr>
      </w:pPr>
      <w:r>
        <w:rPr>
          <w:rFonts w:ascii="Arial" w:cs="Arial" w:eastAsia="Arial" w:hAnsi="Arial"/>
          <w:sz w:val="14"/>
          <w:szCs w:val="14"/>
          <w:color w:val="auto"/>
        </w:rPr>
        <w:t>Date: February 24,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28575</wp:posOffset>
            </wp:positionV>
            <wp:extent cx="341566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Randy Teel, Ph.D.</w:t>
      </w:r>
    </w:p>
    <w:p>
      <w:pPr>
        <w:spacing w:after="0" w:line="41"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80"/>
          </w:cols>
          <w:pgMar w:left="300" w:top="761"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 Andrew Saik, certify that:</w:t>
      </w:r>
    </w:p>
    <w:p>
      <w:pPr>
        <w:spacing w:after="0" w:line="179" w:lineRule="exact"/>
        <w:rPr>
          <w:sz w:val="20"/>
          <w:szCs w:val="20"/>
          <w:color w:val="auto"/>
        </w:rPr>
      </w:pPr>
    </w:p>
    <w:p>
      <w:pPr>
        <w:ind w:left="500" w:hanging="495"/>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Arvinas, Inc.;</w:t>
      </w:r>
    </w:p>
    <w:p>
      <w:pPr>
        <w:spacing w:after="0" w:line="178" w:lineRule="exact"/>
        <w:rPr>
          <w:rFonts w:ascii="Arial" w:cs="Arial" w:eastAsia="Arial" w:hAnsi="Arial"/>
          <w:sz w:val="14"/>
          <w:szCs w:val="14"/>
          <w:color w:val="auto"/>
        </w:rPr>
      </w:pPr>
    </w:p>
    <w:p>
      <w:pPr>
        <w:ind w:left="520" w:right="20" w:hanging="515"/>
        <w:spacing w:after="0" w:line="290" w:lineRule="auto"/>
        <w:tabs>
          <w:tab w:leader="none" w:pos="51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80" w:hanging="515"/>
        <w:spacing w:after="0" w:line="290" w:lineRule="auto"/>
        <w:tabs>
          <w:tab w:leader="none" w:pos="51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520" w:right="280" w:hanging="515"/>
        <w:spacing w:after="0" w:line="290" w:lineRule="auto"/>
        <w:tabs>
          <w:tab w:leader="none" w:pos="51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4"/>
          <w:szCs w:val="14"/>
          <w:color w:val="auto"/>
        </w:rPr>
      </w:pPr>
    </w:p>
    <w:p>
      <w:pPr>
        <w:ind w:left="1020" w:right="360" w:hanging="506"/>
        <w:spacing w:after="0" w:line="271" w:lineRule="auto"/>
        <w:tabs>
          <w:tab w:leader="none" w:pos="101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4"/>
          <w:szCs w:val="14"/>
          <w:color w:val="auto"/>
        </w:rPr>
      </w:pPr>
    </w:p>
    <w:p>
      <w:pPr>
        <w:ind w:left="1020" w:right="180" w:hanging="506"/>
        <w:spacing w:after="0" w:line="271" w:lineRule="auto"/>
        <w:tabs>
          <w:tab w:leader="none" w:pos="101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4"/>
          <w:szCs w:val="14"/>
          <w:color w:val="auto"/>
        </w:rPr>
      </w:pPr>
    </w:p>
    <w:p>
      <w:pPr>
        <w:ind w:left="1020" w:right="520" w:hanging="506"/>
        <w:spacing w:after="0" w:line="290" w:lineRule="auto"/>
        <w:tabs>
          <w:tab w:leader="none" w:pos="1015" w:val="left"/>
        </w:tabs>
        <w:numPr>
          <w:ilvl w:val="1"/>
          <w:numId w:val="10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left="1020" w:right="20" w:hanging="506"/>
        <w:spacing w:after="0" w:line="271" w:lineRule="auto"/>
        <w:tabs>
          <w:tab w:leader="none" w:pos="101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left="520" w:right="160" w:hanging="515"/>
        <w:spacing w:after="0" w:line="290" w:lineRule="auto"/>
        <w:tabs>
          <w:tab w:leader="none" w:pos="51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left="1020" w:right="260" w:hanging="506"/>
        <w:spacing w:after="0" w:line="290" w:lineRule="auto"/>
        <w:tabs>
          <w:tab w:leader="none" w:pos="101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4"/>
          <w:szCs w:val="14"/>
          <w:color w:val="auto"/>
        </w:rPr>
      </w:pPr>
    </w:p>
    <w:p>
      <w:pPr>
        <w:ind w:left="1020" w:right="500" w:hanging="506"/>
        <w:spacing w:after="0" w:line="290" w:lineRule="auto"/>
        <w:tabs>
          <w:tab w:leader="none" w:pos="101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400" w:val="left"/>
          <w:tab w:leader="none" w:pos="8080" w:val="left"/>
        </w:tabs>
        <w:rPr>
          <w:sz w:val="20"/>
          <w:szCs w:val="20"/>
          <w:color w:val="auto"/>
        </w:rPr>
      </w:pPr>
      <w:r>
        <w:rPr>
          <w:rFonts w:ascii="Arial" w:cs="Arial" w:eastAsia="Arial" w:hAnsi="Arial"/>
          <w:sz w:val="14"/>
          <w:szCs w:val="14"/>
          <w:color w:val="auto"/>
        </w:rPr>
        <w:t>Date: February 24,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28575</wp:posOffset>
            </wp:positionV>
            <wp:extent cx="341566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42"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Andrew Saik</w:t>
      </w:r>
    </w:p>
    <w:p>
      <w:pPr>
        <w:spacing w:after="0" w:line="41"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80"/>
          </w:cols>
          <w:pgMar w:left="300" w:top="931"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5"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In connection with the Annual Report of Arvinas,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20" w:lineRule="exact"/>
        <w:rPr>
          <w:sz w:val="20"/>
          <w:szCs w:val="20"/>
          <w:color w:val="auto"/>
        </w:rPr>
      </w:pPr>
    </w:p>
    <w:p>
      <w:pPr>
        <w:ind w:left="1020" w:hanging="506"/>
        <w:spacing w:after="0"/>
        <w:tabs>
          <w:tab w:leader="none" w:pos="10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1020" w:hanging="506"/>
        <w:spacing w:after="0"/>
        <w:tabs>
          <w:tab w:leader="none" w:pos="10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400" w:val="left"/>
          <w:tab w:leader="none" w:pos="7900" w:val="left"/>
        </w:tabs>
        <w:rPr>
          <w:sz w:val="20"/>
          <w:szCs w:val="20"/>
          <w:color w:val="auto"/>
        </w:rPr>
      </w:pPr>
      <w:r>
        <w:rPr>
          <w:rFonts w:ascii="Arial" w:cs="Arial" w:eastAsia="Arial" w:hAnsi="Arial"/>
          <w:sz w:val="14"/>
          <w:szCs w:val="14"/>
          <w:color w:val="auto"/>
        </w:rPr>
        <w:t>Date: February 24,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28575</wp:posOffset>
            </wp:positionV>
            <wp:extent cx="341566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Randy Teel, Ph.D.</w:t>
      </w:r>
    </w:p>
    <w:p>
      <w:pPr>
        <w:spacing w:after="0" w:line="41"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80"/>
          </w:cols>
          <w:pgMar w:left="300" w:top="931"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4"/>
          <w:szCs w:val="14"/>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5" w:lineRule="exact"/>
        <w:rPr>
          <w:sz w:val="20"/>
          <w:szCs w:val="20"/>
          <w:color w:val="auto"/>
        </w:rPr>
      </w:pPr>
    </w:p>
    <w:p>
      <w:pPr>
        <w:ind w:right="300" w:firstLine="509"/>
        <w:spacing w:after="0" w:line="290" w:lineRule="auto"/>
        <w:rPr>
          <w:sz w:val="20"/>
          <w:szCs w:val="20"/>
          <w:color w:val="auto"/>
        </w:rPr>
      </w:pPr>
      <w:r>
        <w:rPr>
          <w:rFonts w:ascii="Arial" w:cs="Arial" w:eastAsia="Arial" w:hAnsi="Arial"/>
          <w:sz w:val="14"/>
          <w:szCs w:val="14"/>
          <w:color w:val="auto"/>
        </w:rPr>
        <w:t>In connection with the Annual Report of Arvinas,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20" w:lineRule="exact"/>
        <w:rPr>
          <w:sz w:val="20"/>
          <w:szCs w:val="20"/>
          <w:color w:val="auto"/>
        </w:rPr>
      </w:pPr>
    </w:p>
    <w:p>
      <w:pPr>
        <w:ind w:left="1020" w:hanging="506"/>
        <w:spacing w:after="0"/>
        <w:tabs>
          <w:tab w:leader="none" w:pos="10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1020" w:hanging="506"/>
        <w:spacing w:after="0"/>
        <w:tabs>
          <w:tab w:leader="none" w:pos="10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400" w:val="left"/>
          <w:tab w:leader="none" w:pos="8080" w:val="left"/>
        </w:tabs>
        <w:rPr>
          <w:sz w:val="20"/>
          <w:szCs w:val="20"/>
          <w:color w:val="auto"/>
        </w:rPr>
      </w:pPr>
      <w:r>
        <w:rPr>
          <w:rFonts w:ascii="Arial" w:cs="Arial" w:eastAsia="Arial" w:hAnsi="Arial"/>
          <w:sz w:val="14"/>
          <w:szCs w:val="14"/>
          <w:color w:val="auto"/>
        </w:rPr>
        <w:t>Date: February 24,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28575</wp:posOffset>
            </wp:positionV>
            <wp:extent cx="341566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3415665" cy="6985"/>
                    </a:xfrm>
                    <a:prstGeom prst="rect">
                      <a:avLst/>
                    </a:prstGeom>
                    <a:noFill/>
                  </pic:spPr>
                </pic:pic>
              </a:graphicData>
            </a:graphic>
          </wp:anchor>
        </w:drawing>
      </w:r>
    </w:p>
    <w:p>
      <w:pPr>
        <w:spacing w:after="0" w:line="42"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Andrew Saik</w:t>
      </w:r>
    </w:p>
    <w:p>
      <w:pPr>
        <w:spacing w:after="0" w:line="41"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80"/>
      </w:cols>
      <w:pgMar w:left="30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x"/>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lvl w:ilvl="1">
      <w:lvlJc w:val="left"/>
      <w:lvlText w:val="◦"/>
      <w:numFmt w:val="bullet"/>
      <w:start w:val="1"/>
    </w:lvl>
  </w:abstractNum>
  <w:abstractNum w:abstractNumId="27">
    <w:nsid w:val="25A70BF7"/>
    <w:multiLevelType w:val="hybridMultilevel"/>
    <w:lvl w:ilvl="0">
      <w:lvlJc w:val="left"/>
      <w:lvlText w:val="•"/>
      <w:numFmt w:val="bullet"/>
      <w:start w:val="1"/>
    </w:lvl>
    <w:lvl w:ilvl="1">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1)"/>
      <w:numFmt w:val="decimal"/>
      <w:start w:val="2"/>
    </w:lvl>
  </w:abstractNum>
  <w:abstractNum w:abstractNumId="36">
    <w:nsid w:val="5F5E7FD0"/>
    <w:multiLevelType w:val="hybridMultilevel"/>
    <w:lvl w:ilvl="0">
      <w:lvlJc w:val="left"/>
      <w:lvlText w:val="(%1)"/>
      <w:numFmt w:val="decimal"/>
      <w:start w:val="2"/>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emdash "/>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1)"/>
      <w:numFmt w:val="decimal"/>
      <w:start w:val="2"/>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decimal"/>
      <w:start w:val="2"/>
    </w:lvl>
  </w:abstractNum>
  <w:abstractNum w:abstractNumId="88">
    <w:nsid w:val="7055A5F5"/>
    <w:multiLevelType w:val="hybridMultilevel"/>
    <w:lvl w:ilvl="0">
      <w:lvlJc w:val="left"/>
      <w:lvlText w:val="(%1)"/>
      <w:numFmt w:val="decimal"/>
      <w:start w:val="3"/>
    </w:lvl>
  </w:abstractNum>
  <w:abstractNum w:abstractNumId="89">
    <w:nsid w:val="5FB8370B"/>
    <w:multiLevelType w:val="hybridMultilevel"/>
    <w:lvl w:ilvl="0">
      <w:lvlJc w:val="left"/>
      <w:lvlText w:val="*"/>
      <w:numFmt w:val="bullet"/>
      <w:start w:val="1"/>
    </w:lvl>
    <w:lvl w:ilvl="1">
      <w:lvlJc w:val="left"/>
      <w:lvlText w:val="%2"/>
      <w:numFmt w:val="decimal"/>
      <w:start w:val="104"/>
    </w:lvl>
  </w:abstractNum>
  <w:abstractNum w:abstractNumId="90">
    <w:nsid w:val="50801EE1"/>
    <w:multiLevelType w:val="hybridMultilevel"/>
    <w:lvl w:ilvl="0">
      <w:lvlJc w:val="left"/>
      <w:lvlText w:val="**"/>
      <w:numFmt w:val="bullet"/>
      <w:start w:val="1"/>
    </w:lvl>
    <w:lvl w:ilvl="1">
      <w:lvlJc w:val="left"/>
      <w:lvlText w:val="%2"/>
      <w:numFmt w:val="decimal"/>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lvl w:ilvl="1">
      <w:lvlJc w:val="left"/>
      <w:lvlText w:val="▪"/>
      <w:numFmt w:val="bullet"/>
      <w:start w:val="1"/>
    </w:lvl>
  </w:abstractNum>
  <w:abstractNum w:abstractNumId="93">
    <w:nsid w:val="6AA78F7F"/>
    <w:multiLevelType w:val="hybridMultilevel"/>
    <w:lvl w:ilvl="0">
      <w:lvlJc w:val="left"/>
      <w:lvlText w:val="%1."/>
      <w:numFmt w:val="decimal"/>
      <w:start w:val="9"/>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1)"/>
      <w:numFmt w:val="decimal"/>
      <w:start w:val="2"/>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4"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5"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26"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169" Type="http://schemas.openxmlformats.org/officeDocument/2006/relationships/hyperlink" Target="https://www.sec.gov/Archives/edgar/data/1655759/000119312518289513/d615527dex31.htm" TargetMode="External"/><Relationship Id="rId170" Type="http://schemas.openxmlformats.org/officeDocument/2006/relationships/hyperlink" Target="https://www.sec.gov/Archives/edgar/data/1655759/000165575923000073/exhibit31-secondamendeda.htm" TargetMode="External"/><Relationship Id="rId171" Type="http://schemas.openxmlformats.org/officeDocument/2006/relationships/hyperlink" Target="https://www.sec.gov/Archives/edgar/data/1655759/000119312518262944/d564688dex41.htm" TargetMode="External"/><Relationship Id="rId172" Type="http://schemas.openxmlformats.org/officeDocument/2006/relationships/hyperlink" Target="https://www.sec.gov/Archives/edgar/data/1655759/000119312518262944/d564688dex43.htm" TargetMode="External"/><Relationship Id="rId173" Type="http://schemas.openxmlformats.org/officeDocument/2006/relationships/hyperlink" Target="https://www.sec.gov/Archives/edgar/data/1655759/000119312523282934/d906900dex102.htm" TargetMode="External"/><Relationship Id="rId175" Type="http://schemas.openxmlformats.org/officeDocument/2006/relationships/hyperlink" Target="https://www.sec.gov/Archives/edgar/data/0001655759/000156459020011004/arvn-ex44_268.htm" TargetMode="External"/><Relationship Id="rId176" Type="http://schemas.openxmlformats.org/officeDocument/2006/relationships/hyperlink" Target="https://www.sec.gov/Archives/edgar/data/1655759/000119312518273347/d564688dex107.htm" TargetMode="External"/><Relationship Id="rId177" Type="http://schemas.openxmlformats.org/officeDocument/2006/relationships/hyperlink" Target="https://www.sec.gov/Archives/edgar/data/1655759/000119312518262944/d564688dex102.htm" TargetMode="External"/><Relationship Id="rId178" Type="http://schemas.openxmlformats.org/officeDocument/2006/relationships/hyperlink" Target="https://www.sec.gov/Archives/edgar/data/1655759/000119312518273347/d564688dex103.htm" TargetMode="External"/><Relationship Id="rId179" Type="http://schemas.openxmlformats.org/officeDocument/2006/relationships/hyperlink" Target="https://www.sec.gov/Archives/edgar/data/1655759/000119312518273347/d564688dex104.htm" TargetMode="External"/><Relationship Id="rId180" Type="http://schemas.openxmlformats.org/officeDocument/2006/relationships/hyperlink" Target="https://www.sec.gov/Archives/edgar/data/1655759/000119312518273347/d564688dex105.htm" TargetMode="External"/><Relationship Id="rId181" Type="http://schemas.openxmlformats.org/officeDocument/2006/relationships/hyperlink" Target="https://www.sec.gov/Archives/edgar/data/1655759/000156459019009357/arvn-ex106_781.htm" TargetMode="External"/><Relationship Id="rId182" Type="http://schemas.openxmlformats.org/officeDocument/2006/relationships/hyperlink" Target="https://www.sec.gov/Archives/edgar/data/1655759/000119312518273347/d564688dex106.htm" TargetMode="External"/><Relationship Id="rId183" Type="http://schemas.openxmlformats.org/officeDocument/2006/relationships/hyperlink" Target="https://www.sec.gov/Archives/edgar/data/1655759/000165575924000009/arvinas-optioninducement.htm" TargetMode="External"/><Relationship Id="rId184" Type="http://schemas.openxmlformats.org/officeDocument/2006/relationships/hyperlink" Target="https://www.sec.gov/Archives/edgar/data/1655759/000165575924000009/arvinas-rsuinducementgra.htm" TargetMode="External"/><Relationship Id="rId185" Type="http://schemas.openxmlformats.org/officeDocument/2006/relationships/hyperlink" Target="https://www.sec.gov/Archives/edgar/data/1655759/000119312518273347/d564688dex108.htm" TargetMode="External"/><Relationship Id="rId186" Type="http://schemas.openxmlformats.org/officeDocument/2006/relationships/hyperlink" Target="https://www.sec.gov/Archives/edgar/data/1655759/000165575924000118/exhibit101-saikemploymen.htm" TargetMode="External"/><Relationship Id="rId187" Type="http://schemas.openxmlformats.org/officeDocument/2006/relationships/hyperlink" Target="https://www.sec.gov/Archives/edgar/data/1655759/000165575924000060/employmentagreement-noah.htm" TargetMode="External"/><Relationship Id="rId188" Type="http://schemas.openxmlformats.org/officeDocument/2006/relationships/hyperlink" Target="https://www.sec.gov/Archives/edgar/data/1655759/000162828025049527/exhibit101-arvinasxamend.htm" TargetMode="External"/><Relationship Id="rId194" Type="http://schemas.openxmlformats.org/officeDocument/2006/relationships/hyperlink" Target="https://www.sec.gov/Archives/edgar/data/1655759/000165575925000139/exhibit101-iansconsultin.htm" TargetMode="External"/><Relationship Id="rId196" Type="http://schemas.openxmlformats.org/officeDocument/2006/relationships/hyperlink" Target="https://www.sec.gov/Archives/edgar/data/1655759/000162828025049527/exhibit102-arvinasxamend.htm" TargetMode="External"/><Relationship Id="rId197" Type="http://schemas.openxmlformats.org/officeDocument/2006/relationships/hyperlink" Target="https://www.sec.gov/Archives/edgar/data/1655759/000119312518273347/d564688dex1012.htm" TargetMode="External"/><Relationship Id="rId198" Type="http://schemas.openxmlformats.org/officeDocument/2006/relationships/hyperlink" Target="https://www.sec.gov/Archives/edgar/data/1655759/000119312519076853/d723460dex101.htm" TargetMode="External"/><Relationship Id="rId199" Type="http://schemas.openxmlformats.org/officeDocument/2006/relationships/hyperlink" Target="https://www.sec.gov/Archives/edgar/data/0001655759/000156459020011004/arvn-ex1014_313.htm" TargetMode="External"/><Relationship Id="rId200" Type="http://schemas.openxmlformats.org/officeDocument/2006/relationships/hyperlink" Target="https://www.sec.gov/Archives/edgar/data/1655759/000156459021009857/arvn-ex1034_590.htm" TargetMode="External"/><Relationship Id="rId201" Type="http://schemas.openxmlformats.org/officeDocument/2006/relationships/hyperlink" Target="https://www.sec.gov/Archives/edgar/data/1655759/000165575923000079/arvinassixthleaseamendme.htm" TargetMode="External"/><Relationship Id="rId202" Type="http://schemas.openxmlformats.org/officeDocument/2006/relationships/hyperlink" Target="https://www.sec.gov/Archives/edgar/data/1655759/000165575925000016/exhibit1024-building5sev.htm" TargetMode="External"/><Relationship Id="rId203" Type="http://schemas.openxmlformats.org/officeDocument/2006/relationships/hyperlink" Target="https://www.sec.gov/Archives/edgar/data/1655759/000165575925000016/exhibit1025-arvinas5sp8t.htm" TargetMode="External"/><Relationship Id="rId204" Type="http://schemas.openxmlformats.org/officeDocument/2006/relationships/hyperlink" Target="https://www.sec.gov/Archives/edgar/data/1655759/000165575925000016/exhibit1026-fullysigned9.htm" TargetMode="External"/><Relationship Id="rId205" Type="http://schemas.openxmlformats.org/officeDocument/2006/relationships/hyperlink" Target="https://www.sec.gov/Archives/edgar/data/1655759/000165575925000016/exhibit1031-4sparvinasle.htm" TargetMode="External"/><Relationship Id="rId206" Type="http://schemas.openxmlformats.org/officeDocument/2006/relationships/hyperlink" Target="https://www.sec.gov/Archives/edgar/data/1655759/000165575924000118/exhibit106-amendedyaleag.htm" TargetMode="External"/><Relationship Id="rId213" Type="http://schemas.openxmlformats.org/officeDocument/2006/relationships/hyperlink" Target="https://www.sec.gov/Archives/edgar/data/1655759/000119312518273347/d564688dex1016.htm" TargetMode="External"/><Relationship Id="rId214" Type="http://schemas.openxmlformats.org/officeDocument/2006/relationships/hyperlink" Target="https://www.sec.gov/Archives/edgar/data/1655759/000119312518273347/d564688dex1017.htm" TargetMode="External"/><Relationship Id="rId215" Type="http://schemas.openxmlformats.org/officeDocument/2006/relationships/hyperlink" Target="https://www.sec.gov/Archives/edgar/data/0001655759/000156459020011004/arvn-ex1024_312.htm" TargetMode="External"/><Relationship Id="rId216" Type="http://schemas.openxmlformats.org/officeDocument/2006/relationships/hyperlink" Target="https://www.sec.gov/Archives/edgar/data/1655759/000165575922000016/pfizerarvinasamendmentno2r.htm" TargetMode="External"/><Relationship Id="rId217" Type="http://schemas.openxmlformats.org/officeDocument/2006/relationships/hyperlink" Target="https://www.sec.gov/Archives/edgar/data/1655759/000165575923000010/arvinaspfizzeramendmentno3.htm" TargetMode="External"/><Relationship Id="rId218" Type="http://schemas.openxmlformats.org/officeDocument/2006/relationships/hyperlink" Target="https://www.sec.gov/Archives/edgar/data/0001655759/000119312521221390/d160222dex101.htm" TargetMode="External"/><Relationship Id="rId219" Type="http://schemas.openxmlformats.org/officeDocument/2006/relationships/hyperlink" Target="https://www.sec.gov/Archives/edgar/data/0001655759/000119312521221390/d160222dex102.htm" TargetMode="External"/><Relationship Id="rId220" Type="http://schemas.openxmlformats.org/officeDocument/2006/relationships/hyperlink" Target="https://www.sec.gov/Archives/edgar/data/0001655759/000119312521221390/d160222dex103.htm" TargetMode="External"/><Relationship Id="rId221" Type="http://schemas.openxmlformats.org/officeDocument/2006/relationships/hyperlink" Target="https://www.sec.gov/Archives/edgar/data/1655759/000119312523272580/d555260dex12.htm" TargetMode="External"/><Relationship Id="rId222" Type="http://schemas.openxmlformats.org/officeDocument/2006/relationships/hyperlink" Target="https://www.sec.gov/Archives/edgar/data/1655759/000119312523282934/d906900dex101.htm" TargetMode="External"/><Relationship Id="rId223" Type="http://schemas.openxmlformats.org/officeDocument/2006/relationships/hyperlink" Target="https://www.sec.gov/Archives/edgar/data/1655759/000165575924000118/exhibit104-novartisxarvi.htm" TargetMode="External"/><Relationship Id="rId224" Type="http://schemas.openxmlformats.org/officeDocument/2006/relationships/hyperlink" Target="https://www.sec.gov/Archives/edgar/data/1655759/000165575924000118/exhibit105-novartisxarvi.htm" TargetMode="External"/><Relationship Id="rId225" Type="http://schemas.openxmlformats.org/officeDocument/2006/relationships/hyperlink" Target="https://www.sec.gov/Archives/edgar/data/1655759/000165575925000016/exhibit191-insidertradin.htm" TargetMode="External"/><Relationship Id="rId227" Type="http://schemas.openxmlformats.org/officeDocument/2006/relationships/hyperlink" Target="https://www.sec.gov/Archives/edgar/data/1655759/000165575924000018/arvinas-exchangexcompli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2026-02-24T16:31:05Z</dcterms:created>
  <dcterms:modified xsi:type="dcterms:W3CDTF">2026-02-24T16:31:05Z</dcterms:modified>
</cp:coreProperties>
</file>