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462.xml.htm"/>
      <w:bookmarkStart w:id="1" w:name="kswkform4_17787034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Loomis David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ARVINAS,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SCIENCE PARK, 395 WINCHESTER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ARVINAS,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ARVN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9.9374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40,193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automatically by the Issuer to cover tax withholding obligations in connection with the vesting and settlement of one-half of the reporting person's restricted stock units (RSUs) granted on May 9, 2025. The sale does not represent a discretionary trade.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Freedberg, as attorney-in-fact for David K Loomis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9410" TargetMode="External"/><Relationship Id="rId5" Type="http://schemas.openxmlformats.org/officeDocument/2006/relationships/hyperlink" Target="http://www.sec.gov/cgi-bin/browse-edgar?action=getcompany&amp;CIK=00016557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3336</Characters>
  <CharactersWithSpaces>3891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