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488315</wp:posOffset>
            </wp:positionH>
            <wp:positionV relativeFrom="page">
              <wp:posOffset>266065</wp:posOffset>
            </wp:positionV>
            <wp:extent cx="65779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5715"/>
                    </a:xfrm>
                    <a:prstGeom prst="rect">
                      <a:avLst/>
                    </a:prstGeom>
                    <a:noFill/>
                  </pic:spPr>
                </pic:pic>
              </a:graphicData>
            </a:graphic>
          </wp:anchor>
        </w:drawing>
        <w:drawing>
          <wp:anchor simplePos="0" relativeHeight="251657728" behindDoc="1" locked="0" layoutInCell="0" allowOverlap="1">
            <wp:simplePos x="0" y="0"/>
            <wp:positionH relativeFrom="page">
              <wp:posOffset>488315</wp:posOffset>
            </wp:positionH>
            <wp:positionV relativeFrom="page">
              <wp:posOffset>283210</wp:posOffset>
            </wp:positionV>
            <wp:extent cx="65779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571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4" w:lineRule="exact"/>
        <w:rPr>
          <w:sz w:val="24"/>
          <w:szCs w:val="24"/>
          <w:color w:val="auto"/>
        </w:rPr>
      </w:pPr>
    </w:p>
    <w:p>
      <w:pPr>
        <w:ind w:left="4520"/>
        <w:spacing w:after="0"/>
        <w:rPr>
          <w:sz w:val="20"/>
          <w:szCs w:val="20"/>
          <w:color w:val="auto"/>
        </w:rPr>
      </w:pPr>
      <w:r>
        <w:rPr>
          <w:rFonts w:ascii="Arial" w:cs="Arial" w:eastAsia="Arial" w:hAnsi="Arial"/>
          <w:sz w:val="8"/>
          <w:szCs w:val="8"/>
          <w:b w:val="1"/>
          <w:bCs w:val="1"/>
          <w:color w:val="auto"/>
        </w:rPr>
        <w:t>________________________________________________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8"/>
          <w:szCs w:val="8"/>
          <w:b w:val="1"/>
          <w:bCs w:val="1"/>
          <w:color w:val="auto"/>
        </w:rPr>
        <w:t>________________________________________________</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760" w:type="dxa"/>
            <w:vAlign w:val="bottom"/>
          </w:tcPr>
          <w:p>
            <w:pPr>
              <w:spacing w:after="0"/>
              <w:rPr>
                <w:sz w:val="20"/>
                <w:szCs w:val="20"/>
                <w:color w:val="auto"/>
              </w:rPr>
            </w:pPr>
            <w:r>
              <w:rPr>
                <w:rFonts w:ascii="Arial" w:cs="Arial" w:eastAsia="Arial" w:hAnsi="Arial"/>
                <w:sz w:val="10"/>
                <w:szCs w:val="10"/>
                <w:b w:val="1"/>
                <w:bCs w:val="1"/>
                <w:color w:val="auto"/>
              </w:rPr>
              <w:t>(Mark One)</w:t>
            </w:r>
          </w:p>
        </w:tc>
        <w:tc>
          <w:tcPr>
            <w:tcW w:w="31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ind w:left="480"/>
              <w:spacing w:after="0"/>
              <w:rPr>
                <w:sz w:val="20"/>
                <w:szCs w:val="20"/>
                <w:color w:val="auto"/>
              </w:rPr>
            </w:pPr>
            <w:r>
              <w:rPr>
                <w:rFonts w:ascii="Wingdings" w:cs="Wingdings" w:eastAsia="Wingdings" w:hAnsi="Wingdings"/>
                <w:sz w:val="11"/>
                <w:szCs w:val="11"/>
                <w:b w:val="1"/>
                <w:bCs w:val="1"/>
                <w:color w:val="auto"/>
                <w:highlight w:val="black"/>
              </w:rPr>
              <w:t>x</w:t>
            </w:r>
          </w:p>
        </w:tc>
        <w:tc>
          <w:tcPr>
            <w:tcW w:w="6420" w:type="dxa"/>
            <w:vAlign w:val="bottom"/>
            <w:gridSpan w:val="2"/>
          </w:tcPr>
          <w:p>
            <w:pPr>
              <w:ind w:left="180"/>
              <w:spacing w:after="0"/>
              <w:rPr>
                <w:sz w:val="20"/>
                <w:szCs w:val="20"/>
                <w:color w:val="auto"/>
              </w:rPr>
            </w:pPr>
            <w:r>
              <w:rPr>
                <w:rFonts w:ascii="Arial" w:cs="Arial" w:eastAsia="Arial" w:hAnsi="Arial"/>
                <w:sz w:val="11"/>
                <w:szCs w:val="11"/>
                <w:b w:val="1"/>
                <w:bCs w:val="1"/>
                <w:color w:val="auto"/>
              </w:rPr>
              <w:t>ANNUAL REPORT PURSUANT TO SECTION 13 OR 15(d) OF THE SECURITIES EXCHANGE ACT OF 1934</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For the fiscal year ended December 31, 2024</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6"/>
              </w:rPr>
              <w:t>OR</w:t>
            </w:r>
          </w:p>
        </w:tc>
        <w:tc>
          <w:tcPr>
            <w:tcW w:w="1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480"/>
              <w:spacing w:after="0"/>
              <w:rPr>
                <w:sz w:val="20"/>
                <w:szCs w:val="20"/>
                <w:color w:val="auto"/>
              </w:rPr>
            </w:pPr>
            <w:r>
              <w:rPr>
                <w:rFonts w:ascii="Wingdings" w:cs="Wingdings" w:eastAsia="Wingdings" w:hAnsi="Wingdings"/>
                <w:sz w:val="11"/>
                <w:szCs w:val="11"/>
                <w:b w:val="1"/>
                <w:bCs w:val="1"/>
                <w:color w:val="auto"/>
                <w:highlight w:val="black"/>
              </w:rPr>
              <w:t>o</w:t>
            </w:r>
          </w:p>
        </w:tc>
        <w:tc>
          <w:tcPr>
            <w:tcW w:w="7980" w:type="dxa"/>
            <w:vAlign w:val="bottom"/>
            <w:gridSpan w:val="3"/>
          </w:tcPr>
          <w:p>
            <w:pPr>
              <w:ind w:left="180"/>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 FOR THE TRANSITION PERIOD FROM</w:t>
            </w:r>
          </w:p>
        </w:tc>
        <w:tc>
          <w:tcPr>
            <w:tcW w:w="680" w:type="dxa"/>
            <w:vAlign w:val="bottom"/>
          </w:tcPr>
          <w:p>
            <w:pPr>
              <w:ind w:left="160"/>
              <w:spacing w:after="0"/>
              <w:rPr>
                <w:sz w:val="20"/>
                <w:szCs w:val="20"/>
                <w:color w:val="auto"/>
              </w:rPr>
            </w:pPr>
            <w:r>
              <w:rPr>
                <w:rFonts w:ascii="Arial" w:cs="Arial" w:eastAsia="Arial" w:hAnsi="Arial"/>
                <w:sz w:val="11"/>
                <w:szCs w:val="11"/>
                <w:b w:val="1"/>
                <w:bCs w:val="1"/>
                <w:color w:val="auto"/>
              </w:rPr>
              <w:t>TO</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7"/>
              </w:rPr>
              <w:t>Commission File Number: 001-38672</w:t>
            </w:r>
          </w:p>
        </w:tc>
        <w:tc>
          <w:tcPr>
            <w:tcW w:w="1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________________________________________________</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00" w:type="dxa"/>
            <w:vAlign w:val="bottom"/>
          </w:tcPr>
          <w:p>
            <w:pPr>
              <w:jc w:val="center"/>
              <w:ind w:left="185"/>
              <w:spacing w:after="0"/>
              <w:rPr>
                <w:sz w:val="20"/>
                <w:szCs w:val="20"/>
                <w:color w:val="auto"/>
              </w:rPr>
            </w:pPr>
            <w:r>
              <w:rPr>
                <w:rFonts w:ascii="Arial" w:cs="Arial" w:eastAsia="Arial" w:hAnsi="Arial"/>
                <w:sz w:val="17"/>
                <w:szCs w:val="17"/>
                <w:b w:val="1"/>
                <w:bCs w:val="1"/>
                <w:color w:val="auto"/>
                <w:w w:val="98"/>
              </w:rPr>
              <w:t>ARVINAS, INC.</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7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________________________________________________</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3120" w:type="dxa"/>
            <w:vAlign w:val="bottom"/>
          </w:tcPr>
          <w:p>
            <w:pPr>
              <w:jc w:val="center"/>
              <w:ind w:left="1428"/>
              <w:spacing w:after="0"/>
              <w:rPr>
                <w:sz w:val="20"/>
                <w:szCs w:val="20"/>
                <w:color w:val="auto"/>
              </w:rPr>
            </w:pPr>
            <w:r>
              <w:rPr>
                <w:rFonts w:ascii="Arial" w:cs="Arial" w:eastAsia="Arial" w:hAnsi="Arial"/>
                <w:sz w:val="11"/>
                <w:szCs w:val="11"/>
                <w:b w:val="1"/>
                <w:bCs w:val="1"/>
                <w:color w:val="auto"/>
                <w:w w:val="99"/>
              </w:rPr>
              <w:t>Delaware</w:t>
            </w:r>
          </w:p>
        </w:tc>
        <w:tc>
          <w:tcPr>
            <w:tcW w:w="3300" w:type="dxa"/>
            <w:vAlign w:val="bottom"/>
          </w:tcPr>
          <w:p>
            <w:pPr>
              <w:spacing w:after="0"/>
              <w:rPr>
                <w:sz w:val="15"/>
                <w:szCs w:val="15"/>
                <w:color w:val="auto"/>
              </w:rPr>
            </w:pPr>
          </w:p>
        </w:tc>
        <w:tc>
          <w:tcPr>
            <w:tcW w:w="1560" w:type="dxa"/>
            <w:vAlign w:val="bottom"/>
          </w:tcPr>
          <w:p>
            <w:pPr>
              <w:jc w:val="right"/>
              <w:ind w:right="172"/>
              <w:spacing w:after="0"/>
              <w:rPr>
                <w:sz w:val="20"/>
                <w:szCs w:val="20"/>
                <w:color w:val="auto"/>
              </w:rPr>
            </w:pPr>
            <w:r>
              <w:rPr>
                <w:rFonts w:ascii="Arial" w:cs="Arial" w:eastAsia="Arial" w:hAnsi="Arial"/>
                <w:sz w:val="11"/>
                <w:szCs w:val="11"/>
                <w:b w:val="1"/>
                <w:bCs w:val="1"/>
                <w:color w:val="auto"/>
              </w:rPr>
              <w:t>47-2566120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120" w:type="dxa"/>
            <w:vAlign w:val="bottom"/>
          </w:tcPr>
          <w:p>
            <w:pPr>
              <w:jc w:val="center"/>
              <w:ind w:left="1428"/>
              <w:spacing w:after="0"/>
              <w:rPr>
                <w:sz w:val="20"/>
                <w:szCs w:val="20"/>
                <w:color w:val="auto"/>
              </w:rPr>
            </w:pPr>
            <w:r>
              <w:rPr>
                <w:rFonts w:ascii="Arial" w:cs="Arial" w:eastAsia="Arial" w:hAnsi="Arial"/>
                <w:sz w:val="8"/>
                <w:szCs w:val="8"/>
                <w:b w:val="1"/>
                <w:bCs w:val="1"/>
                <w:color w:val="auto"/>
              </w:rPr>
              <w:t>(State or other jurisdiction of</w:t>
            </w:r>
          </w:p>
        </w:tc>
        <w:tc>
          <w:tcPr>
            <w:tcW w:w="3300" w:type="dxa"/>
            <w:vAlign w:val="bottom"/>
          </w:tcPr>
          <w:p>
            <w:pPr>
              <w:spacing w:after="0"/>
              <w:rPr>
                <w:sz w:val="9"/>
                <w:szCs w:val="9"/>
                <w:color w:val="auto"/>
              </w:rPr>
            </w:pPr>
          </w:p>
        </w:tc>
        <w:tc>
          <w:tcPr>
            <w:tcW w:w="1560" w:type="dxa"/>
            <w:vAlign w:val="bottom"/>
          </w:tcPr>
          <w:p>
            <w:pPr>
              <w:jc w:val="center"/>
              <w:ind w:left="512"/>
              <w:spacing w:after="0"/>
              <w:rPr>
                <w:sz w:val="20"/>
                <w:szCs w:val="20"/>
                <w:color w:val="auto"/>
              </w:rPr>
            </w:pPr>
            <w:r>
              <w:rPr>
                <w:rFonts w:ascii="Arial" w:cs="Arial" w:eastAsia="Arial" w:hAnsi="Arial"/>
                <w:sz w:val="8"/>
                <w:szCs w:val="8"/>
                <w:b w:val="1"/>
                <w:bCs w:val="1"/>
                <w:color w:val="auto"/>
              </w:rPr>
              <w:t>(I.R.S. Employer</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3120" w:type="dxa"/>
            <w:vAlign w:val="bottom"/>
          </w:tcPr>
          <w:p>
            <w:pPr>
              <w:jc w:val="center"/>
              <w:ind w:left="1428"/>
              <w:spacing w:after="0"/>
              <w:rPr>
                <w:sz w:val="20"/>
                <w:szCs w:val="20"/>
                <w:color w:val="auto"/>
              </w:rPr>
            </w:pPr>
            <w:r>
              <w:rPr>
                <w:rFonts w:ascii="Arial" w:cs="Arial" w:eastAsia="Arial" w:hAnsi="Arial"/>
                <w:sz w:val="8"/>
                <w:szCs w:val="8"/>
                <w:b w:val="1"/>
                <w:bCs w:val="1"/>
                <w:color w:val="auto"/>
              </w:rPr>
              <w:t>incorporation or organization)</w:t>
            </w:r>
          </w:p>
        </w:tc>
        <w:tc>
          <w:tcPr>
            <w:tcW w:w="3300" w:type="dxa"/>
            <w:vAlign w:val="bottom"/>
          </w:tcPr>
          <w:p>
            <w:pPr>
              <w:spacing w:after="0"/>
              <w:rPr>
                <w:sz w:val="9"/>
                <w:szCs w:val="9"/>
                <w:color w:val="auto"/>
              </w:rPr>
            </w:pPr>
          </w:p>
        </w:tc>
        <w:tc>
          <w:tcPr>
            <w:tcW w:w="1560" w:type="dxa"/>
            <w:vAlign w:val="bottom"/>
          </w:tcPr>
          <w:p>
            <w:pPr>
              <w:jc w:val="center"/>
              <w:ind w:left="512"/>
              <w:spacing w:after="0"/>
              <w:rPr>
                <w:sz w:val="20"/>
                <w:szCs w:val="20"/>
                <w:color w:val="auto"/>
              </w:rPr>
            </w:pPr>
            <w:r>
              <w:rPr>
                <w:rFonts w:ascii="Arial" w:cs="Arial" w:eastAsia="Arial" w:hAnsi="Arial"/>
                <w:sz w:val="8"/>
                <w:szCs w:val="8"/>
                <w:b w:val="1"/>
                <w:bCs w:val="1"/>
                <w:color w:val="auto"/>
              </w:rPr>
              <w:t>Identification No.)</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120" w:type="dxa"/>
            <w:vAlign w:val="bottom"/>
          </w:tcPr>
          <w:p>
            <w:pPr>
              <w:jc w:val="center"/>
              <w:ind w:left="1428"/>
              <w:spacing w:after="0"/>
              <w:rPr>
                <w:sz w:val="20"/>
                <w:szCs w:val="20"/>
                <w:color w:val="auto"/>
              </w:rPr>
            </w:pPr>
            <w:r>
              <w:rPr>
                <w:rFonts w:ascii="Arial" w:cs="Arial" w:eastAsia="Arial" w:hAnsi="Arial"/>
                <w:sz w:val="12"/>
                <w:szCs w:val="12"/>
                <w:b w:val="1"/>
                <w:bCs w:val="1"/>
                <w:color w:val="auto"/>
                <w:w w:val="99"/>
              </w:rPr>
              <w:t>5 Science Park</w:t>
            </w:r>
          </w:p>
        </w:tc>
        <w:tc>
          <w:tcPr>
            <w:tcW w:w="3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3120" w:type="dxa"/>
            <w:vAlign w:val="bottom"/>
          </w:tcPr>
          <w:p>
            <w:pPr>
              <w:jc w:val="center"/>
              <w:ind w:left="1428"/>
              <w:spacing w:after="0" w:line="135" w:lineRule="exact"/>
              <w:rPr>
                <w:sz w:val="20"/>
                <w:szCs w:val="20"/>
                <w:color w:val="auto"/>
              </w:rPr>
            </w:pPr>
            <w:r>
              <w:rPr>
                <w:rFonts w:ascii="Arial" w:cs="Arial" w:eastAsia="Arial" w:hAnsi="Arial"/>
                <w:sz w:val="12"/>
                <w:szCs w:val="12"/>
                <w:b w:val="1"/>
                <w:bCs w:val="1"/>
                <w:color w:val="auto"/>
                <w:w w:val="99"/>
              </w:rPr>
              <w:t>395 Winchester Ave.</w:t>
            </w:r>
          </w:p>
        </w:tc>
        <w:tc>
          <w:tcPr>
            <w:tcW w:w="3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3120" w:type="dxa"/>
            <w:vAlign w:val="bottom"/>
          </w:tcPr>
          <w:p>
            <w:pPr>
              <w:jc w:val="center"/>
              <w:ind w:left="1428"/>
              <w:spacing w:after="0"/>
              <w:rPr>
                <w:sz w:val="20"/>
                <w:szCs w:val="20"/>
                <w:color w:val="auto"/>
              </w:rPr>
            </w:pPr>
            <w:r>
              <w:rPr>
                <w:rFonts w:ascii="Arial" w:cs="Arial" w:eastAsia="Arial" w:hAnsi="Arial"/>
                <w:sz w:val="12"/>
                <w:szCs w:val="12"/>
                <w:b w:val="1"/>
                <w:bCs w:val="1"/>
                <w:color w:val="auto"/>
              </w:rPr>
              <w:t xml:space="preserve">New Haven, </w:t>
            </w:r>
            <w:r>
              <w:rPr>
                <w:rFonts w:ascii="Arial" w:cs="Arial" w:eastAsia="Arial" w:hAnsi="Arial"/>
                <w:sz w:val="10"/>
                <w:szCs w:val="10"/>
                <w:b w:val="1"/>
                <w:bCs w:val="1"/>
                <w:color w:val="auto"/>
              </w:rPr>
              <w:t>Connecticut</w:t>
            </w:r>
          </w:p>
        </w:tc>
        <w:tc>
          <w:tcPr>
            <w:tcW w:w="330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1"/>
                <w:szCs w:val="11"/>
                <w:b w:val="1"/>
                <w:bCs w:val="1"/>
                <w:color w:val="auto"/>
              </w:rPr>
              <w:t>06511</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3120" w:type="dxa"/>
            <w:vAlign w:val="bottom"/>
          </w:tcPr>
          <w:p>
            <w:pPr>
              <w:jc w:val="center"/>
              <w:ind w:left="1428"/>
              <w:spacing w:after="0"/>
              <w:rPr>
                <w:sz w:val="20"/>
                <w:szCs w:val="20"/>
                <w:color w:val="auto"/>
              </w:rPr>
            </w:pPr>
            <w:r>
              <w:rPr>
                <w:rFonts w:ascii="Arial" w:cs="Arial" w:eastAsia="Arial" w:hAnsi="Arial"/>
                <w:sz w:val="8"/>
                <w:szCs w:val="8"/>
                <w:b w:val="1"/>
                <w:bCs w:val="1"/>
                <w:color w:val="auto"/>
              </w:rPr>
              <w:t>(Address of principal executive offices)</w:t>
            </w:r>
          </w:p>
        </w:tc>
        <w:tc>
          <w:tcPr>
            <w:tcW w:w="3300" w:type="dxa"/>
            <w:vAlign w:val="bottom"/>
          </w:tcPr>
          <w:p>
            <w:pPr>
              <w:spacing w:after="0"/>
              <w:rPr>
                <w:sz w:val="11"/>
                <w:szCs w:val="11"/>
                <w:color w:val="auto"/>
              </w:rPr>
            </w:pPr>
          </w:p>
        </w:tc>
        <w:tc>
          <w:tcPr>
            <w:tcW w:w="1560" w:type="dxa"/>
            <w:vAlign w:val="bottom"/>
          </w:tcPr>
          <w:p>
            <w:pPr>
              <w:jc w:val="center"/>
              <w:ind w:left="492"/>
              <w:spacing w:after="0"/>
              <w:rPr>
                <w:sz w:val="20"/>
                <w:szCs w:val="20"/>
                <w:color w:val="auto"/>
              </w:rPr>
            </w:pPr>
            <w:r>
              <w:rPr>
                <w:rFonts w:ascii="Arial" w:cs="Arial" w:eastAsia="Arial" w:hAnsi="Arial"/>
                <w:sz w:val="8"/>
                <w:szCs w:val="8"/>
                <w:b w:val="1"/>
                <w:bCs w:val="1"/>
                <w:color w:val="auto"/>
              </w:rPr>
              <w:t>(Zip Code)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60" w:type="dxa"/>
            <w:vAlign w:val="bottom"/>
            <w:gridSpan w:val="2"/>
          </w:tcPr>
          <w:p>
            <w:pPr>
              <w:jc w:val="center"/>
              <w:ind w:right="1272"/>
              <w:spacing w:after="0"/>
              <w:rPr>
                <w:sz w:val="20"/>
                <w:szCs w:val="20"/>
                <w:color w:val="auto"/>
              </w:rPr>
            </w:pPr>
            <w:r>
              <w:rPr>
                <w:rFonts w:ascii="Arial" w:cs="Arial" w:eastAsia="Arial" w:hAnsi="Arial"/>
                <w:sz w:val="11"/>
                <w:szCs w:val="11"/>
                <w:b w:val="1"/>
                <w:bCs w:val="1"/>
                <w:color w:val="auto"/>
                <w:w w:val="97"/>
              </w:rPr>
              <w:t>Registrant’s telephone number, including area code: (203) 535-1456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________________________________________________</w:t>
            </w:r>
          </w:p>
        </w:tc>
        <w:tc>
          <w:tcPr>
            <w:tcW w:w="1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300" w:type="dxa"/>
            <w:vAlign w:val="bottom"/>
          </w:tcPr>
          <w:p>
            <w:pPr>
              <w:jc w:val="center"/>
              <w:ind w:left="165"/>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1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760" w:type="dxa"/>
            <w:vAlign w:val="bottom"/>
          </w:tcPr>
          <w:p>
            <w:pPr>
              <w:spacing w:after="0"/>
              <w:rPr>
                <w:sz w:val="9"/>
                <w:szCs w:val="9"/>
                <w:color w:val="auto"/>
              </w:rPr>
            </w:pPr>
          </w:p>
        </w:tc>
        <w:tc>
          <w:tcPr>
            <w:tcW w:w="3120" w:type="dxa"/>
            <w:vAlign w:val="bottom"/>
            <w:vMerge w:val="restart"/>
          </w:tcPr>
          <w:p>
            <w:pPr>
              <w:jc w:val="center"/>
              <w:ind w:right="468"/>
              <w:spacing w:after="0"/>
              <w:rPr>
                <w:sz w:val="20"/>
                <w:szCs w:val="20"/>
                <w:color w:val="auto"/>
              </w:rPr>
            </w:pPr>
            <w:r>
              <w:rPr>
                <w:rFonts w:ascii="Arial" w:cs="Arial" w:eastAsia="Arial" w:hAnsi="Arial"/>
                <w:sz w:val="10"/>
                <w:szCs w:val="10"/>
                <w:b w:val="1"/>
                <w:bCs w:val="1"/>
                <w:color w:val="auto"/>
                <w:w w:val="94"/>
              </w:rPr>
              <w:t>(Title of each class)</w:t>
            </w:r>
          </w:p>
        </w:tc>
        <w:tc>
          <w:tcPr>
            <w:tcW w:w="3300" w:type="dxa"/>
            <w:vAlign w:val="bottom"/>
          </w:tcPr>
          <w:p>
            <w:pPr>
              <w:jc w:val="center"/>
              <w:ind w:right="665"/>
              <w:spacing w:after="0" w:line="106" w:lineRule="exact"/>
              <w:rPr>
                <w:sz w:val="20"/>
                <w:szCs w:val="20"/>
                <w:color w:val="auto"/>
              </w:rPr>
            </w:pPr>
            <w:r>
              <w:rPr>
                <w:rFonts w:ascii="Arial" w:cs="Arial" w:eastAsia="Arial" w:hAnsi="Arial"/>
                <w:sz w:val="10"/>
                <w:szCs w:val="10"/>
                <w:b w:val="1"/>
                <w:bCs w:val="1"/>
                <w:color w:val="auto"/>
                <w:w w:val="92"/>
              </w:rPr>
              <w:t>Trading</w:t>
            </w:r>
          </w:p>
        </w:tc>
        <w:tc>
          <w:tcPr>
            <w:tcW w:w="22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6"/>
              </w:rPr>
              <w:t>(Name of each exchange on which registered)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3300" w:type="dxa"/>
            <w:vAlign w:val="bottom"/>
          </w:tcPr>
          <w:p>
            <w:pPr>
              <w:jc w:val="center"/>
              <w:ind w:right="665"/>
              <w:spacing w:after="0"/>
              <w:rPr>
                <w:sz w:val="20"/>
                <w:szCs w:val="20"/>
                <w:color w:val="auto"/>
              </w:rPr>
            </w:pPr>
            <w:r>
              <w:rPr>
                <w:rFonts w:ascii="Arial" w:cs="Arial" w:eastAsia="Arial" w:hAnsi="Arial"/>
                <w:sz w:val="10"/>
                <w:szCs w:val="10"/>
                <w:b w:val="1"/>
                <w:bCs w:val="1"/>
                <w:color w:val="auto"/>
                <w:w w:val="95"/>
              </w:rPr>
              <w:t>Symbol(s)</w:t>
            </w:r>
          </w:p>
        </w:tc>
        <w:tc>
          <w:tcPr>
            <w:tcW w:w="2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3120" w:type="dxa"/>
            <w:vAlign w:val="bottom"/>
          </w:tcPr>
          <w:p>
            <w:pPr>
              <w:jc w:val="center"/>
              <w:ind w:right="468"/>
              <w:spacing w:after="0"/>
              <w:rPr>
                <w:sz w:val="20"/>
                <w:szCs w:val="20"/>
                <w:color w:val="auto"/>
              </w:rPr>
            </w:pPr>
            <w:r>
              <w:rPr>
                <w:rFonts w:ascii="Arial" w:cs="Arial" w:eastAsia="Arial" w:hAnsi="Arial"/>
                <w:sz w:val="11"/>
                <w:szCs w:val="11"/>
                <w:color w:val="auto"/>
                <w:w w:val="98"/>
              </w:rPr>
              <w:t>Common stock, par value $0.001 per share</w:t>
            </w:r>
          </w:p>
        </w:tc>
        <w:tc>
          <w:tcPr>
            <w:tcW w:w="3300" w:type="dxa"/>
            <w:vAlign w:val="bottom"/>
          </w:tcPr>
          <w:p>
            <w:pPr>
              <w:jc w:val="center"/>
              <w:ind w:right="665"/>
              <w:spacing w:after="0"/>
              <w:rPr>
                <w:sz w:val="20"/>
                <w:szCs w:val="20"/>
                <w:color w:val="auto"/>
              </w:rPr>
            </w:pPr>
            <w:r>
              <w:rPr>
                <w:rFonts w:ascii="Arial" w:cs="Arial" w:eastAsia="Arial" w:hAnsi="Arial"/>
                <w:sz w:val="11"/>
                <w:szCs w:val="11"/>
                <w:color w:val="auto"/>
                <w:w w:val="98"/>
              </w:rPr>
              <w:t>ARVN</w:t>
            </w:r>
          </w:p>
        </w:tc>
        <w:tc>
          <w:tcPr>
            <w:tcW w:w="2240" w:type="dxa"/>
            <w:vAlign w:val="bottom"/>
            <w:gridSpan w:val="2"/>
          </w:tcPr>
          <w:p>
            <w:pPr>
              <w:jc w:val="center"/>
              <w:spacing w:after="0"/>
              <w:rPr>
                <w:sz w:val="20"/>
                <w:szCs w:val="20"/>
                <w:color w:val="auto"/>
              </w:rPr>
            </w:pPr>
            <w:r>
              <w:rPr>
                <w:rFonts w:ascii="Arial" w:cs="Arial" w:eastAsia="Arial" w:hAnsi="Arial"/>
                <w:sz w:val="11"/>
                <w:szCs w:val="11"/>
                <w:color w:val="auto"/>
                <w:w w:val="97"/>
              </w:rPr>
              <w:t>The Nasdaq Global Select Market LLC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4" w:lineRule="exact"/>
        <w:rPr>
          <w:sz w:val="24"/>
          <w:szCs w:val="24"/>
          <w:color w:val="auto"/>
        </w:rPr>
      </w:pPr>
    </w:p>
    <w:p>
      <w:pPr>
        <w:ind w:left="5360"/>
        <w:spacing w:after="0"/>
        <w:rPr>
          <w:sz w:val="20"/>
          <w:szCs w:val="20"/>
          <w:color w:val="auto"/>
        </w:rPr>
      </w:pPr>
      <w:r>
        <w:rPr>
          <w:rFonts w:ascii="Arial" w:cs="Arial" w:eastAsia="Arial" w:hAnsi="Arial"/>
          <w:sz w:val="8"/>
          <w:szCs w:val="8"/>
          <w:b w:val="1"/>
          <w:bCs w:val="1"/>
          <w:color w:val="auto"/>
        </w:rPr>
        <w:t>(Title of class)</w:t>
      </w:r>
    </w:p>
    <w:p>
      <w:pPr>
        <w:spacing w:after="0" w:line="14"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o</w:t>
      </w:r>
    </w:p>
    <w:p>
      <w:pPr>
        <w:spacing w:after="0" w:line="2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15(d) of the Act. Yes </w:t>
      </w:r>
      <w:r>
        <w:rPr>
          <w:rFonts w:ascii="Wingdings" w:cs="Wingdings" w:eastAsia="Wingdings" w:hAnsi="Wingdings"/>
          <w:sz w:val="10"/>
          <w:szCs w:val="10"/>
          <w:b w:val="1"/>
          <w:bCs w:val="1"/>
          <w:color w:val="auto"/>
        </w:rPr>
        <w:t>o</w:t>
      </w:r>
      <w:r>
        <w:rPr>
          <w:rFonts w:ascii="Arial" w:cs="Arial" w:eastAsia="Arial" w:hAnsi="Arial"/>
          <w:sz w:val="10"/>
          <w:szCs w:val="10"/>
          <w:color w:val="auto"/>
        </w:rPr>
        <w:t xml:space="preserve"> </w:t>
      </w:r>
      <w:r>
        <w:rPr>
          <w:rFonts w:ascii="Times New Roman" w:cs="Times New Roman" w:eastAsia="Times New Roman" w:hAnsi="Times New Roman"/>
          <w:sz w:val="10"/>
          <w:szCs w:val="10"/>
          <w:color w:val="auto"/>
        </w:rPr>
        <w:t>No</w:t>
      </w:r>
      <w:r>
        <w:rPr>
          <w:rFonts w:ascii="Arial" w:cs="Arial" w:eastAsia="Arial" w:hAnsi="Arial"/>
          <w:sz w:val="10"/>
          <w:szCs w:val="10"/>
          <w:color w:val="auto"/>
        </w:rPr>
        <w:t xml:space="preserve"> </w:t>
      </w:r>
      <w:r>
        <w:rPr>
          <w:rFonts w:ascii="Wingdings" w:cs="Wingdings" w:eastAsia="Wingdings" w:hAnsi="Wingdings"/>
          <w:sz w:val="10"/>
          <w:szCs w:val="10"/>
          <w:b w:val="1"/>
          <w:bCs w:val="1"/>
          <w:color w:val="auto"/>
        </w:rPr>
        <w:t>x</w:t>
      </w:r>
    </w:p>
    <w:p>
      <w:pPr>
        <w:spacing w:after="0" w:line="29" w:lineRule="exact"/>
        <w:rPr>
          <w:sz w:val="24"/>
          <w:szCs w:val="24"/>
          <w:color w:val="auto"/>
        </w:rPr>
      </w:pPr>
    </w:p>
    <w:p>
      <w:pPr>
        <w:ind w:right="160"/>
        <w:spacing w:after="0" w:line="262" w:lineRule="auto"/>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o</w:t>
      </w:r>
    </w:p>
    <w:p>
      <w:pPr>
        <w:spacing w:after="0" w:line="1" w:lineRule="exact"/>
        <w:rPr>
          <w:sz w:val="24"/>
          <w:szCs w:val="24"/>
          <w:color w:val="auto"/>
        </w:rPr>
      </w:pPr>
    </w:p>
    <w:p>
      <w:pPr>
        <w:ind w:right="280"/>
        <w:spacing w:after="0" w:line="264" w:lineRule="auto"/>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o</w:t>
      </w:r>
    </w:p>
    <w:p>
      <w:pPr>
        <w:spacing w:after="0" w:line="8" w:lineRule="exact"/>
        <w:rPr>
          <w:sz w:val="24"/>
          <w:szCs w:val="24"/>
          <w:color w:val="auto"/>
        </w:rPr>
      </w:pPr>
    </w:p>
    <w:p>
      <w:pPr>
        <w:ind w:right="160"/>
        <w:spacing w:after="0" w:line="26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480" w:type="dxa"/>
        <w:tblCellMar>
          <w:top w:w="0" w:type="dxa"/>
          <w:left w:w="0" w:type="dxa"/>
          <w:bottom w:w="0" w:type="dxa"/>
          <w:right w:w="0" w:type="dxa"/>
        </w:tblCellMar>
      </w:tblPr>
      <w:tr>
        <w:trPr>
          <w:trHeight w:val="125"/>
        </w:trPr>
        <w:tc>
          <w:tcPr>
            <w:tcW w:w="16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260" w:type="dxa"/>
            <w:vAlign w:val="bottom"/>
          </w:tcPr>
          <w:p>
            <w:pPr>
              <w:ind w:left="640"/>
              <w:spacing w:after="0"/>
              <w:rPr>
                <w:sz w:val="20"/>
                <w:szCs w:val="20"/>
                <w:color w:val="auto"/>
              </w:rPr>
            </w:pPr>
            <w:r>
              <w:rPr>
                <w:rFonts w:ascii="Wingdings" w:cs="Wingdings" w:eastAsia="Wingdings" w:hAnsi="Wingdings"/>
                <w:sz w:val="10"/>
                <w:szCs w:val="10"/>
                <w:b w:val="1"/>
                <w:bCs w:val="1"/>
                <w:color w:val="auto"/>
              </w:rPr>
              <w:t>x</w:t>
            </w:r>
          </w:p>
        </w:tc>
        <w:tc>
          <w:tcPr>
            <w:tcW w:w="4520" w:type="dxa"/>
            <w:vAlign w:val="bottom"/>
          </w:tcPr>
          <w:p>
            <w:pPr>
              <w:ind w:left="2540"/>
              <w:spacing w:after="0"/>
              <w:rPr>
                <w:sz w:val="20"/>
                <w:szCs w:val="20"/>
                <w:color w:val="auto"/>
              </w:rPr>
            </w:pPr>
            <w:r>
              <w:rPr>
                <w:rFonts w:ascii="Arial" w:cs="Arial" w:eastAsia="Arial" w:hAnsi="Arial"/>
                <w:sz w:val="10"/>
                <w:szCs w:val="10"/>
                <w:color w:val="auto"/>
              </w:rPr>
              <w:t>Accelerated filer</w:t>
            </w:r>
          </w:p>
        </w:tc>
        <w:tc>
          <w:tcPr>
            <w:tcW w:w="940" w:type="dxa"/>
            <w:vAlign w:val="bottom"/>
          </w:tcPr>
          <w:p>
            <w:pPr>
              <w:ind w:left="840"/>
              <w:spacing w:after="0"/>
              <w:rPr>
                <w:sz w:val="20"/>
                <w:szCs w:val="20"/>
                <w:color w:val="auto"/>
              </w:rPr>
            </w:pPr>
            <w:r>
              <w:rPr>
                <w:rFonts w:ascii="Wingdings" w:cs="Wingdings" w:eastAsia="Wingdings" w:hAnsi="Wingdings"/>
                <w:sz w:val="10"/>
                <w:szCs w:val="10"/>
                <w:b w:val="1"/>
                <w:bCs w:val="1"/>
                <w:color w:val="auto"/>
                <w:w w:val="89"/>
              </w:rPr>
              <w:t>o</w:t>
            </w:r>
          </w:p>
        </w:tc>
      </w:tr>
      <w:tr>
        <w:trPr>
          <w:trHeight w:val="144"/>
        </w:trPr>
        <w:tc>
          <w:tcPr>
            <w:tcW w:w="1620" w:type="dxa"/>
            <w:vAlign w:val="bottom"/>
          </w:tcPr>
          <w:p>
            <w:pPr>
              <w:spacing w:after="0"/>
              <w:rPr>
                <w:sz w:val="20"/>
                <w:szCs w:val="20"/>
                <w:color w:val="auto"/>
              </w:rPr>
            </w:pPr>
            <w:r>
              <w:rPr>
                <w:rFonts w:ascii="Arial" w:cs="Arial" w:eastAsia="Arial" w:hAnsi="Arial"/>
                <w:sz w:val="10"/>
                <w:szCs w:val="10"/>
                <w:color w:val="auto"/>
              </w:rPr>
              <w:t>Non-accelerated filer</w:t>
            </w:r>
          </w:p>
        </w:tc>
        <w:tc>
          <w:tcPr>
            <w:tcW w:w="3260" w:type="dxa"/>
            <w:vAlign w:val="bottom"/>
          </w:tcPr>
          <w:p>
            <w:pPr>
              <w:ind w:left="640"/>
              <w:spacing w:after="0"/>
              <w:rPr>
                <w:sz w:val="20"/>
                <w:szCs w:val="20"/>
                <w:color w:val="auto"/>
              </w:rPr>
            </w:pPr>
            <w:r>
              <w:rPr>
                <w:rFonts w:ascii="Wingdings" w:cs="Wingdings" w:eastAsia="Wingdings" w:hAnsi="Wingdings"/>
                <w:sz w:val="10"/>
                <w:szCs w:val="10"/>
                <w:b w:val="1"/>
                <w:bCs w:val="1"/>
                <w:color w:val="auto"/>
              </w:rPr>
              <w:t>o</w:t>
            </w:r>
          </w:p>
        </w:tc>
        <w:tc>
          <w:tcPr>
            <w:tcW w:w="4520" w:type="dxa"/>
            <w:vAlign w:val="bottom"/>
          </w:tcPr>
          <w:p>
            <w:pPr>
              <w:ind w:left="2540"/>
              <w:spacing w:after="0"/>
              <w:rPr>
                <w:sz w:val="20"/>
                <w:szCs w:val="20"/>
                <w:color w:val="auto"/>
              </w:rPr>
            </w:pPr>
            <w:r>
              <w:rPr>
                <w:rFonts w:ascii="Arial" w:cs="Arial" w:eastAsia="Arial" w:hAnsi="Arial"/>
                <w:sz w:val="10"/>
                <w:szCs w:val="10"/>
                <w:color w:val="auto"/>
              </w:rPr>
              <w:t>Smaller reporting company</w:t>
            </w:r>
          </w:p>
        </w:tc>
        <w:tc>
          <w:tcPr>
            <w:tcW w:w="940" w:type="dxa"/>
            <w:vAlign w:val="bottom"/>
          </w:tcPr>
          <w:p>
            <w:pPr>
              <w:ind w:left="840"/>
              <w:spacing w:after="0"/>
              <w:rPr>
                <w:sz w:val="20"/>
                <w:szCs w:val="20"/>
                <w:color w:val="auto"/>
              </w:rPr>
            </w:pPr>
            <w:r>
              <w:rPr>
                <w:rFonts w:ascii="Wingdings" w:cs="Wingdings" w:eastAsia="Wingdings" w:hAnsi="Wingdings"/>
                <w:sz w:val="10"/>
                <w:szCs w:val="10"/>
                <w:b w:val="1"/>
                <w:bCs w:val="1"/>
                <w:color w:val="auto"/>
                <w:w w:val="89"/>
              </w:rPr>
              <w:t>o</w:t>
            </w:r>
          </w:p>
        </w:tc>
      </w:tr>
      <w:tr>
        <w:trPr>
          <w:trHeight w:val="144"/>
        </w:trPr>
        <w:tc>
          <w:tcPr>
            <w:tcW w:w="1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520" w:type="dxa"/>
            <w:vAlign w:val="bottom"/>
          </w:tcPr>
          <w:p>
            <w:pPr>
              <w:ind w:left="2540"/>
              <w:spacing w:after="0"/>
              <w:rPr>
                <w:sz w:val="20"/>
                <w:szCs w:val="20"/>
                <w:color w:val="auto"/>
              </w:rPr>
            </w:pPr>
            <w:r>
              <w:rPr>
                <w:rFonts w:ascii="Arial" w:cs="Arial" w:eastAsia="Arial" w:hAnsi="Arial"/>
                <w:sz w:val="10"/>
                <w:szCs w:val="10"/>
                <w:color w:val="auto"/>
              </w:rPr>
              <w:t>Emerging growth company</w:t>
            </w:r>
          </w:p>
        </w:tc>
        <w:tc>
          <w:tcPr>
            <w:tcW w:w="940" w:type="dxa"/>
            <w:vAlign w:val="bottom"/>
          </w:tcPr>
          <w:p>
            <w:pPr>
              <w:ind w:left="840"/>
              <w:spacing w:after="0"/>
              <w:rPr>
                <w:sz w:val="20"/>
                <w:szCs w:val="20"/>
                <w:color w:val="auto"/>
              </w:rPr>
            </w:pPr>
            <w:r>
              <w:rPr>
                <w:rFonts w:ascii="Wingdings" w:cs="Wingdings" w:eastAsia="Wingdings" w:hAnsi="Wingdings"/>
                <w:sz w:val="10"/>
                <w:szCs w:val="10"/>
                <w:b w:val="1"/>
                <w:bCs w:val="1"/>
                <w:color w:val="auto"/>
                <w:w w:val="89"/>
              </w:rPr>
              <w:t>o</w:t>
            </w:r>
          </w:p>
        </w:tc>
      </w:tr>
    </w:tbl>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29" w:lineRule="exact"/>
        <w:rPr>
          <w:sz w:val="24"/>
          <w:szCs w:val="24"/>
          <w:color w:val="auto"/>
        </w:rPr>
      </w:pPr>
    </w:p>
    <w:p>
      <w:pPr>
        <w:spacing w:after="0" w:line="117" w:lineRule="exact"/>
        <w:rPr>
          <w:sz w:val="20"/>
          <w:szCs w:val="20"/>
          <w:color w:val="auto"/>
        </w:rPr>
      </w:pPr>
      <w:r>
        <w:rPr>
          <w:rFonts w:ascii="Arial" w:cs="Arial" w:eastAsia="Arial" w:hAnsi="Arial"/>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0"/>
          <w:szCs w:val="10"/>
          <w:color w:val="auto"/>
        </w:rPr>
        <w:t>☒</w:t>
      </w:r>
    </w:p>
    <w:p>
      <w:pPr>
        <w:spacing w:after="0"/>
        <w:rPr>
          <w:sz w:val="20"/>
          <w:szCs w:val="20"/>
          <w:color w:val="auto"/>
        </w:rPr>
      </w:pPr>
      <w:r>
        <w:rPr>
          <w:rFonts w:ascii="Arial" w:cs="Arial" w:eastAsia="Arial" w:hAnsi="Arial"/>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2" w:lineRule="exact"/>
        <w:rPr>
          <w:sz w:val="24"/>
          <w:szCs w:val="24"/>
          <w:color w:val="auto"/>
        </w:rPr>
      </w:pPr>
    </w:p>
    <w:p>
      <w:pPr>
        <w:ind w:right="60"/>
        <w:spacing w:after="0" w:line="138"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1" w:lineRule="exact"/>
        <w:rPr>
          <w:sz w:val="24"/>
          <w:szCs w:val="24"/>
          <w:color w:val="auto"/>
        </w:rPr>
      </w:pPr>
    </w:p>
    <w:p>
      <w:pPr>
        <w:ind w:right="40"/>
        <w:spacing w:after="0" w:line="256" w:lineRule="auto"/>
        <w:rPr>
          <w:sz w:val="20"/>
          <w:szCs w:val="20"/>
          <w:color w:val="auto"/>
        </w:rPr>
      </w:pPr>
      <w:r>
        <w:rPr>
          <w:rFonts w:ascii="Arial" w:cs="Arial" w:eastAsia="Arial" w:hAnsi="Arial"/>
          <w:sz w:val="10"/>
          <w:szCs w:val="10"/>
          <w:color w:val="auto"/>
        </w:rPr>
        <w:t>As of June 28, 2024, the last business day of the registrant’s most recently completed second fiscal quarter, the aggregate market value of the Common Stock held by non-affiliates of the registrant was approximately $1,796.6 million, based on the closing price of the registrant’s Common Stock on such date. The number of shares of registrant’s Common Stock, $0.001 par value per share, outstanding as of February 5, 2025 was 68,771,867.</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DOCUMENTS INCORPORATED BY REFERENCE</w:t>
      </w:r>
    </w:p>
    <w:p>
      <w:pPr>
        <w:spacing w:after="0" w:line="22" w:lineRule="exact"/>
        <w:rPr>
          <w:sz w:val="24"/>
          <w:szCs w:val="24"/>
          <w:color w:val="auto"/>
        </w:rPr>
      </w:pPr>
    </w:p>
    <w:p>
      <w:pPr>
        <w:ind w:right="60"/>
        <w:spacing w:after="0" w:line="264" w:lineRule="auto"/>
        <w:rPr>
          <w:sz w:val="20"/>
          <w:szCs w:val="20"/>
          <w:color w:val="auto"/>
        </w:rPr>
      </w:pPr>
      <w:r>
        <w:rPr>
          <w:rFonts w:ascii="Arial" w:cs="Arial" w:eastAsia="Arial" w:hAnsi="Arial"/>
          <w:sz w:val="10"/>
          <w:szCs w:val="10"/>
          <w:color w:val="auto"/>
        </w:rPr>
        <w:t>Part III of this Annual Report incorporates by reference information from the definitive Proxy Statement for the registrant’s 2025 Annual Meeting of Stockholders, which is expected to be filed with the Securities and Exchange Commission not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218440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65779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79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31115</wp:posOffset>
            </wp:positionV>
            <wp:extent cx="65779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7965" cy="5715"/>
                    </a:xfrm>
                    <a:prstGeom prst="rect">
                      <a:avLst/>
                    </a:prstGeom>
                    <a:noFill/>
                  </pic:spPr>
                </pic:pic>
              </a:graphicData>
            </a:graphic>
          </wp:anchor>
        </w:drawing>
      </w:r>
    </w:p>
    <w:p>
      <w:pPr>
        <w:sectPr>
          <w:pgSz w:w="11900" w:h="16838" w:orient="portrait"/>
          <w:cols w:equalWidth="0" w:num="1">
            <w:col w:w="11280"/>
          </w:cols>
          <w:pgMar w:left="300" w:top="53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20" w:type="dxa"/>
            <w:vAlign w:val="bottom"/>
            <w:gridSpan w:val="6"/>
          </w:tcPr>
          <w:p>
            <w:pPr>
              <w:jc w:val="center"/>
              <w:ind w:right="4060"/>
              <w:spacing w:after="0"/>
              <w:rPr>
                <w:sz w:val="20"/>
                <w:szCs w:val="20"/>
                <w:color w:val="auto"/>
              </w:rPr>
            </w:pPr>
            <w:r>
              <w:rPr>
                <w:rFonts w:ascii="Arial" w:cs="Arial" w:eastAsia="Arial" w:hAnsi="Arial"/>
                <w:sz w:val="12"/>
                <w:szCs w:val="12"/>
                <w:b w:val="1"/>
                <w:bCs w:val="1"/>
                <w:color w:val="auto"/>
                <w:w w:val="98"/>
              </w:rPr>
              <w:t>Table of Contents</w:t>
            </w:r>
          </w:p>
        </w:tc>
        <w:tc>
          <w:tcPr>
            <w:tcW w:w="920" w:type="dxa"/>
            <w:vAlign w:val="bottom"/>
          </w:tcPr>
          <w:p>
            <w:pPr>
              <w:spacing w:after="0"/>
              <w:rPr>
                <w:sz w:val="14"/>
                <w:szCs w:val="14"/>
                <w:color w:val="auto"/>
              </w:rPr>
            </w:pPr>
          </w:p>
        </w:tc>
      </w:tr>
      <w:tr>
        <w:trPr>
          <w:trHeight w:val="29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Page</w:t>
            </w:r>
          </w:p>
        </w:tc>
      </w:tr>
      <w:tr>
        <w:trPr>
          <w:trHeight w:val="117"/>
        </w:trPr>
        <w:tc>
          <w:tcPr>
            <w:tcW w:w="1380" w:type="dxa"/>
            <w:vAlign w:val="bottom"/>
            <w:gridSpan w:val="5"/>
          </w:tcPr>
          <w:p>
            <w:pPr>
              <w:spacing w:after="0" w:line="117" w:lineRule="exact"/>
              <w:rPr>
                <w:sz w:val="20"/>
                <w:szCs w:val="20"/>
                <w:color w:val="auto"/>
              </w:rPr>
            </w:pPr>
            <w:r>
              <w:rPr>
                <w:rFonts w:ascii="Arial" w:cs="Arial" w:eastAsia="Arial" w:hAnsi="Arial"/>
                <w:sz w:val="12"/>
                <w:szCs w:val="12"/>
                <w:b w:val="1"/>
                <w:bCs w:val="1"/>
                <w:color w:val="0000FF"/>
              </w:rPr>
              <w:t>PART I</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w:t>
            </w:r>
          </w:p>
        </w:tc>
        <w:tc>
          <w:tcPr>
            <w:tcW w:w="48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4"/>
              </w:rPr>
              <w:t>Business</w:t>
            </w:r>
          </w:p>
        </w:tc>
        <w:tc>
          <w:tcPr>
            <w:tcW w:w="8520" w:type="dxa"/>
            <w:vAlign w:val="bottom"/>
            <w:gridSpan w:val="21"/>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rPr>
              <w:t>6</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1A.</w:t>
            </w: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2"/>
                <w:szCs w:val="12"/>
                <w:color w:val="0000FF"/>
                <w:w w:val="95"/>
              </w:rPr>
              <w:t>Risk Factors</w:t>
            </w:r>
          </w:p>
        </w:tc>
        <w:tc>
          <w:tcPr>
            <w:tcW w:w="8340" w:type="dxa"/>
            <w:vAlign w:val="bottom"/>
            <w:gridSpan w:val="18"/>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78</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1B.</w:t>
            </w:r>
          </w:p>
        </w:tc>
        <w:tc>
          <w:tcPr>
            <w:tcW w:w="9000" w:type="dxa"/>
            <w:vAlign w:val="bottom"/>
            <w:gridSpan w:val="22"/>
          </w:tcPr>
          <w:p>
            <w:pPr>
              <w:spacing w:after="0"/>
              <w:rPr>
                <w:sz w:val="20"/>
                <w:szCs w:val="20"/>
                <w:color w:val="auto"/>
              </w:rPr>
            </w:pPr>
            <w:r>
              <w:rPr>
                <w:rFonts w:ascii="Arial" w:cs="Arial" w:eastAsia="Arial" w:hAnsi="Arial"/>
                <w:sz w:val="12"/>
                <w:szCs w:val="12"/>
                <w:color w:val="0000FF"/>
              </w:rPr>
              <w:t>Unresolved Staff Comments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127</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1C</w:t>
            </w:r>
          </w:p>
        </w:tc>
        <w:tc>
          <w:tcPr>
            <w:tcW w:w="1480" w:type="dxa"/>
            <w:vAlign w:val="bottom"/>
            <w:tcBorders>
              <w:top w:val="single" w:sz="8" w:color="0000FF"/>
            </w:tcBorders>
            <w:gridSpan w:val="10"/>
          </w:tcPr>
          <w:p>
            <w:pPr>
              <w:spacing w:after="0"/>
              <w:rPr>
                <w:sz w:val="20"/>
                <w:szCs w:val="20"/>
                <w:color w:val="auto"/>
              </w:rPr>
            </w:pPr>
            <w:r>
              <w:rPr>
                <w:rFonts w:ascii="Arial" w:cs="Arial" w:eastAsia="Arial" w:hAnsi="Arial"/>
                <w:sz w:val="12"/>
                <w:szCs w:val="12"/>
                <w:color w:val="0000FF"/>
              </w:rPr>
              <w:t>Cybersecurity</w:t>
            </w:r>
          </w:p>
        </w:tc>
        <w:tc>
          <w:tcPr>
            <w:tcW w:w="7520" w:type="dxa"/>
            <w:vAlign w:val="bottom"/>
            <w:gridSpan w:val="12"/>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127</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2.</w:t>
            </w: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2"/>
                <w:szCs w:val="12"/>
                <w:color w:val="0000FF"/>
                <w:w w:val="95"/>
              </w:rPr>
              <w:t>Properties</w:t>
            </w:r>
          </w:p>
        </w:tc>
        <w:tc>
          <w:tcPr>
            <w:tcW w:w="180" w:type="dxa"/>
            <w:vAlign w:val="bottom"/>
            <w:tcBorders>
              <w:top w:val="single" w:sz="8" w:color="0000FF"/>
            </w:tcBorders>
            <w:gridSpan w:val="3"/>
          </w:tcPr>
          <w:p>
            <w:pPr>
              <w:spacing w:after="0"/>
              <w:rPr>
                <w:sz w:val="13"/>
                <w:szCs w:val="13"/>
                <w:color w:val="auto"/>
              </w:rPr>
            </w:pPr>
          </w:p>
        </w:tc>
        <w:tc>
          <w:tcPr>
            <w:tcW w:w="8280" w:type="dxa"/>
            <w:vAlign w:val="bottom"/>
            <w:gridSpan w:val="17"/>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128</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3.</w:t>
            </w:r>
          </w:p>
        </w:tc>
        <w:tc>
          <w:tcPr>
            <w:tcW w:w="9000" w:type="dxa"/>
            <w:vAlign w:val="bottom"/>
            <w:gridSpan w:val="22"/>
          </w:tcPr>
          <w:p>
            <w:pPr>
              <w:spacing w:after="0"/>
              <w:rPr>
                <w:sz w:val="20"/>
                <w:szCs w:val="20"/>
                <w:color w:val="auto"/>
              </w:rPr>
            </w:pPr>
            <w:r>
              <w:rPr>
                <w:rFonts w:ascii="Arial" w:cs="Arial" w:eastAsia="Arial" w:hAnsi="Arial"/>
                <w:sz w:val="12"/>
                <w:szCs w:val="12"/>
                <w:color w:val="0000FF"/>
              </w:rPr>
              <w:t>Legal Proceedings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129</w:t>
            </w:r>
          </w:p>
        </w:tc>
      </w:tr>
      <w:tr>
        <w:trPr>
          <w:trHeight w:val="20"/>
        </w:trPr>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4.</w:t>
            </w:r>
          </w:p>
        </w:tc>
        <w:tc>
          <w:tcPr>
            <w:tcW w:w="9000" w:type="dxa"/>
            <w:vAlign w:val="bottom"/>
            <w:gridSpan w:val="22"/>
          </w:tcPr>
          <w:p>
            <w:pPr>
              <w:spacing w:after="0"/>
              <w:rPr>
                <w:sz w:val="20"/>
                <w:szCs w:val="20"/>
                <w:color w:val="auto"/>
              </w:rPr>
            </w:pPr>
            <w:r>
              <w:rPr>
                <w:rFonts w:ascii="Arial" w:cs="Arial" w:eastAsia="Arial" w:hAnsi="Arial"/>
                <w:sz w:val="12"/>
                <w:szCs w:val="12"/>
                <w:color w:val="0000FF"/>
              </w:rPr>
              <w:t>Mine Safety Disclosures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129</w:t>
            </w:r>
          </w:p>
        </w:tc>
      </w:tr>
      <w:tr>
        <w:trPr>
          <w:trHeight w:val="331"/>
        </w:trPr>
        <w:tc>
          <w:tcPr>
            <w:tcW w:w="1380" w:type="dxa"/>
            <w:vAlign w:val="bottom"/>
            <w:gridSpan w:val="5"/>
          </w:tcPr>
          <w:p>
            <w:pPr>
              <w:spacing w:after="0"/>
              <w:rPr>
                <w:sz w:val="20"/>
                <w:szCs w:val="20"/>
                <w:color w:val="auto"/>
              </w:rPr>
            </w:pPr>
            <w:r>
              <w:rPr>
                <w:rFonts w:ascii="Arial" w:cs="Arial" w:eastAsia="Arial" w:hAnsi="Arial"/>
                <w:sz w:val="12"/>
                <w:szCs w:val="12"/>
                <w:b w:val="1"/>
                <w:bCs w:val="1"/>
                <w:color w:val="0000FF"/>
              </w:rPr>
              <w:t>PART II</w:t>
            </w: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5.</w:t>
            </w:r>
          </w:p>
        </w:tc>
        <w:tc>
          <w:tcPr>
            <w:tcW w:w="9000" w:type="dxa"/>
            <w:vAlign w:val="bottom"/>
            <w:gridSpan w:val="22"/>
          </w:tcPr>
          <w:p>
            <w:pPr>
              <w:spacing w:after="0"/>
              <w:rPr>
                <w:sz w:val="20"/>
                <w:szCs w:val="20"/>
                <w:color w:val="auto"/>
              </w:rPr>
            </w:pPr>
            <w:r>
              <w:rPr>
                <w:rFonts w:ascii="Arial" w:cs="Arial" w:eastAsia="Arial" w:hAnsi="Arial"/>
                <w:sz w:val="12"/>
                <w:szCs w:val="12"/>
                <w:color w:val="0000FF"/>
              </w:rPr>
              <w:t>Market for Registrant’s Common Equity, Related Stockholder Matters and Issuer Purchases of Equity Securities</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130</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6.</w:t>
            </w:r>
          </w:p>
        </w:tc>
        <w:tc>
          <w:tcPr>
            <w:tcW w:w="5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2"/>
                <w:szCs w:val="12"/>
                <w:color w:val="0000FF"/>
                <w:w w:val="96"/>
              </w:rPr>
              <w:t>[Reserved]</w:t>
            </w:r>
          </w:p>
        </w:tc>
        <w:tc>
          <w:tcPr>
            <w:tcW w:w="5320" w:type="dxa"/>
            <w:vAlign w:val="bottom"/>
            <w:tcBorders>
              <w:top w:val="single" w:sz="8" w:color="0000FF"/>
            </w:tcBorders>
            <w:gridSpan w:val="18"/>
          </w:tcPr>
          <w:p>
            <w:pPr>
              <w:spacing w:after="0"/>
              <w:rPr>
                <w:sz w:val="13"/>
                <w:szCs w:val="13"/>
                <w:color w:val="auto"/>
              </w:rPr>
            </w:pPr>
          </w:p>
        </w:tc>
        <w:tc>
          <w:tcPr>
            <w:tcW w:w="3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131</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7.</w:t>
            </w:r>
          </w:p>
        </w:tc>
        <w:tc>
          <w:tcPr>
            <w:tcW w:w="4720" w:type="dxa"/>
            <w:vAlign w:val="bottom"/>
            <w:tcBorders>
              <w:bottom w:val="single" w:sz="8" w:color="0000FF"/>
            </w:tcBorders>
            <w:gridSpan w:val="18"/>
          </w:tcPr>
          <w:p>
            <w:pPr>
              <w:spacing w:after="0"/>
              <w:rPr>
                <w:sz w:val="20"/>
                <w:szCs w:val="20"/>
                <w:color w:val="auto"/>
              </w:rPr>
            </w:pPr>
            <w:r>
              <w:rPr>
                <w:rFonts w:ascii="Arial" w:cs="Arial" w:eastAsia="Arial" w:hAnsi="Arial"/>
                <w:sz w:val="12"/>
                <w:szCs w:val="12"/>
                <w:color w:val="0000FF"/>
                <w:w w:val="99"/>
              </w:rPr>
              <w:t>Management’s Discussion and Analysis of Financial Condition and Results of Operations</w:t>
            </w:r>
          </w:p>
        </w:tc>
        <w:tc>
          <w:tcPr>
            <w:tcW w:w="428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131</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7A.</w:t>
            </w:r>
          </w:p>
        </w:tc>
        <w:tc>
          <w:tcPr>
            <w:tcW w:w="3140" w:type="dxa"/>
            <w:vAlign w:val="bottom"/>
            <w:tcBorders>
              <w:bottom w:val="single" w:sz="8" w:color="0000FF"/>
            </w:tcBorders>
            <w:gridSpan w:val="15"/>
          </w:tcPr>
          <w:p>
            <w:pPr>
              <w:spacing w:after="0"/>
              <w:rPr>
                <w:sz w:val="20"/>
                <w:szCs w:val="20"/>
                <w:color w:val="auto"/>
              </w:rPr>
            </w:pPr>
            <w:r>
              <w:rPr>
                <w:rFonts w:ascii="Arial" w:cs="Arial" w:eastAsia="Arial" w:hAnsi="Arial"/>
                <w:sz w:val="12"/>
                <w:szCs w:val="12"/>
                <w:color w:val="0000FF"/>
                <w:w w:val="99"/>
              </w:rPr>
              <w:t>Quantitative and Qualitative Disclosures About Market Risk</w:t>
            </w:r>
          </w:p>
        </w:tc>
        <w:tc>
          <w:tcPr>
            <w:tcW w:w="5860" w:type="dxa"/>
            <w:vAlign w:val="bottom"/>
            <w:gridSpan w:val="7"/>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149</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8.</w:t>
            </w:r>
          </w:p>
        </w:tc>
        <w:tc>
          <w:tcPr>
            <w:tcW w:w="2480" w:type="dxa"/>
            <w:vAlign w:val="bottom"/>
            <w:tcBorders>
              <w:bottom w:val="single" w:sz="8" w:color="0000FF"/>
            </w:tcBorders>
            <w:gridSpan w:val="13"/>
          </w:tcPr>
          <w:p>
            <w:pPr>
              <w:spacing w:after="0"/>
              <w:rPr>
                <w:sz w:val="20"/>
                <w:szCs w:val="20"/>
                <w:color w:val="auto"/>
              </w:rPr>
            </w:pPr>
            <w:r>
              <w:rPr>
                <w:rFonts w:ascii="Arial" w:cs="Arial" w:eastAsia="Arial" w:hAnsi="Arial"/>
                <w:sz w:val="12"/>
                <w:szCs w:val="12"/>
                <w:color w:val="0000FF"/>
                <w:w w:val="99"/>
              </w:rPr>
              <w:t>Financial Statements and Supplementary Data</w:t>
            </w:r>
          </w:p>
        </w:tc>
        <w:tc>
          <w:tcPr>
            <w:tcW w:w="6520" w:type="dxa"/>
            <w:vAlign w:val="bottom"/>
            <w:gridSpan w:val="9"/>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149</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9.</w:t>
            </w:r>
          </w:p>
        </w:tc>
        <w:tc>
          <w:tcPr>
            <w:tcW w:w="4780" w:type="dxa"/>
            <w:vAlign w:val="bottom"/>
            <w:tcBorders>
              <w:bottom w:val="single" w:sz="8" w:color="0000FF"/>
            </w:tcBorders>
            <w:gridSpan w:val="19"/>
          </w:tcPr>
          <w:p>
            <w:pPr>
              <w:spacing w:after="0"/>
              <w:rPr>
                <w:sz w:val="20"/>
                <w:szCs w:val="20"/>
                <w:color w:val="auto"/>
              </w:rPr>
            </w:pPr>
            <w:r>
              <w:rPr>
                <w:rFonts w:ascii="Arial" w:cs="Arial" w:eastAsia="Arial" w:hAnsi="Arial"/>
                <w:sz w:val="12"/>
                <w:szCs w:val="12"/>
                <w:color w:val="0000FF"/>
                <w:w w:val="99"/>
              </w:rPr>
              <w:t>Changes in and Disagreements With Accountants on Accounting and Financial Disclosure</w:t>
            </w:r>
          </w:p>
        </w:tc>
        <w:tc>
          <w:tcPr>
            <w:tcW w:w="4220" w:type="dxa"/>
            <w:vAlign w:val="bottom"/>
            <w:gridSpan w:val="3"/>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149</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9A.</w:t>
            </w:r>
          </w:p>
        </w:tc>
        <w:tc>
          <w:tcPr>
            <w:tcW w:w="1320" w:type="dxa"/>
            <w:vAlign w:val="bottom"/>
            <w:tcBorders>
              <w:bottom w:val="single" w:sz="8" w:color="0000FF"/>
            </w:tcBorders>
            <w:gridSpan w:val="9"/>
          </w:tcPr>
          <w:p>
            <w:pPr>
              <w:spacing w:after="0"/>
              <w:rPr>
                <w:sz w:val="20"/>
                <w:szCs w:val="20"/>
                <w:color w:val="auto"/>
              </w:rPr>
            </w:pPr>
            <w:r>
              <w:rPr>
                <w:rFonts w:ascii="Arial" w:cs="Arial" w:eastAsia="Arial" w:hAnsi="Arial"/>
                <w:sz w:val="12"/>
                <w:szCs w:val="12"/>
                <w:color w:val="0000FF"/>
                <w:w w:val="97"/>
              </w:rPr>
              <w:t>Controls and Procedures</w:t>
            </w:r>
          </w:p>
        </w:tc>
        <w:tc>
          <w:tcPr>
            <w:tcW w:w="7680" w:type="dxa"/>
            <w:vAlign w:val="bottom"/>
            <w:gridSpan w:val="13"/>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149</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9B.</w:t>
            </w:r>
          </w:p>
        </w:tc>
        <w:tc>
          <w:tcPr>
            <w:tcW w:w="9000" w:type="dxa"/>
            <w:vAlign w:val="bottom"/>
            <w:gridSpan w:val="22"/>
          </w:tcPr>
          <w:p>
            <w:pPr>
              <w:spacing w:after="0"/>
              <w:rPr>
                <w:sz w:val="20"/>
                <w:szCs w:val="20"/>
                <w:color w:val="auto"/>
              </w:rPr>
            </w:pPr>
            <w:r>
              <w:rPr>
                <w:rFonts w:ascii="Arial" w:cs="Arial" w:eastAsia="Arial" w:hAnsi="Arial"/>
                <w:sz w:val="12"/>
                <w:szCs w:val="12"/>
                <w:color w:val="0000FF"/>
              </w:rPr>
              <w:t>Other Information</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152</w:t>
            </w:r>
          </w:p>
        </w:tc>
      </w:tr>
      <w:tr>
        <w:trPr>
          <w:trHeight w:val="20"/>
        </w:trPr>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0000FF"/>
              </w:rPr>
              <w:t>Item 9C.</w:t>
            </w:r>
          </w:p>
        </w:tc>
        <w:tc>
          <w:tcPr>
            <w:tcW w:w="9000" w:type="dxa"/>
            <w:vAlign w:val="bottom"/>
            <w:gridSpan w:val="22"/>
          </w:tcPr>
          <w:p>
            <w:pPr>
              <w:spacing w:after="0"/>
              <w:rPr>
                <w:sz w:val="20"/>
                <w:szCs w:val="20"/>
                <w:color w:val="auto"/>
              </w:rPr>
            </w:pPr>
            <w:r>
              <w:rPr>
                <w:rFonts w:ascii="Arial" w:cs="Arial" w:eastAsia="Arial" w:hAnsi="Arial"/>
                <w:sz w:val="12"/>
                <w:szCs w:val="12"/>
                <w:color w:val="0000FF"/>
              </w:rPr>
              <w:t>Disclosure Regarding Foreign Jurisdictions That Prevent Inspection</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152</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460" w:type="dxa"/>
            <w:vAlign w:val="bottom"/>
            <w:tcBorders>
              <w:bottom w:val="single" w:sz="8" w:color="0000FF"/>
            </w:tcBorders>
            <w:gridSpan w:val="4"/>
          </w:tcPr>
          <w:p>
            <w:pPr>
              <w:spacing w:after="0"/>
              <w:rPr>
                <w:sz w:val="20"/>
                <w:szCs w:val="20"/>
                <w:color w:val="auto"/>
              </w:rPr>
            </w:pPr>
            <w:r>
              <w:rPr>
                <w:rFonts w:ascii="Arial" w:cs="Arial" w:eastAsia="Arial" w:hAnsi="Arial"/>
                <w:sz w:val="12"/>
                <w:szCs w:val="12"/>
                <w:b w:val="1"/>
                <w:bCs w:val="1"/>
                <w:color w:val="0000FF"/>
                <w:w w:val="91"/>
              </w:rPr>
              <w:t>PART III</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10.</w:t>
            </w:r>
          </w:p>
        </w:tc>
        <w:tc>
          <w:tcPr>
            <w:tcW w:w="9000" w:type="dxa"/>
            <w:vAlign w:val="bottom"/>
            <w:gridSpan w:val="22"/>
          </w:tcPr>
          <w:p>
            <w:pPr>
              <w:spacing w:after="0"/>
              <w:rPr>
                <w:sz w:val="20"/>
                <w:szCs w:val="20"/>
                <w:color w:val="auto"/>
              </w:rPr>
            </w:pPr>
            <w:r>
              <w:rPr>
                <w:rFonts w:ascii="Arial" w:cs="Arial" w:eastAsia="Arial" w:hAnsi="Arial"/>
                <w:sz w:val="12"/>
                <w:szCs w:val="12"/>
                <w:color w:val="0000FF"/>
              </w:rPr>
              <w:t>Directors, Executive Officers and Corporate Governance</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153</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11.</w:t>
            </w:r>
          </w:p>
        </w:tc>
        <w:tc>
          <w:tcPr>
            <w:tcW w:w="13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2"/>
                <w:szCs w:val="12"/>
                <w:color w:val="0000FF"/>
                <w:w w:val="97"/>
              </w:rPr>
              <w:t>Executive Compensation</w:t>
            </w:r>
          </w:p>
        </w:tc>
        <w:tc>
          <w:tcPr>
            <w:tcW w:w="1660" w:type="dxa"/>
            <w:vAlign w:val="bottom"/>
            <w:tcBorders>
              <w:top w:val="single" w:sz="8" w:color="0000FF"/>
            </w:tcBorders>
            <w:gridSpan w:val="5"/>
          </w:tcPr>
          <w:p>
            <w:pPr>
              <w:spacing w:after="0"/>
              <w:rPr>
                <w:sz w:val="13"/>
                <w:szCs w:val="13"/>
                <w:color w:val="auto"/>
              </w:rPr>
            </w:pPr>
          </w:p>
        </w:tc>
        <w:tc>
          <w:tcPr>
            <w:tcW w:w="6020" w:type="dxa"/>
            <w:vAlign w:val="bottom"/>
            <w:gridSpan w:val="8"/>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153</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12.</w:t>
            </w:r>
          </w:p>
        </w:tc>
        <w:tc>
          <w:tcPr>
            <w:tcW w:w="5340" w:type="dxa"/>
            <w:vAlign w:val="bottom"/>
            <w:tcBorders>
              <w:bottom w:val="single" w:sz="8" w:color="0000FF"/>
            </w:tcBorders>
            <w:gridSpan w:val="20"/>
          </w:tcPr>
          <w:p>
            <w:pPr>
              <w:spacing w:after="0"/>
              <w:rPr>
                <w:sz w:val="20"/>
                <w:szCs w:val="20"/>
                <w:color w:val="auto"/>
              </w:rPr>
            </w:pPr>
            <w:r>
              <w:rPr>
                <w:rFonts w:ascii="Arial" w:cs="Arial" w:eastAsia="Arial" w:hAnsi="Arial"/>
                <w:sz w:val="12"/>
                <w:szCs w:val="12"/>
                <w:color w:val="0000FF"/>
                <w:w w:val="99"/>
              </w:rPr>
              <w:t>Security Ownership of Certain Beneficial Owners and Management and Related Stockholder Matters</w:t>
            </w:r>
          </w:p>
        </w:tc>
        <w:tc>
          <w:tcPr>
            <w:tcW w:w="3660" w:type="dxa"/>
            <w:vAlign w:val="bottom"/>
            <w:gridSpan w:val="2"/>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153</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13.</w:t>
            </w:r>
          </w:p>
        </w:tc>
        <w:tc>
          <w:tcPr>
            <w:tcW w:w="9000" w:type="dxa"/>
            <w:vAlign w:val="bottom"/>
            <w:gridSpan w:val="22"/>
          </w:tcPr>
          <w:p>
            <w:pPr>
              <w:spacing w:after="0"/>
              <w:rPr>
                <w:sz w:val="20"/>
                <w:szCs w:val="20"/>
                <w:color w:val="auto"/>
              </w:rPr>
            </w:pPr>
            <w:r>
              <w:rPr>
                <w:rFonts w:ascii="Arial" w:cs="Arial" w:eastAsia="Arial" w:hAnsi="Arial"/>
                <w:sz w:val="12"/>
                <w:szCs w:val="12"/>
                <w:color w:val="0000FF"/>
              </w:rPr>
              <w:t>Certain Relationships and Related Transactions, and Director Independence</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153</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14.</w:t>
            </w:r>
          </w:p>
        </w:tc>
        <w:tc>
          <w:tcPr>
            <w:tcW w:w="4040" w:type="dxa"/>
            <w:vAlign w:val="bottom"/>
            <w:tcBorders>
              <w:top w:val="single" w:sz="8" w:color="0000FF"/>
            </w:tcBorders>
            <w:gridSpan w:val="17"/>
          </w:tcPr>
          <w:p>
            <w:pPr>
              <w:spacing w:after="0"/>
              <w:rPr>
                <w:sz w:val="20"/>
                <w:szCs w:val="20"/>
                <w:color w:val="auto"/>
              </w:rPr>
            </w:pPr>
            <w:r>
              <w:rPr>
                <w:rFonts w:ascii="Arial" w:cs="Arial" w:eastAsia="Arial" w:hAnsi="Arial"/>
                <w:sz w:val="12"/>
                <w:szCs w:val="12"/>
                <w:color w:val="0000FF"/>
              </w:rPr>
              <w:t>Principal Accountant Fees and Services</w:t>
            </w:r>
          </w:p>
        </w:tc>
        <w:tc>
          <w:tcPr>
            <w:tcW w:w="4960" w:type="dxa"/>
            <w:vAlign w:val="bottom"/>
            <w:gridSpan w:val="5"/>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153</w:t>
            </w:r>
          </w:p>
        </w:tc>
      </w:tr>
      <w:tr>
        <w:trPr>
          <w:trHeight w:val="331"/>
        </w:trPr>
        <w:tc>
          <w:tcPr>
            <w:tcW w:w="1380" w:type="dxa"/>
            <w:vAlign w:val="bottom"/>
            <w:gridSpan w:val="5"/>
          </w:tcPr>
          <w:p>
            <w:pPr>
              <w:spacing w:after="0"/>
              <w:rPr>
                <w:sz w:val="20"/>
                <w:szCs w:val="20"/>
                <w:color w:val="auto"/>
              </w:rPr>
            </w:pPr>
            <w:r>
              <w:rPr>
                <w:rFonts w:ascii="Arial" w:cs="Arial" w:eastAsia="Arial" w:hAnsi="Arial"/>
                <w:sz w:val="12"/>
                <w:szCs w:val="12"/>
                <w:b w:val="1"/>
                <w:bCs w:val="1"/>
                <w:color w:val="0000FF"/>
              </w:rPr>
              <w:t>PART IV</w:t>
            </w: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15.</w:t>
            </w:r>
          </w:p>
        </w:tc>
        <w:tc>
          <w:tcPr>
            <w:tcW w:w="2140" w:type="dxa"/>
            <w:vAlign w:val="bottom"/>
            <w:tcBorders>
              <w:bottom w:val="single" w:sz="8" w:color="0000FF"/>
            </w:tcBorders>
            <w:gridSpan w:val="12"/>
          </w:tcPr>
          <w:p>
            <w:pPr>
              <w:spacing w:after="0"/>
              <w:rPr>
                <w:sz w:val="20"/>
                <w:szCs w:val="20"/>
                <w:color w:val="auto"/>
              </w:rPr>
            </w:pPr>
            <w:r>
              <w:rPr>
                <w:rFonts w:ascii="Arial" w:cs="Arial" w:eastAsia="Arial" w:hAnsi="Arial"/>
                <w:sz w:val="12"/>
                <w:szCs w:val="12"/>
                <w:color w:val="0000FF"/>
                <w:w w:val="98"/>
              </w:rPr>
              <w:t>Exhibits, Financial Statement Schedules</w:t>
            </w:r>
          </w:p>
        </w:tc>
        <w:tc>
          <w:tcPr>
            <w:tcW w:w="6860" w:type="dxa"/>
            <w:vAlign w:val="bottom"/>
            <w:gridSpan w:val="10"/>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154</w:t>
            </w:r>
          </w:p>
        </w:tc>
      </w:tr>
      <w:tr>
        <w:trPr>
          <w:trHeight w:val="151"/>
        </w:trPr>
        <w:tc>
          <w:tcPr>
            <w:tcW w:w="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2"/>
                <w:szCs w:val="12"/>
                <w:color w:val="auto"/>
              </w:rPr>
              <w:t>Item 16.</w:t>
            </w:r>
          </w:p>
        </w:tc>
        <w:tc>
          <w:tcPr>
            <w:tcW w:w="9000" w:type="dxa"/>
            <w:vAlign w:val="bottom"/>
            <w:gridSpan w:val="22"/>
          </w:tcPr>
          <w:p>
            <w:pPr>
              <w:spacing w:after="0"/>
              <w:rPr>
                <w:sz w:val="20"/>
                <w:szCs w:val="20"/>
                <w:color w:val="auto"/>
              </w:rPr>
            </w:pPr>
            <w:r>
              <w:rPr>
                <w:rFonts w:ascii="Arial" w:cs="Arial" w:eastAsia="Arial" w:hAnsi="Arial"/>
                <w:sz w:val="12"/>
                <w:szCs w:val="12"/>
                <w:color w:val="0000FF"/>
              </w:rPr>
              <w:t>Form 10-K Summary</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159</w:t>
            </w:r>
          </w:p>
        </w:tc>
      </w:tr>
      <w:tr>
        <w:trPr>
          <w:trHeight w:val="621"/>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Borders>
              <w:top w:val="single" w:sz="8" w:color="0000FF"/>
            </w:tcBorders>
            <w:gridSpan w:val="7"/>
          </w:tcPr>
          <w:p>
            <w:pPr>
              <w:spacing w:after="0"/>
              <w:rPr>
                <w:sz w:val="24"/>
                <w:szCs w:val="24"/>
                <w:color w:val="auto"/>
              </w:rPr>
            </w:pPr>
          </w:p>
        </w:tc>
        <w:tc>
          <w:tcPr>
            <w:tcW w:w="3620" w:type="dxa"/>
            <w:vAlign w:val="bottom"/>
            <w:gridSpan w:val="11"/>
          </w:tcPr>
          <w:p>
            <w:pPr>
              <w:jc w:val="right"/>
              <w:ind w:right="42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
        </w:trPr>
        <w:tc>
          <w:tcPr>
            <w:tcW w:w="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2"/>
          <w:szCs w:val="12"/>
          <w:b w:val="1"/>
          <w:bCs w:val="1"/>
          <w:color w:val="auto"/>
        </w:rPr>
        <w:t>CAUTIONARY NOTE REGARDING FORWARD-LOOKING STATEMENTS AND RISK FACTOR SUMMARY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“would,” “could,” “should,” “continue” and similar expressions are intended to identify forward-looking statements, although not all forward-looking statements contain these identifying words.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forward-looking statements in this Annual Report on Form 10-K include, among other things, statements about:</w:t>
      </w:r>
    </w:p>
    <w:p>
      <w:pPr>
        <w:spacing w:after="0" w:line="78" w:lineRule="exact"/>
        <w:rPr>
          <w:sz w:val="20"/>
          <w:szCs w:val="20"/>
          <w:color w:val="auto"/>
        </w:rPr>
      </w:pPr>
    </w:p>
    <w:p>
      <w:pPr>
        <w:ind w:left="640" w:right="60" w:hanging="216"/>
        <w:spacing w:after="0" w:line="286" w:lineRule="auto"/>
        <w:tabs>
          <w:tab w:leader="none" w:pos="637"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initiation, timing, progress and results of our current and future clinical trials of vepdegestrant, ARV-393 and ARV-102, and current clinical trials of bavdegalutamide, including statements regarding the period during which the results of the clinical trials will become available or the forum in which we will present such results;</w:t>
      </w:r>
    </w:p>
    <w:p>
      <w:pPr>
        <w:spacing w:after="0" w:line="31" w:lineRule="exact"/>
        <w:rPr>
          <w:rFonts w:ascii="Arial" w:cs="Arial" w:eastAsia="Arial" w:hAnsi="Arial"/>
          <w:sz w:val="12"/>
          <w:szCs w:val="12"/>
          <w:color w:val="auto"/>
        </w:rPr>
      </w:pPr>
    </w:p>
    <w:p>
      <w:pPr>
        <w:ind w:left="640" w:right="240" w:hanging="216"/>
        <w:spacing w:after="0" w:line="286" w:lineRule="auto"/>
        <w:tabs>
          <w:tab w:leader="none" w:pos="637"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timing of, and our ability to obtain, marketing approval of our product candidates, including vepdegestrant, and the ability of our product candidates, including vepdegestrant, to meet existing or future regulatory standards;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potential achievement of milestones and receipt of payments under our collaborations, including our collaboration with Pfizer Inc. entered into in July 2021;</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potential receipt of payments based on the achievement of milestones related to luxdegalutamide (ARV-766) and future royalties under our license agreement with Novartis Pharma AG;</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plans to pursue research and development of other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expectation to wind down our bavdegalutamide program after completion of current ongoing clinical trials (ARV-110-101 and ARV-110-103);</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filing of an investigational new drug application for our kirsten rat sarcoma GD12 program;</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potential advantages of our platform technology and potential advantages and therapeutic benefits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extent to which our scientific approach and platform technology may potentially address a broad range of diseases and disease targets;</w:t>
      </w:r>
    </w:p>
    <w:p>
      <w:pPr>
        <w:spacing w:after="0" w:line="78" w:lineRule="exact"/>
        <w:rPr>
          <w:rFonts w:ascii="Arial" w:cs="Arial" w:eastAsia="Arial" w:hAnsi="Arial"/>
          <w:sz w:val="12"/>
          <w:szCs w:val="12"/>
          <w:color w:val="auto"/>
        </w:rPr>
      </w:pPr>
    </w:p>
    <w:p>
      <w:pPr>
        <w:ind w:left="640" w:right="60" w:hanging="216"/>
        <w:spacing w:after="0" w:line="286" w:lineRule="auto"/>
        <w:tabs>
          <w:tab w:leader="none" w:pos="637" w:val="left"/>
        </w:tabs>
        <w:numPr>
          <w:ilvl w:val="0"/>
          <w:numId w:val="1"/>
        </w:numPr>
        <w:rPr>
          <w:rFonts w:ascii="Arial" w:cs="Arial" w:eastAsia="Arial" w:hAnsi="Arial"/>
          <w:sz w:val="12"/>
          <w:szCs w:val="12"/>
          <w:color w:val="auto"/>
        </w:rPr>
      </w:pPr>
      <w:r>
        <w:rPr>
          <w:rFonts w:ascii="Arial" w:cs="Arial" w:eastAsia="Arial" w:hAnsi="Arial"/>
          <w:sz w:val="12"/>
          <w:szCs w:val="12"/>
          <w:color w:val="auto"/>
        </w:rPr>
        <w:t>favorable clinical trial results in our ongoing oncology and neurodegenerative programs providing further validation of our platform as a new therapeutic modality for the potential treatment of diseases caused by dysregulated intracellular proteins regardless of therapeutic area;</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potential receipt of revenue from future sales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estimates regarding the potential market opportunity for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commercialization plans, and sales, marketing and distribution capabilities and strategy;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establish and maintain arrangements for manufacture and testing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enter into additional collaborations with third parties;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intellectual property position;</w:t>
      </w:r>
    </w:p>
    <w:p>
      <w:pPr>
        <w:spacing w:after="0" w:line="78" w:lineRule="exact"/>
        <w:rPr>
          <w:rFonts w:ascii="Arial" w:cs="Arial" w:eastAsia="Arial" w:hAnsi="Arial"/>
          <w:sz w:val="12"/>
          <w:szCs w:val="12"/>
          <w:color w:val="auto"/>
        </w:rPr>
      </w:pPr>
    </w:p>
    <w:p>
      <w:pPr>
        <w:ind w:left="640" w:right="360" w:hanging="216"/>
        <w:spacing w:after="0" w:line="286" w:lineRule="auto"/>
        <w:tabs>
          <w:tab w:leader="none" w:pos="637"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estimates regarding expenses, future revenues, capital requirements and needs for additional financing and statements regarding Arvinas’ cash, cash equivalents and marketable securities, including their sufficiency to fund planned operating expenses and capital expenditure requirements into 2027;</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883" w:right="379" w:bottom="1440" w:gutter="0" w:footer="0" w:header="0"/>
        </w:sectPr>
      </w:pPr>
    </w:p>
    <w:bookmarkStart w:id="3" w:name="page4"/>
    <w:bookmarkEnd w:id="3"/>
    <w:p>
      <w:pPr>
        <w:ind w:left="640" w:hanging="216"/>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belief that there are not currently any risks from known cybersecurity threats that have materially affected or are reasonably likely to materially affect us;</w:t>
      </w:r>
    </w:p>
    <w:p>
      <w:pPr>
        <w:spacing w:after="0" w:line="78" w:lineRule="exact"/>
        <w:rPr>
          <w:rFonts w:ascii="Arial" w:cs="Arial" w:eastAsia="Arial" w:hAnsi="Arial"/>
          <w:sz w:val="12"/>
          <w:szCs w:val="12"/>
          <w:color w:val="auto"/>
        </w:rPr>
      </w:pPr>
    </w:p>
    <w:p>
      <w:pPr>
        <w:ind w:left="640" w:right="20" w:hanging="216"/>
        <w:spacing w:after="0" w:line="286" w:lineRule="auto"/>
        <w:tabs>
          <w:tab w:leader="none" w:pos="637"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belief that our facilities are sufficient to meet our current needs and that suitable additional or alternative space will be available as and when needed on commercially reasonable terms for our future growth;</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impact of government laws and regulations;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competitive position.</w:t>
      </w:r>
    </w:p>
    <w:p>
      <w:pPr>
        <w:spacing w:after="0" w:line="150"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You should read this Annual Report on Form 10-K and the documents that we have filed as exhibits to this Annual Report on Form 10-K completely and with the understanding that our future results may differ materially from what we expect. We do not assume any obligation to update any forward-looking statements except as required by applicable law.</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Annual Report on Form 10-K also contains estimates and other statistical data made by independent parties and by us relating to market size and other data about our industry. This data</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involves a number of assumptions and limitations, and you are cautioned not to give undue weight to such data and estimates. In addition, projections, assumptions and estimates of our future performance and the future performance of the markets in which we operate are necessarily subject to a high degree of uncertainty and risk. Cross-trial comparisons are not based on head-to-head studies and no direct comparisons can be made.</w:t>
      </w:r>
    </w:p>
    <w:p>
      <w:pPr>
        <w:spacing w:after="0" w:line="114"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Throughout this Annual Report on Form 10-K, the “Company,” “Arvinas,” “we,” “us,” and “our,” except where the context requires otherwise, refer to Arvinas, Inc. and its consolidated subsidiaries, or any one or more of them as the context may require, and “our board of directors” refers to the board of directors of Arvinas, Inc.</w:t>
      </w:r>
    </w:p>
    <w:p>
      <w:pPr>
        <w:spacing w:after="0" w:line="103"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The Arvinas name and logo are our trademarks.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 Summary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business is subject to a number of risks that if realized could materially affect our business, prospects, operating results and financial condition. These risks are discussed more fully in the “Risk</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Factors” section of this Annual Report on Form 10-K. These risks include the following:</w:t>
      </w:r>
    </w:p>
    <w:p>
      <w:pPr>
        <w:spacing w:after="0" w:line="66" w:lineRule="exact"/>
        <w:rPr>
          <w:sz w:val="20"/>
          <w:szCs w:val="20"/>
          <w:color w:val="auto"/>
        </w:rPr>
      </w:pPr>
    </w:p>
    <w:p>
      <w:pPr>
        <w:ind w:left="640" w:right="300" w:hanging="216"/>
        <w:spacing w:after="0" w:line="28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We expect to incur losses over at least the next several years and may never achieve or maintain profitability. Our net losses totaled $198.9 million, $367.3 million and $282.5 million for the years ended December 31, 2024, 2023, and 2022, respectively.</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never generated revenue from product sales and may never be profitable.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4" w:name="page5"/>
    <w:bookmarkEnd w:id="4"/>
    <w:p>
      <w:pPr>
        <w:ind w:left="220" w:right="320" w:hanging="216"/>
        <w:spacing w:after="0" w:line="286"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will need substantial additional funding to continue our operations. If we are unable to raise capital when needed, we may be required to delay, limit, reduce or terminate our research, product development programs or future commercialization efforts.</w:t>
      </w:r>
    </w:p>
    <w:p>
      <w:pPr>
        <w:spacing w:after="0" w:line="31" w:lineRule="exact"/>
        <w:rPr>
          <w:rFonts w:ascii="Arial" w:cs="Arial" w:eastAsia="Arial" w:hAnsi="Arial"/>
          <w:sz w:val="12"/>
          <w:szCs w:val="12"/>
          <w:color w:val="auto"/>
        </w:rPr>
      </w:pPr>
    </w:p>
    <w:p>
      <w:pPr>
        <w:ind w:left="220" w:hanging="216"/>
        <w:spacing w:after="0"/>
        <w:tabs>
          <w:tab w:leader="none" w:pos="2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Raising additional capital may cause dilution to our stockholders, restrict our operations or require us to relinquish rights to our technologies or product candidates.</w:t>
      </w:r>
    </w:p>
    <w:p>
      <w:pPr>
        <w:spacing w:after="0" w:line="78" w:lineRule="exact"/>
        <w:rPr>
          <w:rFonts w:ascii="Arial" w:cs="Arial" w:eastAsia="Arial" w:hAnsi="Arial"/>
          <w:sz w:val="12"/>
          <w:szCs w:val="12"/>
          <w:color w:val="auto"/>
        </w:rPr>
      </w:pPr>
    </w:p>
    <w:p>
      <w:pPr>
        <w:ind w:left="220" w:right="260" w:hanging="216"/>
        <w:spacing w:after="0" w:line="286"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31" w:lineRule="exact"/>
        <w:rPr>
          <w:rFonts w:ascii="Arial" w:cs="Arial" w:eastAsia="Arial" w:hAnsi="Arial"/>
          <w:sz w:val="12"/>
          <w:szCs w:val="12"/>
          <w:color w:val="auto"/>
        </w:rPr>
      </w:pPr>
    </w:p>
    <w:p>
      <w:pPr>
        <w:ind w:left="220" w:hanging="216"/>
        <w:spacing w:after="0"/>
        <w:tabs>
          <w:tab w:leader="none" w:pos="2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early in our development efforts. If we are unable to commercialize our product candidates or experience significant delays in doing so, our business will be materially harmed.</w:t>
      </w:r>
    </w:p>
    <w:p>
      <w:pPr>
        <w:spacing w:after="0" w:line="78" w:lineRule="exact"/>
        <w:rPr>
          <w:rFonts w:ascii="Arial" w:cs="Arial" w:eastAsia="Arial" w:hAnsi="Arial"/>
          <w:sz w:val="12"/>
          <w:szCs w:val="12"/>
          <w:color w:val="auto"/>
        </w:rPr>
      </w:pPr>
    </w:p>
    <w:p>
      <w:pPr>
        <w:jc w:val="both"/>
        <w:ind w:left="220" w:right="100" w:hanging="216"/>
        <w:spacing w:after="0" w:line="262"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Drug development involves a lengthy and expensive process, with an uncertain outcome. We may incur unexpected costs or experience delays in completing, or ultimately be unable to complete, the development and commercialization of our product candidates. We cannot be certain of the timely completion or outcome of our preclinical testing and studies and cannot predict if the U.S. Food and Drug Administration, or FDA, or similar regulatory authorities outside the United States will accept our proposed clinical programs or if the outcome of our preclinical testing and studies will ultimately support the further development of our programs.</w:t>
      </w:r>
    </w:p>
    <w:p>
      <w:pPr>
        <w:spacing w:after="0" w:line="45" w:lineRule="exact"/>
        <w:rPr>
          <w:rFonts w:ascii="Arial" w:cs="Arial" w:eastAsia="Arial" w:hAnsi="Arial"/>
          <w:sz w:val="12"/>
          <w:szCs w:val="12"/>
          <w:color w:val="auto"/>
        </w:rPr>
      </w:pPr>
    </w:p>
    <w:p>
      <w:pPr>
        <w:ind w:left="220" w:right="40" w:hanging="216"/>
        <w:spacing w:after="0" w:line="268"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41" w:lineRule="exact"/>
        <w:rPr>
          <w:rFonts w:ascii="Arial" w:cs="Arial" w:eastAsia="Arial" w:hAnsi="Arial"/>
          <w:sz w:val="12"/>
          <w:szCs w:val="12"/>
          <w:color w:val="auto"/>
        </w:rPr>
      </w:pPr>
    </w:p>
    <w:p>
      <w:pPr>
        <w:ind w:left="220" w:right="60" w:hanging="216"/>
        <w:spacing w:after="0" w:line="286"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1" w:lineRule="exact"/>
        <w:rPr>
          <w:rFonts w:ascii="Arial" w:cs="Arial" w:eastAsia="Arial" w:hAnsi="Arial"/>
          <w:sz w:val="12"/>
          <w:szCs w:val="12"/>
          <w:color w:val="auto"/>
        </w:rPr>
      </w:pPr>
    </w:p>
    <w:p>
      <w:pPr>
        <w:jc w:val="both"/>
        <w:ind w:left="220" w:hanging="216"/>
        <w:spacing w:after="0" w:line="268"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developing and plan to continue to develop our product candidates in combination with other drugs. If the FDA or similar regulatory authorities outside of the United States do not approve these other drugs, or revoke their approval of such drugs, or if safety, efficacy, manufacturing or supply issues arise with the drugs we choose to evaluate in combination with our product candidates, we may be unable to obtain approval of or market our products.</w:t>
      </w:r>
    </w:p>
    <w:p>
      <w:pPr>
        <w:spacing w:after="0" w:line="41" w:lineRule="exact"/>
        <w:rPr>
          <w:rFonts w:ascii="Arial" w:cs="Arial" w:eastAsia="Arial" w:hAnsi="Arial"/>
          <w:sz w:val="12"/>
          <w:szCs w:val="12"/>
          <w:color w:val="auto"/>
        </w:rPr>
      </w:pPr>
    </w:p>
    <w:p>
      <w:pPr>
        <w:ind w:left="220" w:hanging="216"/>
        <w:spacing w:after="0"/>
        <w:tabs>
          <w:tab w:leader="none" w:pos="2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face substantial competition, which may result in others discovering, developing or commercializing products before or more successfully than we do.</w:t>
      </w:r>
    </w:p>
    <w:p>
      <w:pPr>
        <w:spacing w:after="0" w:line="78" w:lineRule="exact"/>
        <w:rPr>
          <w:rFonts w:ascii="Arial" w:cs="Arial" w:eastAsia="Arial" w:hAnsi="Arial"/>
          <w:sz w:val="12"/>
          <w:szCs w:val="12"/>
          <w:color w:val="auto"/>
        </w:rPr>
      </w:pPr>
    </w:p>
    <w:p>
      <w:pPr>
        <w:ind w:left="220" w:right="80" w:hanging="216"/>
        <w:spacing w:after="0" w:line="268"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currently depend, and expect to continue to depend, on collaborations, license arrangements, and other strategic alliances with third parties for the research, development, and the potential future commercialization of certain of the product candidates we may develop. If any such collaborations are not successful, we may not be able to capitalize on the market potential of those product candidates.</w:t>
      </w:r>
    </w:p>
    <w:p>
      <w:pPr>
        <w:spacing w:after="0" w:line="41" w:lineRule="exact"/>
        <w:rPr>
          <w:rFonts w:ascii="Arial" w:cs="Arial" w:eastAsia="Arial" w:hAnsi="Arial"/>
          <w:sz w:val="12"/>
          <w:szCs w:val="12"/>
          <w:color w:val="auto"/>
        </w:rPr>
      </w:pPr>
    </w:p>
    <w:p>
      <w:pPr>
        <w:ind w:left="220" w:right="620" w:hanging="216"/>
        <w:spacing w:after="0" w:line="286"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seek to establish additional collaborations or out-license the development of our product candidates. If we are not able to establish collaborations or enter into these out-licenses on commercially reasonable terms, we may have to alter our business development plans or product development and commercialization plans.</w:t>
      </w:r>
    </w:p>
    <w:p>
      <w:pPr>
        <w:spacing w:after="0" w:line="31" w:lineRule="exact"/>
        <w:rPr>
          <w:rFonts w:ascii="Arial" w:cs="Arial" w:eastAsia="Arial" w:hAnsi="Arial"/>
          <w:sz w:val="12"/>
          <w:szCs w:val="12"/>
          <w:color w:val="auto"/>
        </w:rPr>
      </w:pPr>
    </w:p>
    <w:p>
      <w:pPr>
        <w:ind w:left="220" w:right="180" w:hanging="216"/>
        <w:spacing w:after="0" w:line="286"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rely and expect to continue to rely on third parties to conduct our clinical trials, and those third parties may not perform satisfactorily, including failing to meet deadlines for the completion of such trials.</w:t>
      </w:r>
    </w:p>
    <w:p>
      <w:pPr>
        <w:spacing w:after="0" w:line="31" w:lineRule="exact"/>
        <w:rPr>
          <w:rFonts w:ascii="Arial" w:cs="Arial" w:eastAsia="Arial" w:hAnsi="Arial"/>
          <w:sz w:val="12"/>
          <w:szCs w:val="12"/>
          <w:color w:val="auto"/>
        </w:rPr>
      </w:pPr>
    </w:p>
    <w:p>
      <w:pPr>
        <w:ind w:left="220" w:right="40" w:hanging="216"/>
        <w:spacing w:after="0" w:line="268" w:lineRule="auto"/>
        <w:tabs>
          <w:tab w:leader="none" w:pos="2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rely on third-party CMOs for the manufacture and testing of both drug substance and finished drug product for our product candidates for preclinical testing and clinical trials and expect to continue to do so for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41" w:lineRule="exact"/>
        <w:rPr>
          <w:rFonts w:ascii="Arial" w:cs="Arial" w:eastAsia="Arial" w:hAnsi="Arial"/>
          <w:sz w:val="12"/>
          <w:szCs w:val="12"/>
          <w:color w:val="auto"/>
        </w:rPr>
      </w:pPr>
    </w:p>
    <w:p>
      <w:pPr>
        <w:ind w:left="220" w:hanging="216"/>
        <w:spacing w:after="0"/>
        <w:tabs>
          <w:tab w:leader="none" w:pos="2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U.S. and international trade policies, particularly with respect to China, may adversely impact our business and operating results.</w:t>
      </w: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20"/>
          </w:cols>
          <w:pgMar w:left="720" w:top="739" w:right="359" w:bottom="1440" w:gutter="0" w:footer="0" w:header="0"/>
        </w:sectPr>
      </w:pPr>
    </w:p>
    <w:bookmarkStart w:id="5" w:name="page6"/>
    <w:bookmarkEnd w:id="5"/>
    <w:p>
      <w:pPr>
        <w:ind w:left="220" w:right="500" w:hanging="216"/>
        <w:spacing w:after="0" w:line="286"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1" w:lineRule="exact"/>
        <w:rPr>
          <w:rFonts w:ascii="Arial" w:cs="Arial" w:eastAsia="Arial" w:hAnsi="Arial"/>
          <w:sz w:val="12"/>
          <w:szCs w:val="12"/>
          <w:color w:val="auto"/>
        </w:rPr>
      </w:pPr>
    </w:p>
    <w:p>
      <w:pPr>
        <w:ind w:left="220" w:right="40" w:hanging="216"/>
        <w:spacing w:after="0" w:line="286"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31" w:lineRule="exact"/>
        <w:rPr>
          <w:rFonts w:ascii="Arial" w:cs="Arial" w:eastAsia="Arial" w:hAnsi="Arial"/>
          <w:sz w:val="12"/>
          <w:szCs w:val="12"/>
          <w:color w:val="auto"/>
        </w:rPr>
      </w:pPr>
    </w:p>
    <w:p>
      <w:pPr>
        <w:jc w:val="both"/>
        <w:ind w:left="220" w:right="160" w:hanging="216"/>
        <w:spacing w:after="0" w:line="268"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 and we may not be able to compete effectively in our market.</w:t>
      </w:r>
    </w:p>
    <w:p>
      <w:pPr>
        <w:spacing w:after="0" w:line="41" w:lineRule="exact"/>
        <w:rPr>
          <w:rFonts w:ascii="Arial" w:cs="Arial" w:eastAsia="Arial" w:hAnsi="Arial"/>
          <w:sz w:val="12"/>
          <w:szCs w:val="12"/>
          <w:color w:val="auto"/>
        </w:rPr>
      </w:pPr>
    </w:p>
    <w:p>
      <w:pPr>
        <w:ind w:left="220" w:right="100" w:hanging="216"/>
        <w:spacing w:after="0" w:line="268"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Even if we complete the necessary preclinical studies and clinical trials, the marketing approval process is expensive, time-consuming and uncertain and may prevent us from obtaining approvals for the commercialization of any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41" w:lineRule="exact"/>
        <w:rPr>
          <w:rFonts w:ascii="Arial" w:cs="Arial" w:eastAsia="Arial" w:hAnsi="Arial"/>
          <w:sz w:val="12"/>
          <w:szCs w:val="12"/>
          <w:color w:val="auto"/>
        </w:rPr>
      </w:pPr>
    </w:p>
    <w:p>
      <w:pPr>
        <w:ind w:left="220" w:right="40" w:hanging="216"/>
        <w:spacing w:after="0" w:line="286"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31" w:lineRule="exact"/>
        <w:rPr>
          <w:rFonts w:ascii="Arial" w:cs="Arial" w:eastAsia="Arial" w:hAnsi="Arial"/>
          <w:sz w:val="12"/>
          <w:szCs w:val="12"/>
          <w:color w:val="auto"/>
        </w:rPr>
      </w:pPr>
    </w:p>
    <w:p>
      <w:pPr>
        <w:ind w:left="220" w:hanging="216"/>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future success depends on our ability to retain key employees, consultants and advisors and to attract, train, retain and motivate qualified personnel.</w:t>
      </w:r>
    </w:p>
    <w:p>
      <w:pPr>
        <w:spacing w:after="0" w:line="78" w:lineRule="exact"/>
        <w:rPr>
          <w:rFonts w:ascii="Arial" w:cs="Arial" w:eastAsia="Arial" w:hAnsi="Arial"/>
          <w:sz w:val="12"/>
          <w:szCs w:val="12"/>
          <w:color w:val="auto"/>
        </w:rPr>
      </w:pPr>
    </w:p>
    <w:p>
      <w:pPr>
        <w:ind w:left="220" w:hanging="216"/>
        <w:spacing w:after="0" w:line="268" w:lineRule="auto"/>
        <w:tabs>
          <w:tab w:leader="none" w:pos="21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internal computer systems and those of our collaborators, contractors, consultants and other third parties are vulnerable to cyber attacks, cyber intrusions and security breaches, which could not only materially disrupt our business operations and result in the loss of confidential information, but also damage the integrity of our clinical trials, impact our regulatory filings, compromise our ability to protect our intellectual property, and subject us to regulatory actions that could result in significant fines or other penalties.</w:t>
      </w:r>
    </w:p>
    <w:p>
      <w:pPr>
        <w:spacing w:after="0" w:line="41" w:lineRule="exact"/>
        <w:rPr>
          <w:rFonts w:ascii="Arial" w:cs="Arial" w:eastAsia="Arial" w:hAnsi="Arial"/>
          <w:sz w:val="12"/>
          <w:szCs w:val="12"/>
          <w:color w:val="auto"/>
        </w:rPr>
      </w:pPr>
    </w:p>
    <w:p>
      <w:pPr>
        <w:ind w:left="220" w:hanging="216"/>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price of our common stock is volatile and may fluctuate substantially, which could result in the loss of all or part of our stockholders’ investment.</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80"/>
          </w:cols>
          <w:pgMar w:left="720" w:top="739"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Overview, Programs and Pipeline</w:t>
      </w:r>
    </w:p>
    <w:p>
      <w:pPr>
        <w:spacing w:after="0" w:line="7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are a clinical-stage biotechnology company dedicated to improving the lives of patients suffering from debilitating and life-threatening diseases. Through our PROteolysis TArgeting Chimera, or PROTAC, Discovery Engine, our technology platform to engineer proteolysis-targeting chimeras, or PROTAC protein degraders, we are pioneering the development of protein degradation therapies designed to harness the body’s own natural protein disposal system to selectively and efficiently degrade and remove disease-causing proteins. We believe that our targeted protein degradation approach is a therapeutic modality that may provide distinct advantages over existing modalities, including traditional small molecule therapies and gene-based medicines. We have a robust preclinical pipeline of PROTAC protein degraders targeting a broad range of intracellular disease targets, including those representing proteins that currently cannot be addressed by existing small molecule therapies, commonly referred to as “undruggable” targets. We are using our PROTAC Discovery Engine to build an extensive pipeline of protein degradation product candidates to target diseases in areas of unmet need, including oncology (including hematology and immuno-oncology), neuroscience, and other therapeutic areas. We and our collaborators have initiated programs across multiple therapeutic areas with the goal of developing and delivering life-changing therapies to patients in need. We are currently progressing multiple product candidates through clinical development programs, including vepdegestrant, targeting the estrogen receptor, or ER, for the treatment of locally advanced or metastatic ER positive / human epidermal growth factor receptor 2, or HER2, negative, or ER+/HER2-, breast cancer; ARV-393, targeting the B-cell lymphoma 6, or BCL6, protein for the treatment of relapsed/refractory non-Hodgkin Lymphoma, or NHL; and ARV-102, targeting the leucine-rich repeat kinase 2, or LRRK2, protein for the treatment of neurodegenerative disorders. We also have programs in preclinical development, including our Kirsten rat sarcoma, or KRAS, G12D program.</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pipeline, which includes an overview of our ongoing and planned pivotal trials for vepdegestrant, as well as our clinical and preclinical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103505</wp:posOffset>
            </wp:positionV>
            <wp:extent cx="3771900" cy="2040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 A list of the prioritized vepdegestrant development program pipeline is included on page 7 of this Annual Report on Form 10-K.</w:t>
      </w:r>
    </w:p>
    <w:p>
      <w:pPr>
        <w:ind w:left="420"/>
        <w:spacing w:after="0" w:line="227" w:lineRule="auto"/>
        <w:rPr>
          <w:sz w:val="20"/>
          <w:szCs w:val="20"/>
          <w:color w:val="auto"/>
        </w:rPr>
      </w:pPr>
      <w:r>
        <w:rPr>
          <w:rFonts w:ascii="Arial" w:cs="Arial" w:eastAsia="Arial" w:hAnsi="Arial"/>
          <w:sz w:val="10"/>
          <w:szCs w:val="10"/>
          <w:color w:val="auto"/>
        </w:rPr>
        <w:t>b. Pending emerging data and health authority feedback</w:t>
      </w:r>
    </w:p>
    <w:p>
      <w:pPr>
        <w:ind w:left="420"/>
        <w:spacing w:after="0"/>
        <w:rPr>
          <w:sz w:val="20"/>
          <w:szCs w:val="20"/>
          <w:color w:val="auto"/>
        </w:rPr>
      </w:pPr>
      <w:r>
        <w:rPr>
          <w:rFonts w:ascii="Arial" w:cs="Arial" w:eastAsia="Arial" w:hAnsi="Arial"/>
          <w:sz w:val="8"/>
          <w:szCs w:val="8"/>
          <w:color w:val="auto"/>
        </w:rPr>
        <w:t>ER, estrogen receptor; 1L, first-line; 2L, second-line; CDK, cyclin-dependent kinase; BCL6, B-cell lymphoma 6; LRRK2, leucine-rich repeat kinase 2; KRAS, Kirsten rat sarcoma viral oncogene homolog; IND, investigational new drug; AR, androgen receptor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7" w:name="page8"/>
    <w:bookmarkEnd w:id="7"/>
    <w:p>
      <w:pPr>
        <w:ind w:right="80" w:firstLine="432"/>
        <w:spacing w:after="0" w:line="297" w:lineRule="auto"/>
        <w:rPr>
          <w:sz w:val="20"/>
          <w:szCs w:val="20"/>
          <w:color w:val="auto"/>
        </w:rPr>
      </w:pPr>
      <w:r>
        <w:rPr>
          <w:rFonts w:ascii="Arial" w:cs="Arial" w:eastAsia="Arial" w:hAnsi="Arial"/>
          <w:sz w:val="12"/>
          <w:szCs w:val="12"/>
          <w:color w:val="auto"/>
        </w:rPr>
        <w:t>In addition to the programs above and our early-stage collaborations, including with Pfizer, Inc., or Pfizer, and Genentech, Inc. and F. Hoffman-La Roche Ltd., or Genentech, we are conducting exploratory research and development work on multiple other undisclosed targets</w:t>
      </w:r>
      <w:r>
        <w:rPr>
          <w:rFonts w:ascii="Arial" w:cs="Arial" w:eastAsia="Arial" w:hAnsi="Arial"/>
          <w:sz w:val="14"/>
          <w:szCs w:val="14"/>
          <w:color w:val="auto"/>
        </w:rPr>
        <w:t>.</w:t>
      </w:r>
    </w:p>
    <w:p>
      <w:pPr>
        <w:spacing w:after="0" w:line="8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Further, in 2024, we had two programs designed to target the androgen receptor, or AR, luxdegalutamide (ARV-766) and bavdegalutamide (ARV-110). In the second quarter of 2024, we entered into and closed a transaction with Novartis Pharma AG, or Novartis, pursuant to which we granted Novartis an exclusive worldwide license for the development, manufacture and commercialization of luxdegalutamide (ARV-766). As of December 31, 2024, we completed the transition of our ongoing and planned clinical trials of luxdegalutamide (ARV-766) to Novartis. Based on a decision early in the fourth quarter of 2023, to prioritize clinical development of luxdegalutamide (ARV-766), we will not be enrolling new patients in our ongoing trial activities with bavdegalutamide (ARV-110-101 and ARV-110-103) and we expect to wind down our bavdegalutamide programs after completion of these clinical trials.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Introduction to the Company</w:t>
      </w:r>
    </w:p>
    <w:p>
      <w:pPr>
        <w:spacing w:after="0" w:line="78"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We have been a leader in the field of directed protein degradation using chimeric small molecules since our founding in 2013. We have assembled a scientific team with extensive know-how and translational medicine expertise to develop PROTAC targeted protein degraders with features not previously disclosed in published third-party studies. Our management team draws on extensive experience in all phases of drug discovery and development gained at large pharmaceutical and biotechnology companies to continue to advance our product pipeline and expand the capabilities of our platform.</w:t>
      </w:r>
    </w:p>
    <w:p>
      <w:pPr>
        <w:spacing w:after="0" w:line="114"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have designed and optimized our proprietary PROTAC Discovery Engine for the discovery of PROTAC therapeutics to address diseases caused by abnormal proteins or aberrant protein expression. We engineer our PROTAC targeted protein degraders to tag a target protein for degradation through the ubiquitin proteasome system, one of the cell’s natural protein disposal systems, and then to iteratively degrade additional target protein molecules. The PROTAC Discovery Engine includes advanced screening capabilities, including in-house high-throughput and deoxyribonucleic acid, or DNA, -encoded library screening abilities that are tailored to the needs of incorporation into PROTAC protein degraders and to optimize their drug-like properties. Following selection and identification, we use tools including predictive computational modeling and privileged linkers that allow the potential for increased potency and selectivity. Finally, we have utilized our own proprietary PROTAC-specific optimization strategies, which we refer to as the Arvinas Rules, to create PROTAC degraders that, for example, are capable of being delivered through multiple routes of administration, including oral delivery, as well as PROTAC targeted protein degraders that are able to penetrate the blood brain barrier.</w:t>
      </w:r>
    </w:p>
    <w:p>
      <w:pPr>
        <w:spacing w:after="0" w:line="122" w:lineRule="exact"/>
        <w:rPr>
          <w:sz w:val="20"/>
          <w:szCs w:val="20"/>
          <w:color w:val="auto"/>
        </w:rPr>
      </w:pPr>
    </w:p>
    <w:p>
      <w:pPr>
        <w:ind w:right="440" w:firstLine="432"/>
        <w:spacing w:after="0" w:line="334" w:lineRule="auto"/>
        <w:rPr>
          <w:sz w:val="20"/>
          <w:szCs w:val="20"/>
          <w:color w:val="auto"/>
        </w:rPr>
      </w:pPr>
      <w:r>
        <w:rPr>
          <w:rFonts w:ascii="Arial" w:cs="Arial" w:eastAsia="Arial" w:hAnsi="Arial"/>
          <w:sz w:val="11"/>
          <w:szCs w:val="11"/>
          <w:color w:val="auto"/>
        </w:rPr>
        <w:t>Each of our programs has demonstrated potent and selective protein degradation in our preclinical studies. We believe favorable clinical trial results in our ongoing oncology and neurodegenerative programs could provide further validation of our platform as a new therapeutic modality for the potential treatment of diseases caused by dysregulated intracellular proteins regardless of therapeutic area.</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 information regarding each of our programs and pipeline is summarized below and later described in additional detail.</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Oncology Programs: Vepdegestrant and ARV-393</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Estrogen Receptor Program: Vepdegestrant</w:t>
      </w:r>
    </w:p>
    <w:p>
      <w:pPr>
        <w:spacing w:after="0" w:line="76"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Vepdegestrant is an investigational orally bioavailable PROTAC protein degrader designed to target and degrade the ER for the treatment of patients with locally advanced or metastatic ER+/HER2- breast cancer. We are co-developing vepdegestrant with Pfizer pursuant to a collaboration agreement that we and Pfizer entered into in July 2021. We granted Pfizer worldwide co-exclusive rights to develop and commercialize vepdegestrant.</w:t>
      </w:r>
    </w:p>
    <w:p>
      <w:pPr>
        <w:spacing w:after="0" w:line="114"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In preclinical studies, vepdegestrant demonstrated near-complete ER degradation in tumor cells, induced robust tumor shrinkage when dosed as a single agent in multiple ER-driven xenograft models and showed superior anti-tumor activity when compared to a standard of care agent, fulvestrant, both as a single agent and in combination with a cyclin-dependent kinase, or CDK, 4/6 inhibitor.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8" w:name="page9"/>
    <w:bookmarkEnd w:id="8"/>
    <w:p>
      <w:pPr>
        <w:ind w:right="220" w:firstLine="432"/>
        <w:spacing w:after="0" w:line="286" w:lineRule="auto"/>
        <w:rPr>
          <w:sz w:val="20"/>
          <w:szCs w:val="20"/>
          <w:color w:val="auto"/>
        </w:rPr>
      </w:pPr>
      <w:r>
        <w:rPr>
          <w:rFonts w:ascii="Arial" w:cs="Arial" w:eastAsia="Arial" w:hAnsi="Arial"/>
          <w:sz w:val="12"/>
          <w:szCs w:val="12"/>
          <w:color w:val="auto"/>
        </w:rPr>
        <w:t>We, along with Pfizer, have several ongoing clinical trials of vepdegestrant, designed to potentially position vepdegestrant as a backbone ER-targeting therapy treating the ER+/HER2- metastatic breast cancer,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27940</wp:posOffset>
            </wp:positionV>
            <wp:extent cx="3497580" cy="140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7580"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 Pending emerging data and health authority feedback</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0"/>
          <w:szCs w:val="10"/>
          <w:color w:val="auto"/>
        </w:rPr>
        <w:t>ER, estrogen receptor; HER, human epidermal growth factor receptor; mBC, metastatic breast cancer; 1L, first-line; 2L second-line</w:t>
      </w:r>
    </w:p>
    <w:p>
      <w:pPr>
        <w:spacing w:after="0" w:line="138"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As part of our global collaboration with Pfizer, we expect to announce topline data for the VERITAC-2 Phase 3 monotherapy clinical trial in a topline press release in the first quarter of 2025 and present the full results of the VERITAC-2 clinical trial at a medical conference in 2025. We completed enrollment for this clinical trial in the fourth quarter of 2024.</w:t>
      </w:r>
    </w:p>
    <w:p>
      <w:pPr>
        <w:spacing w:after="0" w:line="103"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In the first quarter of 2025, we announced that we, as part of our global collaboration with Pfizer, plan to initiate two new Phase 3 combination trials of vepdegestrant in patients with ER+/HER2- metastatic breast cancer in 2025, pending emerging data and regulatory feedback:</w:t>
      </w:r>
    </w:p>
    <w:p>
      <w:pPr>
        <w:spacing w:after="0" w:line="56" w:lineRule="exact"/>
        <w:rPr>
          <w:sz w:val="20"/>
          <w:szCs w:val="20"/>
          <w:color w:val="auto"/>
        </w:rPr>
      </w:pPr>
    </w:p>
    <w:p>
      <w:pPr>
        <w:ind w:left="860" w:hanging="220"/>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2"/>
          <w:szCs w:val="12"/>
          <w:color w:val="auto"/>
        </w:rPr>
        <w:t>A first-line Phase 3 combination trial with Pfizer’s CDK4 inhibitor, atirmociclib; and</w:t>
      </w:r>
    </w:p>
    <w:p>
      <w:pPr>
        <w:spacing w:after="0" w:line="82" w:lineRule="exact"/>
        <w:rPr>
          <w:rFonts w:ascii="Arial" w:cs="Arial" w:eastAsia="Arial" w:hAnsi="Arial"/>
          <w:sz w:val="14"/>
          <w:szCs w:val="14"/>
          <w:color w:val="auto"/>
        </w:rPr>
      </w:pPr>
    </w:p>
    <w:p>
      <w:pPr>
        <w:ind w:left="860" w:hanging="220"/>
        <w:spacing w:after="0"/>
        <w:tabs>
          <w:tab w:leader="none" w:pos="8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2"/>
          <w:szCs w:val="12"/>
          <w:color w:val="auto"/>
        </w:rPr>
        <w:t>A second-line Phase 3 combination trial with a CDK/6 inhibitor.</w:t>
      </w:r>
    </w:p>
    <w:p>
      <w:pPr>
        <w:spacing w:after="0" w:line="138" w:lineRule="exact"/>
        <w:rPr>
          <w:sz w:val="20"/>
          <w:szCs w:val="20"/>
          <w:color w:val="auto"/>
        </w:rPr>
      </w:pPr>
    </w:p>
    <w:p>
      <w:pPr>
        <w:ind w:right="100" w:firstLine="432"/>
        <w:spacing w:after="0" w:line="286" w:lineRule="auto"/>
        <w:rPr>
          <w:sz w:val="20"/>
          <w:szCs w:val="20"/>
          <w:color w:val="auto"/>
        </w:rPr>
      </w:pPr>
      <w:r>
        <w:rPr>
          <w:rFonts w:ascii="Arial" w:cs="Arial" w:eastAsia="Arial" w:hAnsi="Arial"/>
          <w:sz w:val="12"/>
          <w:szCs w:val="12"/>
          <w:color w:val="auto"/>
        </w:rPr>
        <w:t>Additional information regarding our progress with respect to each of the vepdegestrant clinical trials is included below in "</w:t>
      </w:r>
      <w:r>
        <w:rPr>
          <w:rFonts w:ascii="Arial" w:cs="Arial" w:eastAsia="Arial" w:hAnsi="Arial"/>
          <w:sz w:val="12"/>
          <w:szCs w:val="12"/>
          <w:i w:val="1"/>
          <w:iCs w:val="1"/>
          <w:color w:val="auto"/>
        </w:rPr>
        <w:t>Item 1. Business—Our Clinical Stage Programs—Oncology Programs—Estrogen</w:t>
      </w:r>
      <w:r>
        <w:rPr>
          <w:rFonts w:ascii="Arial" w:cs="Arial" w:eastAsia="Arial" w:hAnsi="Arial"/>
          <w:sz w:val="12"/>
          <w:szCs w:val="12"/>
          <w:color w:val="auto"/>
        </w:rPr>
        <w:t xml:space="preserve"> </w:t>
      </w:r>
      <w:r>
        <w:rPr>
          <w:rFonts w:ascii="Arial" w:cs="Arial" w:eastAsia="Arial" w:hAnsi="Arial"/>
          <w:sz w:val="12"/>
          <w:szCs w:val="12"/>
          <w:i w:val="1"/>
          <w:iCs w:val="1"/>
          <w:color w:val="auto"/>
        </w:rPr>
        <w:t>Receptor Program: Vepdegestrant for the Treatment of Patients with Locally Advanced or Metastatic ER+/HER2- Breast Cancer</w:t>
      </w:r>
      <w:r>
        <w:rPr>
          <w:rFonts w:ascii="Arial" w:cs="Arial" w:eastAsia="Arial" w:hAnsi="Arial"/>
          <w:sz w:val="12"/>
          <w:szCs w:val="12"/>
          <w:color w:val="auto"/>
        </w:rPr>
        <w: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Hematology Program: ARV-393</w:t>
      </w:r>
    </w:p>
    <w:p>
      <w:pPr>
        <w:spacing w:after="0" w:line="76"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ARV-393 is an investigational, orally bioavailable PROTAC designed to degrade BCL6, a transcriptional repressor and a key regulator of normal B-cell maturation and differentiation processes. Deregulation of BCL6 function (e.g., via chromosomal translocation, mutations) may lead to malignant transformation and development of NHL. Prior to the advent of PROTAC technology, the BCL6 protein was considered "undruggable." We believe that ARV-393 PROTAC-mediated degradation of BCL6 may provide an important novel therapeutic option for patients with NHL.</w:t>
      </w:r>
    </w:p>
    <w:p>
      <w:pPr>
        <w:spacing w:after="0" w:line="42" w:lineRule="exact"/>
        <w:rPr>
          <w:sz w:val="20"/>
          <w:szCs w:val="20"/>
          <w:color w:val="auto"/>
        </w:rPr>
      </w:pPr>
    </w:p>
    <w:p>
      <w:pPr>
        <w:jc w:val="both"/>
        <w:ind w:right="40" w:firstLine="432"/>
        <w:spacing w:after="0" w:line="268" w:lineRule="auto"/>
        <w:rPr>
          <w:sz w:val="20"/>
          <w:szCs w:val="20"/>
          <w:color w:val="auto"/>
        </w:rPr>
      </w:pPr>
      <w:r>
        <w:rPr>
          <w:rFonts w:ascii="Arial" w:cs="Arial" w:eastAsia="Arial" w:hAnsi="Arial"/>
          <w:sz w:val="12"/>
          <w:szCs w:val="12"/>
          <w:color w:val="auto"/>
        </w:rPr>
        <w:t>We are currently enrolling a Phase 1 first-in-human clinical trial of ARV-393 in patients with relapsed/refractory NHL. This is an open-label, multicenter, Phase 1 dose escalation study to evaluate the safety, tolerability and preliminary anti-tumor activity of ARV-393 as a single agent in adult patients with relapsed/refractory NHL. We plan to disclose preliminary data from this ongoing Phase 1 clinical trial in patients with NHL in 2025.</w:t>
      </w:r>
    </w:p>
    <w:p>
      <w:pPr>
        <w:spacing w:after="0" w:line="123" w:lineRule="exact"/>
        <w:rPr>
          <w:sz w:val="20"/>
          <w:szCs w:val="20"/>
          <w:color w:val="auto"/>
        </w:rPr>
      </w:pPr>
    </w:p>
    <w:p>
      <w:pPr>
        <w:jc w:val="both"/>
        <w:ind w:right="40" w:firstLine="432"/>
        <w:spacing w:after="0" w:line="254" w:lineRule="auto"/>
        <w:rPr>
          <w:sz w:val="20"/>
          <w:szCs w:val="20"/>
          <w:color w:val="auto"/>
        </w:rPr>
      </w:pPr>
      <w:r>
        <w:rPr>
          <w:rFonts w:ascii="Arial" w:cs="Arial" w:eastAsia="Arial" w:hAnsi="Arial"/>
          <w:sz w:val="12"/>
          <w:szCs w:val="12"/>
          <w:color w:val="auto"/>
        </w:rPr>
        <w:t xml:space="preserve">We plan to present preclinical data of ARV-393 in combination with standard of care biologic agents and small molecule inhibitors in high grade and aggressive diffuse large B-cell lymphoma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at the American Association for Cancer Research, or AACR, Annual Meeting in the second quarter of 2025.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9" w:name="page10"/>
    <w:bookmarkEnd w:id="9"/>
    <w:p>
      <w:pPr>
        <w:ind w:left="420"/>
        <w:spacing w:after="0"/>
        <w:rPr>
          <w:sz w:val="20"/>
          <w:szCs w:val="20"/>
          <w:color w:val="auto"/>
        </w:rPr>
      </w:pPr>
      <w:r>
        <w:rPr>
          <w:rFonts w:ascii="Arial" w:cs="Arial" w:eastAsia="Arial" w:hAnsi="Arial"/>
          <w:sz w:val="12"/>
          <w:szCs w:val="12"/>
          <w:color w:val="auto"/>
        </w:rPr>
        <w:t>Additional information regarding our preclinical and clinical progress with ARV-393 is included below in "</w:t>
      </w:r>
      <w:r>
        <w:rPr>
          <w:rFonts w:ascii="Arial" w:cs="Arial" w:eastAsia="Arial" w:hAnsi="Arial"/>
          <w:sz w:val="12"/>
          <w:szCs w:val="12"/>
          <w:i w:val="1"/>
          <w:iCs w:val="1"/>
          <w:color w:val="auto"/>
        </w:rPr>
        <w:t>Item 1. Business—Our Clinical Stage Programs—Oncology Programs—Hematology Program: ARV-</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393</w:t>
      </w:r>
      <w:r>
        <w:rPr>
          <w:rFonts w:ascii="Arial" w:cs="Arial" w:eastAsia="Arial" w:hAnsi="Arial"/>
          <w:sz w:val="12"/>
          <w:szCs w:val="12"/>
          <w:color w:val="auto"/>
        </w:rPr>
        <w: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Neuroscience Program: ARV-102</w:t>
      </w:r>
    </w:p>
    <w:p>
      <w:pPr>
        <w:spacing w:after="0" w:line="78"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ARV-102 is our first oral PROTAC protein degrader in development to treat neurodegenerative diseases. In preclinical studies, ARV-102 has been shown to cross the blood-brain barrier and degrade LRRK2, which is a large multidomain scaffolding kinase. In human genetics, increased activity and expression of LRRK2 are genetically involved in the pathogenesis of neurological diseases including progressive supranuclear palsy, or PSP, and Parkinson’s Disease, or PD. We are currently conducting two ongoing clinical trials with ARV-102, a Phase 1 clinical trial in healthy volunteers and a Phase 1 clinical trial in patients with PD.</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In the second quarter of 2024, we received health authority approval to initiate the multiple ascending dose, or MAD, portion of the ongoing Phase 1 clinical trial of ARV-102 in healthy volunteers, and we initiated the MAD portion of this clinical trial in the third quarter of 2024. We completed enrollment of this MAD cohort in the first quarter of 2025.</w:t>
      </w:r>
    </w:p>
    <w:p>
      <w:pPr>
        <w:spacing w:after="0" w:line="13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2"/>
          <w:szCs w:val="12"/>
          <w:color w:val="auto"/>
        </w:rPr>
        <w:t>We completed enrollment in the single ascending dose, or SAD, portion of the Phase 1 clinical trial of ARV-102 in healthy volunteers in the third quarter of 2024. We plan to present SAD data from the ongoing Phase 1 clinical trial in healthy volunteers in an oral session at the Alzheimer’s Disease/Parkinson’s Disease (AD/PD) conference in Vienna, Austria in the second quarter of 2025.</w:t>
      </w:r>
    </w:p>
    <w:p>
      <w:pPr>
        <w:spacing w:after="0" w:line="103"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In the fourth quarter of 2024, we initiated dosing in the SAD portion of the Phase 1 clinical trial with ARV-102 in patients with PD. We expect to complete enrollment and present initial data from the ongoing SAD portion of the Phase 1 clinical trial in patients with PD, and initiate the MAD cohort of the Phase 1 clinical trial in patients with PD, in 2025.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 information regarding our preclinical and clinical progress with ARV-102 is included below in "</w:t>
      </w:r>
      <w:r>
        <w:rPr>
          <w:rFonts w:ascii="Arial" w:cs="Arial" w:eastAsia="Arial" w:hAnsi="Arial"/>
          <w:sz w:val="12"/>
          <w:szCs w:val="12"/>
          <w:i w:val="1"/>
          <w:iCs w:val="1"/>
          <w:color w:val="auto"/>
        </w:rPr>
        <w:t>Item 1. Business—Our Clinical Stage Programs—Neuroscience Program: ARV-102</w:t>
      </w:r>
      <w:r>
        <w:rPr>
          <w:rFonts w:ascii="Arial" w:cs="Arial" w:eastAsia="Arial" w:hAnsi="Arial"/>
          <w:sz w:val="12"/>
          <w:szCs w:val="12"/>
          <w:color w:val="auto"/>
        </w:rPr>
        <w: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Pipeline</w:t>
      </w:r>
    </w:p>
    <w:p>
      <w:pPr>
        <w:spacing w:after="0" w:line="78"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In addition to our clinical product candidates, we are expanding our pipeline by utilizing our platform to potentially address historically undruggable targets. Unlike existing small molecule inhibitor therapies, our PROTAC targeted protein degraders can degrade proteins using any available binding site, including low-affinity active binding sites or non-functional binding sites, bringing biological utility to ligands that would otherwise be ineffective. While some gene-based medicines are also seeking to address undruggable targets, we believe that our PROTAC targeted protein degraders confer the advantages of traditional small molecule therapies, such as broad tissue distribution, multiple routes of administration, including oral delivery, a well-established development pathway and relative ease of manufacturing.</w:t>
      </w:r>
    </w:p>
    <w:p>
      <w:pPr>
        <w:spacing w:after="0" w:line="117"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We are further diversifying our pipeline by developing new PROTAC targeted protein degraders against targets for which we believe protein degradation offers advantages to existing therapeutic modalities, including PROTAC degraders that are designed to reach targets in deep brain regions and are capable of being delivered through multiple routes of administration, including oral delivery. We have engineered PROTAC targeted protein degraders that, in preclinical studies, have successfully achieved blood-brain barrier penetration, a key step in developing drugs with the potential to treat neurodegenerative diseases. We believe there are many other indications for which our PROTAC technology may be advantageous.</w:t>
      </w:r>
    </w:p>
    <w:p>
      <w:pPr>
        <w:spacing w:after="0" w:line="117"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 xml:space="preserve">In the second quarter of 2023, we presented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at the AACR Annual Meeting - Targeting RAS Special Conference that demonstrated that our PROTAC KRAS G12D degraders were potent, selective, and led to tumor stasis in a mouse xenograft model with intermittent dosing and that degradation of KRAS G12D provides an advantage versus inhibition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Our KRAS G12D program is currently in preclinical development and we anticipate filing an IND application for our PROTAC KRAS G12D degrader in 2025.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 w:name="page11"/>
    <w:bookmarkEnd w:id="10"/>
    <w:p>
      <w:pPr>
        <w:ind w:left="420"/>
        <w:spacing w:after="0"/>
        <w:rPr>
          <w:sz w:val="20"/>
          <w:szCs w:val="20"/>
          <w:color w:val="auto"/>
        </w:rPr>
      </w:pPr>
      <w:r>
        <w:rPr>
          <w:rFonts w:ascii="Arial" w:cs="Arial" w:eastAsia="Arial" w:hAnsi="Arial"/>
          <w:sz w:val="12"/>
          <w:szCs w:val="12"/>
          <w:b w:val="1"/>
          <w:bCs w:val="1"/>
          <w:color w:val="auto"/>
        </w:rPr>
        <w:t>Other Programs: Luxdegalutamide (ARV-766) and Bavdegalutamide (ARV-110)</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Luxdegalutamide (ARV-766) is an investigational orally bioavailable PROTAC protein degrader designed to target AR as a potential treatment for men with metastatic castration resistant prostate cancer, or mCRPC, and metastatic castration-sensitive prostate cancer. Bavdegalutamide is an investigational orally bioavailable PROTAC protein degrader designed to target and degrade the AR for the treatment of men with mCRPC. Early in the fourth quarter of 2023, based on signs of superior tolerability and efficacy of luxdegalutamide (ARV-766) in clinical settings to date as compared to bavdegalutamide (ARV-110), we prioritized the initiation of a Phase 3 clinical trial with luxdegalutamide (ARV-766) in mCRPC instead of the previously planned Phase 3 clinical trial for bavdegalutamide. We will not be enrolling new patients into our ongoing trial activities with bavdegalutamide (ARV-110-101 and ARV-110-103) and we expect to wind down our bavdegalutamide program after completion of these clinical trials.</w:t>
      </w:r>
    </w:p>
    <w:p>
      <w:pPr>
        <w:spacing w:after="0" w:line="119" w:lineRule="exact"/>
        <w:rPr>
          <w:sz w:val="20"/>
          <w:szCs w:val="20"/>
          <w:color w:val="auto"/>
        </w:rPr>
      </w:pPr>
    </w:p>
    <w:p>
      <w:pPr>
        <w:ind w:right="220" w:firstLine="432"/>
        <w:spacing w:after="0" w:line="262" w:lineRule="auto"/>
        <w:rPr>
          <w:sz w:val="20"/>
          <w:szCs w:val="20"/>
          <w:color w:val="auto"/>
        </w:rPr>
      </w:pPr>
      <w:r>
        <w:rPr>
          <w:rFonts w:ascii="Arial" w:cs="Arial" w:eastAsia="Arial" w:hAnsi="Arial"/>
          <w:sz w:val="12"/>
          <w:szCs w:val="12"/>
          <w:color w:val="auto"/>
        </w:rPr>
        <w:t>In the second quarter of 2024, we entered into and closed a transaction, or the Novartis Transaction, including both a license agreement, or the Novartis License Agreement, and an asset purchase agreement, or the Novartis Asset Agreement, with Novartis. Pursuant to the Novartis License Agreement, we granted Novartis an exclusive worldwide license for the development, manufacture and commercialization of luxdegalutamide (ARV-766), and, as of December 31, 2024, we completed the transition of our ongoing and planned clinical trials of luxdegalutamide (ARV-766) to Novartis. Pursuant to the Novartis Asset Agreement, we sold Novartis all of our rights, title and interest in our PROTAC protein degrader targeting AR-V7, a splice variant of the AR.</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Our Strategy</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Our mission is to improve the lives of patients suffering from debilitating and life-threatening diseases through the discovery, development, and commercialization of therapies that degrade disease-causing proteins. We use our PROTAC protein degrader platform to pioneer the development of protein degradation therapies that are designed to harness the body’s own natural protein disposal system to selectively and efficiently remove disease-causing proteins. We believe that our proprietary PROTAC technology is a therapeutic modality with the potential to provide distinct advantages over existing therapies and to address a broad range of targets, including historically undruggable proteins. We are currently developing PROTAC degraders to address targets within oncology, hematology, and neuroscience, and we see applicability in other therapeutic areas as well. The key elements of our strategy are to:</w:t>
      </w:r>
    </w:p>
    <w:p>
      <w:pPr>
        <w:spacing w:after="0" w:line="47" w:lineRule="exact"/>
        <w:rPr>
          <w:sz w:val="20"/>
          <w:szCs w:val="20"/>
          <w:color w:val="auto"/>
        </w:rPr>
      </w:pPr>
    </w:p>
    <w:p>
      <w:pPr>
        <w:ind w:left="640" w:right="180" w:hanging="216"/>
        <w:spacing w:after="0" w:line="259" w:lineRule="auto"/>
        <w:tabs>
          <w:tab w:leader="none" w:pos="637"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Focus on near-term patient impact and advance clinical development of our lead PROTAC program, vepdegestrant, which is designed to degrade the ER, that is well-understood to be a biological pathway driving breast cancer. </w:t>
      </w:r>
      <w:r>
        <w:rPr>
          <w:rFonts w:ascii="Arial" w:cs="Arial" w:eastAsia="Arial" w:hAnsi="Arial"/>
          <w:sz w:val="12"/>
          <w:szCs w:val="12"/>
          <w:color w:val="auto"/>
        </w:rPr>
        <w:t>Vepdegestrant is the first PROTAC ER degrader to enter Phase 3 clinical trials and we have characterized its degradation and potent anti-tumor effects</w:t>
      </w:r>
      <w:r>
        <w:rPr>
          <w:rFonts w:ascii="Arial" w:cs="Arial" w:eastAsia="Arial" w:hAnsi="Arial"/>
          <w:sz w:val="12"/>
          <w:szCs w:val="12"/>
          <w:b w:val="1"/>
          <w:bCs w:val="1"/>
          <w:color w:val="auto"/>
        </w:rPr>
        <w:t xml:space="preserve"> </w:t>
      </w:r>
      <w:r>
        <w:rPr>
          <w:rFonts w:ascii="Arial" w:cs="Arial" w:eastAsia="Arial" w:hAnsi="Arial"/>
          <w:sz w:val="12"/>
          <w:szCs w:val="12"/>
          <w:color w:val="auto"/>
        </w:rPr>
        <w:t>alone and in combination with CDK inhibitors across preclinical disease models. In addition, ER degradation is being evaluated in clinical samples from our ongoing clinical trials, including VERITAC AND TACTIVE-N. Vepdegestrant is our one product candidate in Phase 3 clinical development, and we are planning for multiple potential launches with vepdegestrant as both a monotherapy and in combination.</w:t>
      </w:r>
    </w:p>
    <w:p>
      <w:pPr>
        <w:spacing w:after="0" w:line="47" w:lineRule="exact"/>
        <w:rPr>
          <w:rFonts w:ascii="Arial" w:cs="Arial" w:eastAsia="Arial" w:hAnsi="Arial"/>
          <w:sz w:val="12"/>
          <w:szCs w:val="12"/>
          <w:color w:val="auto"/>
        </w:rPr>
      </w:pPr>
    </w:p>
    <w:p>
      <w:pPr>
        <w:ind w:left="640" w:hanging="216"/>
        <w:spacing w:after="0" w:line="262" w:lineRule="auto"/>
        <w:tabs>
          <w:tab w:leader="none" w:pos="637"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Progress our therapeutic footprint beyond ER by furthering the programs in our oncology (including hematology) and neuroscience portfolios</w:t>
      </w:r>
      <w:r>
        <w:rPr>
          <w:rFonts w:ascii="Arial" w:cs="Arial" w:eastAsia="Arial" w:hAnsi="Arial"/>
          <w:sz w:val="12"/>
          <w:szCs w:val="12"/>
          <w:color w:val="auto"/>
        </w:rPr>
        <w:t>. We are focused on creating potential therapies</w:t>
      </w:r>
      <w:r>
        <w:rPr>
          <w:rFonts w:ascii="Arial" w:cs="Arial" w:eastAsia="Arial" w:hAnsi="Arial"/>
          <w:sz w:val="12"/>
          <w:szCs w:val="12"/>
          <w:b w:val="1"/>
          <w:bCs w:val="1"/>
          <w:color w:val="auto"/>
        </w:rPr>
        <w:t xml:space="preserve"> </w:t>
      </w:r>
      <w:r>
        <w:rPr>
          <w:rFonts w:ascii="Arial" w:cs="Arial" w:eastAsia="Arial" w:hAnsi="Arial"/>
          <w:sz w:val="12"/>
          <w:szCs w:val="12"/>
          <w:color w:val="auto"/>
        </w:rPr>
        <w:t>for patients with hematological and neurological diseases, including our product candidates, ARV-393 and ARV-102, which are currently in Phase 1 clinical development. We believe that favorable clinical trial results with these initial hematology and neuroscience programs will validate the broader therapeutic potential of our PROTAC technology. In addition, ARV-393 degrades the historically "undruggable" BCL6 with potential to impact and provide oral therapeutic alternatives to patients with NHL, while ARV-102 degrades LRRK2 with potential to impact patients with PSP or PD.</w:t>
      </w:r>
    </w:p>
    <w:p>
      <w:pPr>
        <w:spacing w:after="0" w:line="45" w:lineRule="exact"/>
        <w:rPr>
          <w:rFonts w:ascii="Arial" w:cs="Arial" w:eastAsia="Arial" w:hAnsi="Arial"/>
          <w:sz w:val="12"/>
          <w:szCs w:val="12"/>
          <w:color w:val="auto"/>
        </w:rPr>
      </w:pPr>
    </w:p>
    <w:p>
      <w:pPr>
        <w:ind w:left="640" w:right="160" w:hanging="216"/>
        <w:spacing w:after="0" w:line="268" w:lineRule="auto"/>
        <w:tabs>
          <w:tab w:leader="none" w:pos="637"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Utilize our PROTAC Discovery Engine platform to address historically undruggable and difficult-to-drug targets. </w:t>
      </w:r>
      <w:r>
        <w:rPr>
          <w:rFonts w:ascii="Arial" w:cs="Arial" w:eastAsia="Arial" w:hAnsi="Arial"/>
          <w:sz w:val="12"/>
          <w:szCs w:val="12"/>
          <w:color w:val="auto"/>
        </w:rPr>
        <w:t>We are applying our platform to develop treatments for patients with diseases</w:t>
      </w:r>
      <w:r>
        <w:rPr>
          <w:rFonts w:ascii="Arial" w:cs="Arial" w:eastAsia="Arial" w:hAnsi="Arial"/>
          <w:sz w:val="12"/>
          <w:szCs w:val="12"/>
          <w:b w:val="1"/>
          <w:bCs w:val="1"/>
          <w:color w:val="auto"/>
        </w:rPr>
        <w:t xml:space="preserve"> </w:t>
      </w:r>
      <w:r>
        <w:rPr>
          <w:rFonts w:ascii="Arial" w:cs="Arial" w:eastAsia="Arial" w:hAnsi="Arial"/>
          <w:sz w:val="12"/>
          <w:szCs w:val="12"/>
          <w:color w:val="auto"/>
        </w:rPr>
        <w:t>associated with historically undruggable targets. Our platform enables us to build PROTAC targeted protein degraders with the potential to degrade these proteins through the cell’s natural protein degradation process using any available binding site, including low-affinity active binding sites or non-functional binding sites, bringing biological utility to ligands that would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1" w:name="page12"/>
    <w:bookmarkEnd w:id="11"/>
    <w:p>
      <w:pPr>
        <w:ind w:left="640"/>
        <w:spacing w:after="0"/>
        <w:rPr>
          <w:sz w:val="20"/>
          <w:szCs w:val="20"/>
          <w:color w:val="auto"/>
        </w:rPr>
      </w:pPr>
      <w:r>
        <w:rPr>
          <w:rFonts w:ascii="Arial" w:cs="Arial" w:eastAsia="Arial" w:hAnsi="Arial"/>
          <w:sz w:val="12"/>
          <w:szCs w:val="12"/>
          <w:color w:val="auto"/>
        </w:rPr>
        <w:t>otherwise be inactive. We also believe that many “difficult-to-drug” targets, where prior approaches are inadequate, will also provide opportunities to apply our PROTAC technology.</w:t>
      </w:r>
    </w:p>
    <w:p>
      <w:pPr>
        <w:spacing w:after="0" w:line="78" w:lineRule="exact"/>
        <w:rPr>
          <w:sz w:val="20"/>
          <w:szCs w:val="20"/>
          <w:color w:val="auto"/>
        </w:rPr>
      </w:pPr>
    </w:p>
    <w:p>
      <w:pPr>
        <w:ind w:left="640" w:right="20" w:hanging="216"/>
        <w:spacing w:after="0" w:line="256" w:lineRule="auto"/>
        <w:tabs>
          <w:tab w:leader="none" w:pos="63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Develop new therapeutics with distinct advantages over existing modalities, including gene-based medicines. </w:t>
      </w:r>
      <w:r>
        <w:rPr>
          <w:rFonts w:ascii="Arial" w:cs="Arial" w:eastAsia="Arial" w:hAnsi="Arial"/>
          <w:sz w:val="12"/>
          <w:szCs w:val="12"/>
          <w:color w:val="auto"/>
        </w:rPr>
        <w:t>We intend to address targets for which we believe protein degradation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tunable features of our PROTAC targeted protein degraders are designed to offer advantages compared to existing therapeutic modalities. Our PROTAC protein degraders have been shown preclinically to eliminate, rather than inhibit, disease-causing proteins, disrupt scaffolding functions of target proteins, bind and degrade classically "undruggable" proteins, and can act iteratively. Unlike gene-based medicines, our PROTAC targeted protein degraders have been shown preclinically to confer the advantages of traditional small molecule therapies, such as multiple routes of administration, including oral delivery, a well-established development pathway and relative ease of manufacturing. In addition, we have engineered PROTAC targeted protein degraders that, in preclinical studies, have successfully achieved broad tissue distribution, including across the blood-brain barrier, creating potential opportunities for our PROTAC technology in neurological diseases. We also believe there are many other debilitating and progressive disease indications for which our technology may be advantageous, including autoimmune, anti-infective and inflammatory conditions.</w:t>
      </w:r>
    </w:p>
    <w:p>
      <w:pPr>
        <w:spacing w:after="0" w:line="49" w:lineRule="exact"/>
        <w:rPr>
          <w:rFonts w:ascii="Arial" w:cs="Arial" w:eastAsia="Arial" w:hAnsi="Arial"/>
          <w:sz w:val="12"/>
          <w:szCs w:val="12"/>
          <w:color w:val="auto"/>
        </w:rPr>
      </w:pPr>
    </w:p>
    <w:p>
      <w:pPr>
        <w:ind w:left="640" w:hanging="216"/>
        <w:spacing w:after="0" w:line="255" w:lineRule="auto"/>
        <w:tabs>
          <w:tab w:leader="none" w:pos="63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Selectively collaborate to realize the full potential of our platform. </w:t>
      </w:r>
      <w:r>
        <w:rPr>
          <w:rFonts w:ascii="Arial" w:cs="Arial" w:eastAsia="Arial" w:hAnsi="Arial"/>
          <w:sz w:val="12"/>
          <w:szCs w:val="12"/>
          <w:color w:val="auto"/>
        </w:rPr>
        <w:t>We are using our PROTAC Discovery Engine to build an extensive pipeline of product candidates. Our co-development/co-commercialization collaboration with Pfizer has the potential to accelerate and broaden global development and commercialization of vepdegestrant. The outlicensing of luxdegalutamide (ARV-766) to Novartis was intended to maximize the patient impact and commercial opportunity of that program. In an effort to realize the full potential of our PROTAC technology, our ongoing strategic collaborations with Pfizer and Genentech address targets across multiple therapeutic areas. In addition to these collaborations in human therapeutics, in 2019 we established a joint venture, with Bayer, called Oerth Bio LLC, or Oerth Bio, which was converted to a corporation in 2023, to pursue our PROTAC technology in agricultural applications. We have and plan to continue to selectively pursue collaborations with leading biopharmaceutical companies with specialized capabilities or know-how, including global development and commercial expertise and capabilities for those products for which we retain full development and commercialization rights. We believe this selective approach to collaboration will further broaden the therapeutic reach of our PROTAC technology, as well as complement and expand our internal development expertise.</w:t>
      </w:r>
    </w:p>
    <w:p>
      <w:pPr>
        <w:spacing w:after="0" w:line="51" w:lineRule="exact"/>
        <w:rPr>
          <w:rFonts w:ascii="Arial" w:cs="Arial" w:eastAsia="Arial" w:hAnsi="Arial"/>
          <w:sz w:val="12"/>
          <w:szCs w:val="12"/>
          <w:color w:val="auto"/>
        </w:rPr>
      </w:pPr>
    </w:p>
    <w:p>
      <w:pPr>
        <w:ind w:left="640" w:right="220" w:hanging="216"/>
        <w:spacing w:after="0" w:line="259" w:lineRule="auto"/>
        <w:tabs>
          <w:tab w:leader="none" w:pos="63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Continue to expand the capabilities of our PROTAC Discovery Engine and the breadth of our intellectual property portfolio</w:t>
      </w:r>
      <w:r>
        <w:rPr>
          <w:rFonts w:ascii="Arial" w:cs="Arial" w:eastAsia="Arial" w:hAnsi="Arial"/>
          <w:sz w:val="12"/>
          <w:szCs w:val="12"/>
          <w:color w:val="auto"/>
        </w:rPr>
        <w:t>. We are investing in our research and development activities to</w:t>
      </w:r>
      <w:r>
        <w:rPr>
          <w:rFonts w:ascii="Arial" w:cs="Arial" w:eastAsia="Arial" w:hAnsi="Arial"/>
          <w:sz w:val="12"/>
          <w:szCs w:val="12"/>
          <w:b w:val="1"/>
          <w:bCs w:val="1"/>
          <w:color w:val="auto"/>
        </w:rPr>
        <w:t xml:space="preserve"> </w:t>
      </w:r>
      <w:r>
        <w:rPr>
          <w:rFonts w:ascii="Arial" w:cs="Arial" w:eastAsia="Arial" w:hAnsi="Arial"/>
          <w:sz w:val="12"/>
          <w:szCs w:val="12"/>
          <w:color w:val="auto"/>
        </w:rPr>
        <w:t>expand the capabilities of our PROTAC Discovery Engine and the breadth of our intellectual property portfolio. This includes: research into ligands for novel E3 ligases, key proteins in the ubiquitin proteasome system, that may have tissue-specific, differentiating pharmacokinetic opportunities or disease-specific features; the discovery of novel binding ligands for targets; the discovery of orally bioavailable and blood brain barrier penetrant PROTAC protein degraders; and improvement of our PROTAC targeted protein degrader design and optimization processes. We have exclusive worldwide rights to our platform technology. Detailed information regarding our intellectual property portfolio is described below in "</w:t>
      </w:r>
      <w:r>
        <w:rPr>
          <w:rFonts w:ascii="Arial" w:cs="Arial" w:eastAsia="Arial" w:hAnsi="Arial"/>
          <w:sz w:val="12"/>
          <w:szCs w:val="12"/>
          <w:i w:val="1"/>
          <w:iCs w:val="1"/>
          <w:color w:val="auto"/>
        </w:rPr>
        <w:t>Item 1. Business—Intellectual Property"</w:t>
      </w:r>
      <w:r>
        <w:rPr>
          <w:rFonts w:ascii="Arial" w:cs="Arial" w:eastAsia="Arial" w:hAnsi="Arial"/>
          <w:sz w:val="12"/>
          <w:szCs w:val="12"/>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Our Focus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The Role of Proteins in Disease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Human cells produce tens of thousands of different proteins, the entirety of which is referred to as the proteome. Proteins are responsible for many structural, functional and regulatory processes in cells.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 w:name="page13"/>
    <w:bookmarkEnd w:id="12"/>
    <w:p>
      <w:pPr>
        <w:ind w:right="100" w:firstLine="432"/>
        <w:spacing w:after="0" w:line="262" w:lineRule="auto"/>
        <w:rPr>
          <w:sz w:val="20"/>
          <w:szCs w:val="20"/>
          <w:color w:val="auto"/>
        </w:rPr>
      </w:pPr>
      <w:r>
        <w:rPr>
          <w:rFonts w:ascii="Arial" w:cs="Arial" w:eastAsia="Arial" w:hAnsi="Arial"/>
          <w:sz w:val="12"/>
          <w:szCs w:val="12"/>
          <w:color w:val="auto"/>
        </w:rPr>
        <w:t>Proteins are large, complex biomolecules made through a series of steps based on instructions carried from DNA, the genetic “blueprint” within the cell. Generally, sequences of DNA are converted into messenger ribonucleic acid, or mRNA, during a process called transcription. mRNA provides the template that specifies the assembly of a particular sequence of amino acids into proteins during a process known as translation. The amino acid sequence dictates, among other things, the conformation, or 3-D shape, of the resulting protein. Proteins can have complex shapes, with multiple chains of amino acids folding together in some cases to reach a final form. The final form of the protein, as well as the timing, location and concentration of its expression within the cell, is essential to the protein’s intended function.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healthy cells, the transcription and translation processes contribute to producing properly folded proteins in the right amounts and at the correct times to ensure normal cell health and function. This balance can be disrupted by a variety of events and factors, such as cellular stress, genetic mutations and transcriptional or translational errors, which can then lead to cellular overexpression, abnormal production rates, misfolding or mutations of proteins. When proteins are overexpressed or mutated, homeostatic pathway biology can be disrupted and a wide variety of diseases can result. For example, overexpression of estrogen receptor is known to be associated with breast cancer. In neurodegenerative diseases, abnormal deposition of misfolded or aggregated proteins in the brain, including the intraneuronal aggregation of the microtubule-associated protein tau, are associated with Alzheimer’s disease, PD, PSP and other neurological disorders. Recent genomic advances continue to implicate the role of specific proteins in many disease states.</w:t>
      </w:r>
    </w:p>
    <w:p>
      <w:pPr>
        <w:spacing w:after="0" w:line="121" w:lineRule="exact"/>
        <w:rPr>
          <w:sz w:val="20"/>
          <w:szCs w:val="20"/>
          <w:color w:val="auto"/>
        </w:rPr>
      </w:pPr>
    </w:p>
    <w:p>
      <w:pPr>
        <w:ind w:right="380" w:firstLine="432"/>
        <w:spacing w:after="0" w:line="286" w:lineRule="auto"/>
        <w:rPr>
          <w:sz w:val="20"/>
          <w:szCs w:val="20"/>
          <w:color w:val="auto"/>
        </w:rPr>
      </w:pPr>
      <w:r>
        <w:rPr>
          <w:rFonts w:ascii="Arial" w:cs="Arial" w:eastAsia="Arial" w:hAnsi="Arial"/>
          <w:sz w:val="12"/>
          <w:szCs w:val="12"/>
          <w:color w:val="auto"/>
        </w:rPr>
        <w:t>There are multiple therapeutic approaches, both approved and in development, to treat diseases caused by abnormal proteins or aberrant protein expression. Each operates at a different point in the lifecycle of the protein, as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73660</wp:posOffset>
            </wp:positionV>
            <wp:extent cx="2628900" cy="2000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8900"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Small Molecule Inhibitors, Gene Therapy and Gene Editing</w:t>
      </w:r>
    </w:p>
    <w:p>
      <w:pPr>
        <w:spacing w:after="0" w:line="78"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Traditional small molecules seek to block or inhibit the expression or function of an errant protein. While there are numerous examples of safe and effective small molecule therapies, their efficacy can be limited by weak or incomplete binding of the therapeutic molecule to the relevant binding site on the protein, the cell’s ability to counteract the inhibitory effect of the drug by producing more of the protein, mutation of the target, or evolution of the cell to rely on alternate pathways. These cellular responses often result in a need for higher dosing levels, which can in turn introduce safety challenges from off-target and toxic effects, or drug resistance.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Gene therapy approaches act by augmenting the errant protein with normal protein by using viral vectors to introduce DNA from an exogenous source that codes for a functional protein. While there have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been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3" w:name="page14"/>
    <w:bookmarkEnd w:id="13"/>
    <w:p>
      <w:pPr>
        <w:ind w:right="320"/>
        <w:spacing w:after="0" w:line="286" w:lineRule="auto"/>
        <w:rPr>
          <w:sz w:val="20"/>
          <w:szCs w:val="20"/>
          <w:color w:val="auto"/>
        </w:rPr>
      </w:pPr>
      <w:r>
        <w:rPr>
          <w:rFonts w:ascii="Arial" w:cs="Arial" w:eastAsia="Arial" w:hAnsi="Arial"/>
          <w:sz w:val="12"/>
          <w:szCs w:val="12"/>
          <w:color w:val="auto"/>
        </w:rPr>
        <w:t>promising advances in this field, the fundamental approach is limited by delivery, expression efficacy, pre-treatment conditioning, durability and manufacturing challenges that curtail the practical utility of gene therapy.</w:t>
      </w:r>
    </w:p>
    <w:p>
      <w:pPr>
        <w:spacing w:after="0" w:line="103"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Gene editing or gene silencing approaches such as CRISPR/Cas9, RNA interference and antisense act by either correcting or inactivating, or knocking out, the gene that would otherwise be transcribed and translated to express the errant protein. By correcting or knocking out the gene, the errant protein is never made, preventing its downstream negative effects. In the case of CRISPR/Cas9, the resulting modification of the gene occurs at the DNA level and is believed to be irreversible. While there are examples of approved therapies in this field that have the potential to correct specific genetic defects, gene editing and gene silencing approaches generally face delivery, stability, biodistribution, specificity and selectivity challenges, in addition to significant manufacturing hurdles.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Protein Degradation</w:t>
      </w:r>
    </w:p>
    <w:p>
      <w:pPr>
        <w:spacing w:after="0" w:line="78"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When proteins become old, mutated, misfolded or simply have served their purpose, they are naturally degraded by the body through the ubiquitin proteasome system in which cells mark or tag a particular protein for disposal by attaching several molecules of the small regulatory protein ubiquitin to the protein to be disposed. This process generally proceeds along the following steps in rapid sequence:</w:t>
      </w:r>
    </w:p>
    <w:p>
      <w:pPr>
        <w:spacing w:after="0" w:line="31" w:lineRule="exact"/>
        <w:rPr>
          <w:sz w:val="20"/>
          <w:szCs w:val="20"/>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E1 enzyme activates ubiquitin, which is then transferred to an E2 enzyme.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 E3 ubiquitin ligase, or E3 ligase, transfers the ubiquitin from the E2 enzyme to a specific target protein.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Once a chain of at least four ubiquitins are attached to the target protein, the proteasome recognizes the polyubiquinated protein.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proteasome breaks down or degrades the protein into its amino acid components.</w:t>
      </w:r>
    </w:p>
    <w:p>
      <w:pPr>
        <w:spacing w:after="0" w:line="150"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Several therapeutic approaches work at the protein level by modulating the ubiquitin proteasome system to harness the cell’s natural protein disposal system to degrade and remove a protein. Degradation can be induced by inhibiting chaperone molecules such as HSP90, which are known to facilitate correct protein folding, resulting in tagging misfolded proteins for degradation. HSP90 inhibitors, however, have shown limited efficacy in the clinic to date.</w:t>
      </w:r>
    </w:p>
    <w:p>
      <w:pPr>
        <w:spacing w:after="0" w:line="114" w:lineRule="exact"/>
        <w:rPr>
          <w:sz w:val="20"/>
          <w:szCs w:val="20"/>
          <w:color w:val="auto"/>
        </w:rPr>
      </w:pPr>
    </w:p>
    <w:p>
      <w:pPr>
        <w:ind w:right="340" w:firstLine="432"/>
        <w:spacing w:after="0" w:line="268" w:lineRule="auto"/>
        <w:rPr>
          <w:sz w:val="20"/>
          <w:szCs w:val="20"/>
          <w:color w:val="auto"/>
        </w:rPr>
      </w:pPr>
      <w:r>
        <w:rPr>
          <w:rFonts w:ascii="Arial" w:cs="Arial" w:eastAsia="Arial" w:hAnsi="Arial"/>
          <w:sz w:val="12"/>
          <w:szCs w:val="12"/>
          <w:color w:val="auto"/>
        </w:rPr>
        <w:t>Some degraders use an approach that causes a conformational change in a specifically targeted protein, resulting in a misfolded protein, which triggers the cell’s innate protein degradation system to dispose of the misfolded protein. Although these compounds have shown efficacy, they only induce the degradation of those proteins able to adopt a non-native state, leaving a wide array of protein targets unaddressed.</w:t>
      </w:r>
    </w:p>
    <w:p>
      <w:pPr>
        <w:spacing w:after="0" w:line="114"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2"/>
          <w:szCs w:val="12"/>
          <w:color w:val="auto"/>
        </w:rPr>
        <w:t>Chimeric small molecules, such as our PROTAC protein degraders, use a different protein degradation approach. Instead of causing improper folding or inhibiting molecules that facilitate proper folding of the target protein, chimeric small molecules directly recruit an E3 ligase to tag specifically targeted proteins with ubiquitin, signaling the proteasome to degrade the targeted protein. Our PROTAC targeted protein degraders take this approach to protein degradation.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PROTAC Targeted Protein Degraders — Our Approach to Protein Degradation</w:t>
      </w:r>
    </w:p>
    <w:p>
      <w:pPr>
        <w:spacing w:after="0" w:line="7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have engineered our PROTAC targeted protein degraders to utilize the cell’s naturally occurring protein disposal system, directing the proteasome to recognize and degrade specific proteins associated with disease. Our PROTAC targeted protein degraders are chimeric small molecules with two operative ends—one, a ligand that binds to the protein targeted for degradation, and the other, a ligand that binds to an E3 ligase. These two ligands are connected by a chemical chain linker. Our PROTAC targeted protein degraders bring the targeted protein and the E3 ligase together into a three-component grouping known as a ternary complex to facilitate the transfer of ubiquitin to the target protein. Once four ubiquitins are attached in a chain to the target protein, the proteasome recognizes and degrades the protein. The entire cycle from the formation of the trimer complex, which can occur in a period of nanoseconds, to degradation of the target protein by the proteasome happens over a period of minutes. After our PROTAC targeted protein degrader facilitates the tagging of a target protein molecule with ubiquitin through formation of the ternary complex, it can move on to another target protein molecule to conduct the degradation process again, potentially completing this cycle hundreds of times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before eventually being metabolized or eliminated from the cell. We refer to this recycling as our PROTAC targeted protein degraders’ iterative mechanism of action.</w:t>
      </w:r>
    </w:p>
    <w:p>
      <w:pPr>
        <w:spacing w:after="0" w:line="150"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The figure below depicts our PROTAC-induced cycle from E3 ligase binding and target protein recruitment, to ternary formation and ubiquitin transfer, to degradation of the target protein by the proteasome, to the release of ubiquitin and PROTAC targeted protein degrader for further degradation cycles</w:t>
      </w:r>
      <w:r>
        <w:rPr>
          <w:rFonts w:ascii="Arial" w:cs="Arial" w:eastAsia="Arial" w:hAnsi="Arial"/>
          <w:sz w:val="12"/>
          <w:szCs w:val="1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73660</wp:posOffset>
            </wp:positionV>
            <wp:extent cx="3497580" cy="1697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9758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Our Discovery Platform — PROTAC Discovery Engine</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have designed and optimized our PROTAC Discovery Engine for the discovery of PROTAC targeted protein degrader therapeutics to address diseases caused by abnormal proteins or aberrant protein expression. The PROTAC Discovery Engine includes advanced screening capabilities, including in-house high-throughput DNA-encoded library screening, computational and machine learning abilities that are tailored to the needs of incorporation into PROTAC protein degraders and to optimize their drug-like properties. Following selection and identification, we use tools including predictive computational modeling and privileged linkers that allow the potential for increased potency and selectivity. Finally, we have utilized our own proprietary Arvinas Rules and machine learning tools to create and accelerate the design of PROTAC degraders that, for example, are capable of being delivered through multiple routes of administration, including oral delivery, as well as PROTAC targeted protein degraders that are able to penetrate the blood brain barrier.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Design and Optimization of our PROTAC Targeted Protein Degraders</w:t>
      </w:r>
    </w:p>
    <w:p>
      <w:pPr>
        <w:spacing w:after="0" w:line="78"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As genomic knowledge and advances in genome mapping have increased, the understanding of proteins implicated in diseases has similarly increased. We undertake a rigorous evaluation process to prioritize protein targets for which we believe our PROTAC approach can achieve differentiated clinical outcomes for patients over existing modalities. Our PROTAC Discovery Engine is built from over 20 years of experience, know-how, and intellectual property and comprises three stages: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Ligase Selection and Ligand Identification</w:t>
      </w:r>
    </w:p>
    <w:p>
      <w:pPr>
        <w:spacing w:after="0" w:line="76" w:lineRule="exact"/>
        <w:rPr>
          <w:sz w:val="20"/>
          <w:szCs w:val="20"/>
          <w:color w:val="auto"/>
        </w:rPr>
      </w:pPr>
    </w:p>
    <w:p>
      <w:pPr>
        <w:ind w:left="220" w:hanging="216"/>
        <w:spacing w:after="0" w:line="254" w:lineRule="auto"/>
        <w:tabs>
          <w:tab w:leader="none" w:pos="215" w:val="left"/>
        </w:tabs>
        <w:numPr>
          <w:ilvl w:val="0"/>
          <w:numId w:val="10"/>
        </w:numPr>
        <w:rPr>
          <w:rFonts w:ascii="Calibri" w:cs="Calibri" w:eastAsia="Calibri" w:hAnsi="Calibri"/>
          <w:sz w:val="13"/>
          <w:szCs w:val="13"/>
          <w:color w:val="auto"/>
        </w:rPr>
      </w:pPr>
      <w:r>
        <w:rPr>
          <w:rFonts w:ascii="Arial" w:cs="Arial" w:eastAsia="Arial" w:hAnsi="Arial"/>
          <w:sz w:val="12"/>
          <w:szCs w:val="12"/>
          <w:u w:val="single" w:color="auto"/>
          <w:color w:val="auto"/>
        </w:rPr>
        <w:t>E3 KnowledgeBase</w:t>
      </w:r>
      <w:r>
        <w:rPr>
          <w:rFonts w:ascii="Arial" w:cs="Arial" w:eastAsia="Arial" w:hAnsi="Arial"/>
          <w:sz w:val="12"/>
          <w:szCs w:val="12"/>
          <w:color w:val="auto"/>
        </w:rPr>
        <w:t xml:space="preserve"> - The human body has more than 600 E3 ligases, and we select ligands for E3 ligases from our proprietary library for incorporation into our PROTAC targeted protein degraders. We continue to research additional E3 ligases that are expressed in specific tissues or diseases, and identify or discover associated binding ligands, to create novel PROTAC protein degraders that recruit E3 ligases with targeted expression patterns, such as tumor or central nervous system-localized E3 ligases, that may be beneficial for the development of targeted oncologic and neurologic therapies. To enable targeted protein degradation via alternative E3 ligases, we have discovered and characterized novel small molecule ligands targeting the E3 ligase KLHDC2. We have functionalized these novel KLHDC2-targeting small molecules into robust and potent PROTAC KLHDC2-degraders and demonstrate KLHDC2-dependent degradation of target proteins across cell lines. Furthermore, we have leveraged biochemical studies to understand mechanistic assembly of the KLHDC2 holo-E3 complex together with its cognate adapter proteins in addition to structural studies to show the dynamic tetramer formation of KLHDC2 E3 assemblies induced by small molecule engagement. In doing so, we have expanded the arsenal of E3 ligases that can be targeted by small molecules and may be hijacked for targeted protein degradation. We believe our success with the diverse set of E3 ligases that we are currently employing and the binders of other E3 ligases that we are researching provide us with a competitive advantage as we develop a range of products with different technical characteristics.</w:t>
      </w:r>
    </w:p>
    <w:p>
      <w:pPr>
        <w:spacing w:after="0" w:line="49" w:lineRule="exact"/>
        <w:rPr>
          <w:rFonts w:ascii="Calibri" w:cs="Calibri" w:eastAsia="Calibri" w:hAnsi="Calibri"/>
          <w:sz w:val="13"/>
          <w:szCs w:val="13"/>
          <w:color w:val="auto"/>
        </w:rPr>
      </w:pPr>
    </w:p>
    <w:p>
      <w:pPr>
        <w:ind w:left="220" w:right="80" w:hanging="216"/>
        <w:spacing w:after="0" w:line="259" w:lineRule="auto"/>
        <w:tabs>
          <w:tab w:leader="none" w:pos="217"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Advanced Screening Capabilities</w:t>
      </w:r>
      <w:r>
        <w:rPr>
          <w:rFonts w:ascii="Arial" w:cs="Arial" w:eastAsia="Arial" w:hAnsi="Arial"/>
          <w:sz w:val="12"/>
          <w:szCs w:val="12"/>
          <w:color w:val="auto"/>
        </w:rPr>
        <w:t xml:space="preserve"> - We select ligands for incorporation into our PROTAC targeted protein degraders from a variety of sources. The ligands we select, which target the desired protein for degradation or E3 ligase for incorporation into our PROTAC targeted protein degraders, may include (1)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ligands discovered through high-throughput screening, biophysical directed binding approaches, virtual or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computer-based screening, and affinity-based hit identification through our in-house DNA-encoded libraries that that are tailored to the needs of incorporation into PROTAC protein degraders and to optimize their drug-like properties or (2) ligands that are known to bind protein targets but may have faced therapeutic limitations that we believe our PROTAC technology can overcome, such as lack of potency or function, metabolic instability or off-target effects.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Rapid PROTAC Design</w:t>
      </w:r>
    </w:p>
    <w:p>
      <w:pPr>
        <w:spacing w:after="0" w:line="76" w:lineRule="exact"/>
        <w:rPr>
          <w:sz w:val="20"/>
          <w:szCs w:val="20"/>
          <w:color w:val="auto"/>
        </w:rPr>
      </w:pPr>
    </w:p>
    <w:p>
      <w:pPr>
        <w:ind w:left="220" w:right="20" w:hanging="216"/>
        <w:spacing w:after="0" w:line="286" w:lineRule="auto"/>
        <w:tabs>
          <w:tab w:leader="none" w:pos="217"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Deep understanding of the "Zone of Ubiquitination"</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Bringing the targeted protein and the E3 ligase together into a ternary complex is necessary but not sufficient for degradation. We use structural and biochemical information to predict precisely which lysine residues on the target protein can be “tagged” with ubiquitin, and we design PROTAC degraders to exploit this knowledge.</w:t>
      </w:r>
    </w:p>
    <w:p>
      <w:pPr>
        <w:spacing w:after="0" w:line="31" w:lineRule="exact"/>
        <w:rPr>
          <w:rFonts w:ascii="Arial" w:cs="Arial" w:eastAsia="Arial" w:hAnsi="Arial"/>
          <w:sz w:val="12"/>
          <w:szCs w:val="12"/>
          <w:color w:val="auto"/>
        </w:rPr>
      </w:pPr>
    </w:p>
    <w:p>
      <w:pPr>
        <w:ind w:left="220" w:right="140" w:hanging="216"/>
        <w:spacing w:after="0" w:line="262" w:lineRule="auto"/>
        <w:tabs>
          <w:tab w:leader="none" w:pos="217"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ANGLE: Arvinas Next Generation Linker Evolution</w:t>
      </w:r>
      <w:r>
        <w:rPr>
          <w:rFonts w:ascii="Arial" w:cs="Arial" w:eastAsia="Arial" w:hAnsi="Arial"/>
          <w:sz w:val="12"/>
          <w:szCs w:val="12"/>
          <w:color w:val="auto"/>
        </w:rPr>
        <w:t xml:space="preserve"> - We connect the selected protein-targeting ligands and E3 ligase ligands with our privileged chemical linkers. Linker selection is critical for rapid identification of protein degraders and can introduce function and selectivity to a nonfunctional or nonselective binding ligand upon incorporation into a PROTAC targeted protein degrader molecule. Linker composition can also be used to modulate properties of our PROTAC targeted protein degraders, such as membrane permeability, aqueous solubility, metabolic stability and biodistribution. We select from a proprietary library of conformationally privileged linkers to enable the efficient formation of the ternary complex essential to ubiquitin transfer and protein degradation.</w:t>
      </w:r>
    </w:p>
    <w:p>
      <w:pPr>
        <w:spacing w:after="0" w:line="45" w:lineRule="exact"/>
        <w:rPr>
          <w:rFonts w:ascii="Arial" w:cs="Arial" w:eastAsia="Arial" w:hAnsi="Arial"/>
          <w:sz w:val="12"/>
          <w:szCs w:val="12"/>
          <w:color w:val="auto"/>
        </w:rPr>
      </w:pPr>
    </w:p>
    <w:p>
      <w:pPr>
        <w:ind w:left="220" w:right="120" w:hanging="216"/>
        <w:spacing w:after="0" w:line="286" w:lineRule="auto"/>
        <w:tabs>
          <w:tab w:leader="none" w:pos="217"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Predictive Computational Modeling</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We use ternary structure-based and dynamic computational modeling, many times aided by structural biology-generated insights, and design algorithms to rapidly identify potent degraders.</w:t>
      </w:r>
    </w:p>
    <w:p>
      <w:pPr>
        <w:spacing w:after="0" w:line="31" w:lineRule="exact"/>
        <w:rPr>
          <w:rFonts w:ascii="Arial" w:cs="Arial" w:eastAsia="Arial" w:hAnsi="Arial"/>
          <w:sz w:val="12"/>
          <w:szCs w:val="12"/>
          <w:color w:val="auto"/>
        </w:rPr>
      </w:pPr>
    </w:p>
    <w:p>
      <w:pPr>
        <w:jc w:val="both"/>
        <w:ind w:left="220" w:right="240" w:hanging="216"/>
        <w:spacing w:after="0" w:line="268" w:lineRule="auto"/>
        <w:tabs>
          <w:tab w:leader="none" w:pos="217"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Proteomics Capabilities</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A PROTAC degrader is often more selective than the targeting warhead. We have proteomics capabilities that enable us to understand that specificity in precise detail and iterate quickly to optimize the selectivity of our PROTAC degraders for the protein target. These proteomic capabilities also enable novel ligand characterization and ultra-sensitive protein biomarker detection to enable translation and quantitative protein degradation in the clinic.</w:t>
      </w:r>
    </w:p>
    <w:p>
      <w:pPr>
        <w:spacing w:after="0" w:line="3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720" w:top="885" w:right="299" w:bottom="1440" w:gutter="0" w:footer="0" w:header="0"/>
        </w:sectPr>
      </w:pPr>
    </w:p>
    <w:bookmarkStart w:id="16" w:name="page17"/>
    <w:bookmarkEnd w:id="16"/>
    <w:p>
      <w:pPr>
        <w:ind w:left="420"/>
        <w:spacing w:after="0"/>
        <w:rPr>
          <w:sz w:val="20"/>
          <w:szCs w:val="20"/>
          <w:color w:val="auto"/>
        </w:rPr>
      </w:pPr>
      <w:r>
        <w:rPr>
          <w:rFonts w:ascii="Arial" w:cs="Arial" w:eastAsia="Arial" w:hAnsi="Arial"/>
          <w:sz w:val="12"/>
          <w:szCs w:val="12"/>
          <w:b w:val="1"/>
          <w:bCs w:val="1"/>
          <w:i w:val="1"/>
          <w:iCs w:val="1"/>
          <w:color w:val="auto"/>
        </w:rPr>
        <w:t>Turning Degraders into Drugs</w:t>
      </w:r>
    </w:p>
    <w:p>
      <w:pPr>
        <w:spacing w:after="0" w:line="76" w:lineRule="exact"/>
        <w:rPr>
          <w:sz w:val="20"/>
          <w:szCs w:val="20"/>
          <w:color w:val="auto"/>
        </w:rPr>
      </w:pPr>
    </w:p>
    <w:p>
      <w:pPr>
        <w:ind w:left="640" w:hanging="216"/>
        <w:spacing w:after="0" w:line="262" w:lineRule="auto"/>
        <w:tabs>
          <w:tab w:leader="none" w:pos="637" w:val="left"/>
        </w:tabs>
        <w:numPr>
          <w:ilvl w:val="0"/>
          <w:numId w:val="12"/>
        </w:numPr>
        <w:rPr>
          <w:rFonts w:ascii="Arial" w:cs="Arial" w:eastAsia="Arial" w:hAnsi="Arial"/>
          <w:sz w:val="12"/>
          <w:szCs w:val="12"/>
          <w:b w:val="1"/>
          <w:bCs w:val="1"/>
          <w:color w:val="auto"/>
        </w:rPr>
      </w:pPr>
      <w:r>
        <w:rPr>
          <w:rFonts w:ascii="Arial" w:cs="Arial" w:eastAsia="Arial" w:hAnsi="Arial"/>
          <w:sz w:val="12"/>
          <w:szCs w:val="12"/>
          <w:u w:val="single" w:color="auto"/>
          <w:color w:val="auto"/>
        </w:rPr>
        <w:t>Arvinas Rules</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Optimization of traditional small molecule agents tends to focus on guidelines that increase the chances of such molecules having sufficient permeability and solubility to make them orally bioavailable. Chimeric small molecules, including our PROTAC targeted protein degraders, are larger than traditional small molecule therapeutics, such that the conventional optimization parameters prevalent in traditional drug discovery do not readily apply. As such we have developed and apply our own proprietary Arvinas Rules and machine learning algorithms to accelerate design of our PROTAC targeted protein degraders. Through our Arvinas Rules, we have made PROTAC targeted protein degraders that are orally bioavailable and that cross the blood brain barrier.</w:t>
      </w:r>
    </w:p>
    <w:p>
      <w:pPr>
        <w:spacing w:after="0" w:line="45" w:lineRule="exact"/>
        <w:rPr>
          <w:rFonts w:ascii="Arial" w:cs="Arial" w:eastAsia="Arial" w:hAnsi="Arial"/>
          <w:sz w:val="12"/>
          <w:szCs w:val="12"/>
          <w:b w:val="1"/>
          <w:bCs w:val="1"/>
          <w:color w:val="auto"/>
        </w:rPr>
      </w:pPr>
    </w:p>
    <w:p>
      <w:pPr>
        <w:ind w:left="640" w:right="200" w:hanging="216"/>
        <w:spacing w:after="0" w:line="286" w:lineRule="auto"/>
        <w:tabs>
          <w:tab w:leader="none" w:pos="637"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Deep Knowledge of</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in vivo</w:t>
      </w:r>
      <w:r>
        <w:rPr>
          <w:rFonts w:ascii="Arial" w:cs="Arial" w:eastAsia="Arial" w:hAnsi="Arial"/>
          <w:sz w:val="12"/>
          <w:szCs w:val="12"/>
          <w:color w:val="auto"/>
        </w:rPr>
        <w:t xml:space="preserve"> </w:t>
      </w:r>
      <w:r>
        <w:rPr>
          <w:rFonts w:ascii="Arial" w:cs="Arial" w:eastAsia="Arial" w:hAnsi="Arial"/>
          <w:sz w:val="12"/>
          <w:szCs w:val="12"/>
          <w:u w:val="single" w:color="auto"/>
          <w:color w:val="auto"/>
        </w:rPr>
        <w:t>PK/PD and Efficacy Relationships</w:t>
      </w:r>
      <w:r>
        <w:rPr>
          <w:rFonts w:ascii="Arial" w:cs="Arial" w:eastAsia="Arial" w:hAnsi="Arial"/>
          <w:sz w:val="12"/>
          <w:szCs w:val="12"/>
          <w:color w:val="auto"/>
        </w:rPr>
        <w:t xml:space="preserve"> </w:t>
      </w:r>
      <w:r>
        <w:rPr>
          <w:rFonts w:ascii="Arial" w:cs="Arial" w:eastAsia="Arial" w:hAnsi="Arial"/>
          <w:sz w:val="12"/>
          <w:szCs w:val="12"/>
          <w:b w:val="1"/>
          <w:bCs w:val="1"/>
          <w:color w:val="auto"/>
        </w:rPr>
        <w:t>-</w:t>
      </w:r>
      <w:r>
        <w:rPr>
          <w:rFonts w:ascii="Arial" w:cs="Arial" w:eastAsia="Arial" w:hAnsi="Arial"/>
          <w:sz w:val="12"/>
          <w:szCs w:val="12"/>
          <w:color w:val="auto"/>
        </w:rPr>
        <w:t xml:space="preserve"> Our understanding of molecular features that impact PROTAC biodistribution and target degradation, in the body, enables us to create PROTAC degraders with drug-like properties and activities. We can use this understanding to rapidly progress from target identification to PROTAC optimization and development.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Key Features of Our PROTAC Targeted Protein Degraders</w:t>
      </w:r>
    </w:p>
    <w:p>
      <w:pPr>
        <w:spacing w:after="0" w:line="76"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In the design, optimization and development of our PROTAC targeted protein degraders, we focus on the following key features that we believe are critical to successfully engineering PROTAC targeted protein degrader therapeutics with potentially robust application across multiple indications and therapeutic areas: potency, selectivity, deliverability, differential biology and versatility. We have harnessed these features to successfully target and degrade a wide range of protein classes, including nuclear proteins, transcription factors, epigenetic modulators, membrane proteins, cytosolic proteins and high molecular weight neuropathologic protein oligomers.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Potency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potency of our PROTAC technology is driven by two key characteristics: the iterative mechanism of our PROTAC targeted protein degraders and the ability to turn weak binders into potent degraders.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Iterative Mechanism</w:t>
      </w:r>
    </w:p>
    <w:p>
      <w:pPr>
        <w:spacing w:after="0" w:line="76"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Our PROTAC targeted protein degraders behave iteratively to repeatedly induce the ubiquitination and subsequent degradation of proteins. As a result, protein degradation may be observed with PROTAC targeted protein degrader concentrations much lower than those required for typical small molecule inhibition, even operating at picomolar concentrations. We expect that the high cellular potency of PROTAC targeted protein degrader could provide the possibility of removal of proteins at levels equivalent to the knock out effect intended by gene-based medicines currently being explored. Our PROTAC targeted protein degraders offer potentially significant therapeutic advantages, including low doses, low drug exposures and practical dosing intervals, potentially mitigating toxicity and tolerability risks.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The iterative mechanism of our PROTAC targeted protein degraders potentially leads to more complete and lasting inactivation of downstream signaling in cells. In oncology, this translates into improved inhibition of tumor cell growth and reduces the likelihood of cell compensation through activation of alternative proteins, a common risk associated with small molecule inhibitors. In neurological diseases, our PROTACs have been shown preclinically to deliver low concentrations of drug to deep brain regions and remove disease proteins that impact disease pathobiology in ways that inhibitors, antibodies, genetic approaches, and inhibitors cannot. This mechanism enables PROTAC targeted protein degraders to operate in a broad therapeutic space between desired degradation-induced pharmacology and unwanted inhibition-induced effects.</w:t>
      </w:r>
    </w:p>
    <w:p>
      <w:pPr>
        <w:spacing w:after="0" w:line="119" w:lineRule="exact"/>
        <w:rPr>
          <w:sz w:val="20"/>
          <w:szCs w:val="20"/>
          <w:color w:val="auto"/>
        </w:rPr>
      </w:pPr>
    </w:p>
    <w:p>
      <w:pPr>
        <w:ind w:right="300" w:firstLine="432"/>
        <w:spacing w:after="0" w:line="334" w:lineRule="auto"/>
        <w:rPr>
          <w:sz w:val="20"/>
          <w:szCs w:val="20"/>
          <w:color w:val="auto"/>
        </w:rPr>
      </w:pPr>
      <w:r>
        <w:rPr>
          <w:rFonts w:ascii="Arial" w:cs="Arial" w:eastAsia="Arial" w:hAnsi="Arial"/>
          <w:sz w:val="11"/>
          <w:szCs w:val="11"/>
          <w:color w:val="auto"/>
        </w:rPr>
        <w:t>Once the pre-existing reservoir of the targeted protein is depleted, our PROTAC targeted protein degraders only need to degrade newly resynthesized protein to maintain their effect. Depending on the resynthesis rate of the protein, this may be achievable with low tissue concentrations of PROTAC targeted protein degrader, which could lead to safety benefits and opportunities for flexible dosing regimens.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17" w:name="page18"/>
    <w:bookmarkEnd w:id="17"/>
    <w:p>
      <w:pPr>
        <w:ind w:left="420"/>
        <w:spacing w:after="0"/>
        <w:rPr>
          <w:sz w:val="20"/>
          <w:szCs w:val="20"/>
          <w:color w:val="auto"/>
        </w:rPr>
      </w:pPr>
      <w:r>
        <w:rPr>
          <w:rFonts w:ascii="Arial" w:cs="Arial" w:eastAsia="Arial" w:hAnsi="Arial"/>
          <w:sz w:val="12"/>
          <w:szCs w:val="12"/>
          <w:i w:val="1"/>
          <w:iCs w:val="1"/>
          <w:color w:val="auto"/>
        </w:rPr>
        <w:t>Weak Binders Become Potent Degraders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Using our platform and know-how, we are able to engineer potent PROTAC targeted protein degraders that do not require a high degree of binding strength to their targets. This contrasts with small molecule inhibitors, which require strong binding to a target protein and function by continually occupying the protein’s active site. The potency of our PROTAC targeted protein degraders is determined by a number of kinetic factors: formation of the ternary complex, rapid ubiquitination, trafficking of the ubiquitinated target to the proteasome and release of the PROTAC targeted protein degrader to enter another iterative cycle of degradation. As a result, a PROTAC targeted protein degrader with a low level of target protein occupancy can maintain a deep and prolonged suppression of protein levels, leading to the desired pharmacological effect. This provides opportunities to use our PROTAC technology to repurpose small molecules that only weakly bind to their target to create potent degraders as PROTAC targeted protein degraders.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Selectivity</w:t>
      </w:r>
    </w:p>
    <w:p>
      <w:pPr>
        <w:spacing w:after="0" w:line="78"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When a ligand is incorporated into a PROTAC targeted protein degrader, the ternary complex initiated by the PROTAC targeted protein degrader often causes the ligand’s selectivity to increase, meaning that the degradation profile of a PROTAC targeted protein degrader can be even more selective than the binding profile of the ligand alone. By minimizing the binding of a ligand to off-target proteins and maximizing selectivity for a target protein, our PROTAC targeted protein degraders may reduce the potential for incidental degradation of normal, healthy proteins and unwanted drug effects and toxicity.</w:t>
      </w:r>
    </w:p>
    <w:p>
      <w:pPr>
        <w:spacing w:after="0" w:line="114"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We published experiments in which a ligand binding to 133 kinases degraded fewer than ten proteins when incorporated into a PROTAC targeted protein degrader with limited additional modification. With further modification, and based on our experience, we believe it is possible to engineer promiscuous binders into more selective protein degraders, and when starting with less promiscuous, yet still unselective, binders, identify very selective PROTAC target protein degraders.</w:t>
      </w:r>
    </w:p>
    <w:p>
      <w:pPr>
        <w:spacing w:after="0" w:line="1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This selectivity allows for engineering of PROTAC targeted protein degraders that degrade only the mutated and unwanted protein, while sparing the normal, or wild-type, protein that may be necessary for healthy function. For example, we have demonstrated degradation of abnormal, but not wild-type, forms of the BRAF protein using a PROTAC targeted protein degrader. Wild-type BRAF helps transmit chemical signals from outside the cell to the cell’s nucleus and is part of a pathway that regulates cell proliferation, differentiation, migration and apoptosis. Mutations of BRAF, however, have been associated with a number of different cancers. As shown in the figure below, our PROTAC targeted protein degrader degraded BRAF mutants, as depicted by a lighter shade in the columns labeled 300 nM, representative of each of the three classes of BRAF mutations, while not degrading the wild-type BRAF, as depicted by an unchanging shade in each of the columns shown on the western blot.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83820</wp:posOffset>
            </wp:positionV>
            <wp:extent cx="2628900" cy="657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8900"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60"/>
        <w:spacing w:after="0"/>
        <w:rPr>
          <w:sz w:val="20"/>
          <w:szCs w:val="20"/>
          <w:color w:val="auto"/>
        </w:rPr>
      </w:pPr>
      <w:r>
        <w:rPr>
          <w:rFonts w:ascii="Arial" w:cs="Arial" w:eastAsia="Arial" w:hAnsi="Arial"/>
          <w:sz w:val="10"/>
          <w:szCs w:val="10"/>
          <w:color w:val="auto"/>
        </w:rPr>
        <w:t>1hMito is a protein this particular PROTAC targeted protein degrader is not targeted to degrade, and is included as a control to ensure total protein is equivalent in each lane.</w:t>
      </w:r>
    </w:p>
    <w:p>
      <w:pPr>
        <w:spacing w:after="0" w:line="201"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An additional example of the selectivity achievable with a PROTAC degrader is seen in the figure below, showing that a KRAS G12D PROTAC only degrades the mutant G12D protein and not any other mutant forms of KRAS nor any of the wild type RAS isoforms. This selective reduction in the KRAS G12D protein is depicted by the loss of the red band in the row labeled AsPC-1, the name of a pancreatic cancer cell line that harbors the KRAS G12D mutation. The red band showing the KRAS G12D protein is lightest in the column with 30 nM</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PROTAC and returns at 3000 nM PROTAC due to a common phenomenon observed with heterobifunctional molecules called the hook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149225</wp:posOffset>
            </wp:positionV>
            <wp:extent cx="2297430" cy="1937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743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Deliverability and Versatility</w:t>
      </w:r>
    </w:p>
    <w:p>
      <w:pPr>
        <w:spacing w:after="0" w:line="78"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Our PROTAC targeted protein degraders have the potential for delivery through multiple routes of administration to reach target proteins, and certain of our PROTAC targeted protein degraders are capable of penetrating the blood brain barrier. In addition, the broad expression of the E3 ligases we target and the potential to turn weak binding ligands into potent degraders allows the application of our PROTAC technology to develop treatments for diseases associated with proteins that cannot be addressed by existing small molecule therapies.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Deliverability</w:t>
      </w:r>
    </w:p>
    <w:p>
      <w:pPr>
        <w:spacing w:after="0" w:line="7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We have developed PROTAC targeted protein degraders that are capable of being delivered orally, intravenously, subcutaneously and intrathecally, among other routes of administration, as well as PROTAC targeted protein degraders that are able to penetrate the blood brain barrier after oral administration. The multiple routes of delivery for our PROTAC targeted protein degraders potentially provide many attractive clinical dosing options. For example, oral delivery can offer a differentiating, competitive and commercial advantage over other therapeutic approaches such as gene-based medicines which require parenteral administration. Further, oral administration avoids risks of adverse events associated with intravenous or intramuscular administration, such as the potential for infection and blood clots at the infusion site.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Versatility</w:t>
      </w:r>
    </w:p>
    <w:p>
      <w:pPr>
        <w:spacing w:after="0" w:line="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believe our PROTAC targeted protein degraders may have potential application in a wide range of therapeutic areas because the E3 ligases we currently target are expressed widely across tissue types. Ligands that bind to some proteins may be of only weak affinity. However, we believe that our PROTAC technology will allow the degradation of proteins through such low affinity active binding sites or non-functional binding sites. Our ability to design weak binding PROTAC targeted protein degraders that nonetheless initiate rapid ubiquitination and subsequent degradation of targeted proteins has the potential to expand the number of disease-causing proteins targeted for drug development to include undruggable targets. We believe that rendering these targets druggable for the first time represents the true breadth and potential of our PROTAC Discovery Engine.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19" w:name="page20"/>
    <w:bookmarkEnd w:id="19"/>
    <w:p>
      <w:pPr>
        <w:jc w:val="both"/>
        <w:ind w:firstLine="432"/>
        <w:spacing w:after="0" w:line="242" w:lineRule="auto"/>
        <w:rPr>
          <w:sz w:val="20"/>
          <w:szCs w:val="20"/>
          <w:color w:val="auto"/>
        </w:rPr>
      </w:pPr>
      <w:r>
        <w:rPr>
          <w:rFonts w:ascii="Arial" w:cs="Arial" w:eastAsia="Arial" w:hAnsi="Arial"/>
          <w:sz w:val="12"/>
          <w:szCs w:val="12"/>
          <w:color w:val="auto"/>
        </w:rPr>
        <w:t>We have demonstrated that non-functional binding sites, analogous to those that may be present on proteins considered undruggable, can be used to target proteins for degradation by PROTAC targeted protein degraders. The figure below depicts a structural model of the Abl tyrosine kinase. This protein kinase possesses an enzymatic active site that is inhibited by the marketed small molecule, imatinib. The Abl kinase also has a second, non-functional active site, called an allosteric site, in its structure that can bind a different small molecule, named GNF-2, which despite binding allosterically (with a relatively weak K</w:t>
      </w:r>
      <w:r>
        <w:rPr>
          <w:rFonts w:ascii="Arial" w:cs="Arial" w:eastAsia="Arial" w:hAnsi="Arial"/>
          <w:sz w:val="15"/>
          <w:szCs w:val="15"/>
          <w:color w:val="auto"/>
          <w:vertAlign w:val="subscript"/>
        </w:rPr>
        <w:t>D</w:t>
      </w:r>
      <w:r>
        <w:rPr>
          <w:rFonts w:ascii="Arial" w:cs="Arial" w:eastAsia="Arial" w:hAnsi="Arial"/>
          <w:sz w:val="12"/>
          <w:szCs w:val="12"/>
          <w:color w:val="auto"/>
        </w:rPr>
        <w:t xml:space="preserve"> of 500 nM), inhibits only the wild type protein (C-Abl), but not BCR-Abl-a mutated form of Abl implicated in chronic myelogenous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89535</wp:posOffset>
            </wp:positionV>
            <wp:extent cx="2628900" cy="2000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28900"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80" w:firstLine="432"/>
        <w:spacing w:after="0" w:line="268" w:lineRule="auto"/>
        <w:rPr>
          <w:sz w:val="20"/>
          <w:szCs w:val="20"/>
          <w:color w:val="auto"/>
        </w:rPr>
      </w:pPr>
      <w:r>
        <w:rPr>
          <w:rFonts w:ascii="Arial" w:cs="Arial" w:eastAsia="Arial" w:hAnsi="Arial"/>
          <w:sz w:val="12"/>
          <w:szCs w:val="12"/>
          <w:color w:val="auto"/>
        </w:rPr>
        <w:t>When GNF-2 is converted into a PROTAC targeted protein degrader and used to treat cells, both BCR-Abl and C-Abl are effectively degraded. The figure below shows western blots of cells treated by increasing concentrations of our PROTAC targeted protein degrader and shows decreasing presence of each of BCR-Abl and C-Abl protein (depicted by a lighter shade of the BCR/Abl and C-Abl band in the western blot). Downstream signaling, as denoted by reduction of phosphorylated Stat5 (pStat5), is subsequently inhibited.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80010</wp:posOffset>
            </wp:positionV>
            <wp:extent cx="2628900" cy="1314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28900"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0"/>
        <w:spacing w:after="0"/>
        <w:rPr>
          <w:sz w:val="20"/>
          <w:szCs w:val="20"/>
          <w:color w:val="auto"/>
        </w:rPr>
      </w:pPr>
      <w:r>
        <w:rPr>
          <w:rFonts w:ascii="Arial" w:cs="Arial" w:eastAsia="Arial" w:hAnsi="Arial"/>
          <w:sz w:val="10"/>
          <w:szCs w:val="10"/>
          <w:color w:val="auto"/>
        </w:rPr>
        <w:t>1Tubulin is a protein the GNF-2 PROTAC targeted protein degrader is not targeted to degrade, and is included as a control to ensure total protein is equivalent in each lane.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811" w:right="439" w:bottom="1440" w:gutter="0" w:footer="0" w:header="0"/>
        </w:sectPr>
      </w:pPr>
    </w:p>
    <w:bookmarkStart w:id="20" w:name="page21"/>
    <w:bookmarkEnd w:id="20"/>
    <w:p>
      <w:pPr>
        <w:ind w:right="320" w:firstLine="432"/>
        <w:spacing w:after="0" w:line="268" w:lineRule="auto"/>
        <w:rPr>
          <w:sz w:val="20"/>
          <w:szCs w:val="20"/>
          <w:color w:val="auto"/>
        </w:rPr>
      </w:pPr>
      <w:r>
        <w:rPr>
          <w:rFonts w:ascii="Arial" w:cs="Arial" w:eastAsia="Arial" w:hAnsi="Arial"/>
          <w:sz w:val="12"/>
          <w:szCs w:val="12"/>
          <w:color w:val="auto"/>
        </w:rPr>
        <w:t>PROTAC-induced degradation may offer a solution for historically undruggable proteins because only binders, not functional inhibitors, are needed to facilitate E3 ligase recruitment and initiation of the degradation process. The probability of finding a suitable ligand using binding-site-agnostic screening is increased because the function of the ligand itself is not required. As a result, there is the potential for PROTAC targeted protein degraders to generate therapeutics from poorly selective ligands, weak-affinity ligands, or ligands that may not be intrinsically biologically active.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Our Clinical Stage Programs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Oncology Programs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Estrogen Receptor Program: Vepdegestrant for the Treatment of Patients with Locally Advanced or Metastatic ER+/HER2- Breast Cancer</w:t>
      </w:r>
    </w:p>
    <w:p>
      <w:pPr>
        <w:spacing w:after="0" w:line="7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We are developing vepdegestrant, an investigational orally bioavailable PROTAC ER degrader designed to specifically target and degrade the ER for the treatment of patients with ER+/HER2- breast cancer. Vepdegestrant is being developed as a potential monotherapy and as part of a combination therapy across multiple treatment settings for ER+/HER2- metastatic breast cancer, as an alternative to, and potentially more potent degrader than, the intramuscular injection fulvestrant and other selective ER degraders, or SERDs, currently approved or in development for the treatment of patients with locally advanced or metastatic ER+/HER2- breast cancer. We chose ER degradation as a therapeutic focus given the well-documented biology of ER signaling as a principal driver in a high percentage of breast cancers. In July 2021, we announced a global collaboration with Pfizer for the co-development and co-commercialization of vepdegestrant.</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Vepdegestrant has demonstrated activity in ER+ breast cancer preclinical models and is being evaluated across clinical trials, including clinical trials in breast cancer patients and clinical pharmacology trials in healthy volunteers. In addition to monotherapy clinical trials, vepdegestrant is being evaluated in multiple clinical trials in combination other agents including Pfizer's novel investigational CDK4 inhibitor atirmociclib, CDK4/6 inhibitors such as abemaciclib, ribociclib, palbociclib, the CDK7 inhibitor samuraciclib, everolimus, and other targeted therapies. Vepdegestrant is the first PROTAC ER degrader to enter Phase 3 pivotal trials. We believe vepdegestrant has the potential to become a first-in-class ER-degrading PROTAC in advanced breast cancer and an oral, best-in-class targeted therapy, and the potential to improve clinical outcomes over current standards of care for patients with locally advanced or metastatic ER+/HER2- breast cancer as well as in earlier treatment settings.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Breast Cancer - Patient Population and Market Opportunity</w:t>
      </w:r>
    </w:p>
    <w:p>
      <w:pPr>
        <w:spacing w:after="0" w:line="78" w:lineRule="exact"/>
        <w:rPr>
          <w:sz w:val="20"/>
          <w:szCs w:val="20"/>
          <w:color w:val="auto"/>
        </w:rPr>
      </w:pPr>
    </w:p>
    <w:p>
      <w:pPr>
        <w:ind w:right="300" w:firstLine="432"/>
        <w:spacing w:after="0" w:line="268" w:lineRule="auto"/>
        <w:rPr>
          <w:sz w:val="20"/>
          <w:szCs w:val="20"/>
          <w:color w:val="auto"/>
        </w:rPr>
      </w:pPr>
      <w:r>
        <w:rPr>
          <w:rFonts w:ascii="Arial" w:cs="Arial" w:eastAsia="Arial" w:hAnsi="Arial"/>
          <w:sz w:val="12"/>
          <w:szCs w:val="12"/>
          <w:color w:val="auto"/>
        </w:rPr>
        <w:t>Breast cancer is the most common cancer diagnosed among women in the United States, other than skin cancers, and the second leading cause of cancer death in women. Approximately one in eight women in the United States will develop invasive breast cancer in their lifetime. The American Cancer Society estimates that in 2025 there will be approximately 316,950 new cases of invasive breast cancer diagnosed in women in the United States. Approximately 70% of all breast cancer cases, including males, are ER+.</w:t>
      </w:r>
    </w:p>
    <w:p>
      <w:pPr>
        <w:spacing w:after="0" w:line="11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Treatment options for breast cancer depend on many different factors, including the stage of the cancer and whether the cancer cells contain hormone receptors. Patients with locally advanced or metastatic breast cancer are treated with systemic therapy, including hormone therapy, chemotherapy and targeted therapy, either as single-agents or in combination. Patients with locally advanced or metastatic ER+/HER2- breast cancer are often treated with hormone therapy, such as an aromatase inhibitor, typically in combination with targeted drugs such as CDK4/6 inhibitors. In patients with aggressive disease or whose disease continues to progress with a hormonal treatment regimen, chemotherapy may be prescribed. Treatment with chemotherapy is generally postponed for as long as possible due to the potential for severe side effects including neuropathies, nausea, diarrhea, decreased mental capacity and increased risk of infections.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1" w:name="page22"/>
    <w:bookmarkEnd w:id="21"/>
    <w:p>
      <w:pPr>
        <w:ind w:right="20" w:firstLine="432"/>
        <w:spacing w:after="0" w:line="262" w:lineRule="auto"/>
        <w:rPr>
          <w:sz w:val="20"/>
          <w:szCs w:val="20"/>
          <w:color w:val="auto"/>
        </w:rPr>
      </w:pPr>
      <w:r>
        <w:rPr>
          <w:rFonts w:ascii="Arial" w:cs="Arial" w:eastAsia="Arial" w:hAnsi="Arial"/>
          <w:sz w:val="12"/>
          <w:szCs w:val="12"/>
          <w:color w:val="auto"/>
        </w:rPr>
        <w:t>A current standard of care for patients with ER+/HER2- locally advanced or metastatic breast cancer who experience progression on first-line therapy is fulvestrant, a SERD, administered as a monthly intramuscular injection, either as a single-agent or in combination with another targeted therapy. While fulvestrant has validated the importance of ER degradation as a therapeutic intervention, up to 50% of ER can remain when compared to baseline levels after six months of treatment with fulvestrant, providing an opportunity for more potent ER degraders. In January 2023, the FDA approved the SERD elacestrant for postmenopausal women or adult men with ER+/HER2-, ESR1-mutated advanced or metastatic breast cancer with disease progression following at least one line of endocrine therapy.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Preclinical Development</w:t>
      </w:r>
    </w:p>
    <w:p>
      <w:pPr>
        <w:spacing w:after="0" w:line="78" w:lineRule="exact"/>
        <w:rPr>
          <w:sz w:val="20"/>
          <w:szCs w:val="20"/>
          <w:color w:val="auto"/>
        </w:rPr>
      </w:pPr>
    </w:p>
    <w:p>
      <w:pPr>
        <w:jc w:val="both"/>
        <w:ind w:right="340" w:firstLine="432"/>
        <w:spacing w:after="0" w:line="268" w:lineRule="auto"/>
        <w:rPr>
          <w:sz w:val="20"/>
          <w:szCs w:val="20"/>
          <w:color w:val="auto"/>
        </w:rPr>
      </w:pPr>
      <w:r>
        <w:rPr>
          <w:rFonts w:ascii="Arial" w:cs="Arial" w:eastAsia="Arial" w:hAnsi="Arial"/>
          <w:sz w:val="12"/>
          <w:szCs w:val="12"/>
          <w:color w:val="auto"/>
        </w:rPr>
        <w:t>We have conducted a comprehensive preclinical program to study vepdegestrant as a potential treatment for patients with locally advanced or metastatic ER+ / HER2- breast cancer. In our preclinical studies, vepdegestrant demonstrated superior ER degradation compared to fulvestrant. Vepdegestrant has also demonstrated superior tumor regression when combined with a CDK4/6 inhibitor compared to fulvestrant and the same combination partner.</w:t>
      </w:r>
    </w:p>
    <w:p>
      <w:pPr>
        <w:spacing w:after="0" w:line="11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models, vepdegestrant has induced ER degradation in multiple cell lines typically used in breast cancer research. In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experiments vepdegestrant has achieved superior tumor growth inhibition and degradation compared to fulvestrant. We have tested vepdegestrant for tumor growth inhibitory activity using an industry-standard MCF-7 xenograft mouse model. MCF-7 is a well-characterized estradiol-dependent ER+ / HER2- cell line that forms tumors when implanted in the mammary fat pad of female mice. Vepdegestrant resulted in very high tumor growth inhibition when dosed daily orally at 10 mpk and more than 80% tumor shrinkage when dosed daily orally at 30 mpk for 28 days. At both doses, vepdegestrant demonstrated superior activity compared to a clinically relevant dose of fulvestrant, which is 200 mpk twice per week for two weeks and then once per week for two weeks. After 28 days of dosing in this efficacy study, the MCF-7 tumors were removed from the mice and processed for western blots to observe the level of ER degradation induced by oral dosing of vepdegestrant. Vepdegestrant reduced ER by 85%, on average, at 10 mpk as compared to the control tumors and by 89%, on average, at 30 mpk as compared to the control tumors.</w:t>
      </w:r>
    </w:p>
    <w:p>
      <w:pPr>
        <w:spacing w:after="0" w:line="122"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have also conducted preclinical studies to test vepdegestrant in a tumor line derived directly from a patient, referred to as a patient derived xenograft, or PDX, model. This model is derived from a tumor with an ESR1 mutation (Y537S), which is a mutation in the ER that occurs in patients who have been treated with standard-of-care agents such as tamoxifen or an aromatase inhibitor, such as letrozole, and has been cited as a mechanism of resistance to those drugs. These studies included a comparison with fulvestrant. In this 28-day dosing study, oral vepdegestrant inhibited tumor growth by 99% at the 10 mpk dosing level and by 106% at the 30 mpk dosing level which was observed to be superior at both dosing levels to a clinically relevant dose of 200 mpk of fulvestrant. Further, vepdegestrant was shown to reduce ER by 79% and 88% at the 10 mpk and 30 mpk dosing levels, respectively, compared with 63% at the 200 mpk of fulvestrant dosing level.</w:t>
      </w:r>
    </w:p>
    <w:p>
      <w:pPr>
        <w:spacing w:after="0" w:line="119"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We have also conducted preclinical studies of vepdegestrant in combination with abemaciclib, a CDK4/6 inhibitor that is standard of care when used together with endocrine therapy. In these studies, we have achieved significant tumor shrinkage with vepdegestrant in ER+/HER2- MCF-7 xenograft models. As shown in the figure below, in a 28-day dosing study in MCF-7 xenografts, vepdegestrant at 30 mpk daily in combination with abemaciclib was superior in shrinking tumors, as compared to either abemaciclib as a single agent at 50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mpk daily, or the standard-of-care combination of abemaciclib at 50 mpk daily plus fulvestrant at 200 mpk twice per week for two weeks and then once per week for two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103505</wp:posOffset>
            </wp:positionV>
            <wp:extent cx="3497580" cy="1840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7580" cy="184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We conducted similar studies for vepdegestrant in combination with palbociclib or ribociclib in the MCF-7 xenograft model, which demonstrated similar results for improved tumor growth inhibition for vepdegestrant in combination with palbociclib or vepdegestrant in combination with ribociclib relative to single agents or relative to fulvestrant in combination palbociclib or fulvestrant in combination with ribociclib, respectively, as shown in the figures below.</w:t>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811" w:right="4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523240</wp:posOffset>
            </wp:positionV>
            <wp:extent cx="3634740" cy="3160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4740" cy="316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firstLine="432"/>
        <w:spacing w:after="0" w:line="270" w:lineRule="auto"/>
        <w:rPr>
          <w:sz w:val="20"/>
          <w:szCs w:val="20"/>
          <w:color w:val="auto"/>
        </w:rPr>
      </w:pPr>
      <w:r>
        <w:rPr>
          <w:rFonts w:ascii="Arial" w:cs="Arial" w:eastAsia="Arial" w:hAnsi="Arial"/>
          <w:sz w:val="12"/>
          <w:szCs w:val="12"/>
          <w:color w:val="auto"/>
        </w:rPr>
        <w:t>We believe that vepdegestrant also has the potential to show compelling activity in combination with other targeted agents currently used or in clinical trials for locally advanced or metastatic breast cancer including PI3K and mammalian target of rapamycin inhibitors and have tested and plan to continue to test these combinations in preclinical models.</w:t>
      </w:r>
    </w:p>
    <w:p>
      <w:pPr>
        <w:spacing w:after="0" w:line="113"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In the second quarter of 2023, we presented vepdegestrant preclinical data at the American Association for Cancer Research annual meeting that demonstrated the potential utility of vepdegestrant as an endocrine therapy backbone for combination with other targeted agents in early and late-stage ER+/HER2- breast cancer and the potential mechanisms of acquired resistance to vepdegestrant that may be associated with alterations within Receptor Tyrosine Kinase/MAPK signaling pathways rather than ER signaling or E3 ligase machinery.</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the fourth quarter of 2024, we presented vepdegestrant preclinical data at the San Antonio Breast Cancer Symposium, or SABCS, including vepdegestrant plus CDK4/6 inhibitor combinations in palbociclib-resistant patient derived xenograft, or PDX, models. In one PDX model harboring an ESR1 mutation (Y537S), vepdegestrant demonstrated anti-tumor activity as a single agent as well as enhanced activity in combination with abemaciclib, ribociclib or palbociclib compared to single agents, respectively. In a second PDX model harboring wild-type ESR1, vepdegestrant also demonstrated anti-tumor activity as a single agent as well as enhanced activity in combination with palbociclib. In this second model, both single agent vepdegestrant as well as vepdegestrant plus palbociclib treatment arms demonstrated superior anti-tumor activity relative to fulvestrant treatment alone or fulvestrant treatment plus palbociclib.</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auto"/>
        </w:rPr>
        <w:t>Our Clinical Trials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Overview</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along with Pfizer, have several ongoing clinical trials of vepdegestrant, designed to potentially position vepdegestrant as a backbone ER-targeting therapy in breast cancer, including:</w:t>
      </w:r>
    </w:p>
    <w:p>
      <w:pPr>
        <w:spacing w:after="0" w:line="78" w:lineRule="exact"/>
        <w:rPr>
          <w:sz w:val="20"/>
          <w:szCs w:val="20"/>
          <w:color w:val="auto"/>
        </w:rPr>
      </w:pPr>
    </w:p>
    <w:p>
      <w:pPr>
        <w:ind w:left="440" w:right="180" w:hanging="220"/>
        <w:spacing w:after="0" w:line="286" w:lineRule="auto"/>
        <w:tabs>
          <w:tab w:leader="none" w:pos="437" w:val="left"/>
        </w:tabs>
        <w:numPr>
          <w:ilvl w:val="0"/>
          <w:numId w:val="13"/>
        </w:numPr>
        <w:rPr>
          <w:rFonts w:ascii="Arial" w:cs="Arial" w:eastAsia="Arial" w:hAnsi="Arial"/>
          <w:sz w:val="12"/>
          <w:szCs w:val="12"/>
          <w:color w:val="auto"/>
        </w:rPr>
      </w:pPr>
      <w:r>
        <w:rPr>
          <w:rFonts w:ascii="Arial" w:cs="Arial" w:eastAsia="Arial" w:hAnsi="Arial"/>
          <w:sz w:val="12"/>
          <w:szCs w:val="12"/>
          <w:color w:val="auto"/>
        </w:rPr>
        <w:t>VERITAC-2, a Phase 3 second/third-line clinical trial evaluating vepdegestrant as a monotherapy, in advanced/metastatic breast cancer patients, for which we completed enrollment of patients in the fourth quarter of 2024;</w:t>
      </w:r>
    </w:p>
    <w:p>
      <w:pPr>
        <w:spacing w:after="0" w:line="31" w:lineRule="exact"/>
        <w:rPr>
          <w:rFonts w:ascii="Arial" w:cs="Arial" w:eastAsia="Arial" w:hAnsi="Arial"/>
          <w:sz w:val="12"/>
          <w:szCs w:val="12"/>
          <w:color w:val="auto"/>
        </w:rPr>
      </w:pPr>
    </w:p>
    <w:p>
      <w:pPr>
        <w:ind w:left="440" w:right="400" w:hanging="220"/>
        <w:spacing w:after="0" w:line="286" w:lineRule="auto"/>
        <w:tabs>
          <w:tab w:leader="none" w:pos="437" w:val="left"/>
        </w:tabs>
        <w:numPr>
          <w:ilvl w:val="0"/>
          <w:numId w:val="13"/>
        </w:numPr>
        <w:rPr>
          <w:rFonts w:ascii="Arial" w:cs="Arial" w:eastAsia="Arial" w:hAnsi="Arial"/>
          <w:sz w:val="12"/>
          <w:szCs w:val="12"/>
          <w:color w:val="auto"/>
        </w:rPr>
      </w:pPr>
      <w:r>
        <w:rPr>
          <w:rFonts w:ascii="Arial" w:cs="Arial" w:eastAsia="Arial" w:hAnsi="Arial"/>
          <w:sz w:val="12"/>
          <w:szCs w:val="12"/>
          <w:color w:val="auto"/>
        </w:rPr>
        <w:t>VERITAC, a Phase 2 dose expansion trial to evaluate two doses (200 mg and 500 mg) of vepdegestrant monotherapy in metastatic breast cancer patients, for which enrollment of patients is complete;</w:t>
      </w:r>
    </w:p>
    <w:p>
      <w:pPr>
        <w:spacing w:after="0" w:line="31" w:lineRule="exact"/>
        <w:rPr>
          <w:rFonts w:ascii="Arial" w:cs="Arial" w:eastAsia="Arial" w:hAnsi="Arial"/>
          <w:sz w:val="12"/>
          <w:szCs w:val="12"/>
          <w:color w:val="auto"/>
        </w:rPr>
      </w:pPr>
    </w:p>
    <w:p>
      <w:pPr>
        <w:ind w:left="440" w:hanging="220"/>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TACTIVE-K, a Phase 1b/2 clinical trial of vepdegestrant in combination with Pfizer's CDK4 inhibitor, atirmociclib (PF-07220060), for which we are currently enrolling patients globally;</w:t>
      </w:r>
    </w:p>
    <w:p>
      <w:pPr>
        <w:spacing w:after="0" w:line="78" w:lineRule="exact"/>
        <w:rPr>
          <w:rFonts w:ascii="Arial" w:cs="Arial" w:eastAsia="Arial" w:hAnsi="Arial"/>
          <w:sz w:val="12"/>
          <w:szCs w:val="12"/>
          <w:color w:val="auto"/>
        </w:rPr>
      </w:pPr>
    </w:p>
    <w:p>
      <w:pPr>
        <w:ind w:left="440" w:hanging="220"/>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TACTIVE-N, a Phase 2 clinical trial of vepdegestrant as a monotherapy in the neoadjuvant breast cancer setting, for which we completed enrollment of patients in the first quarter of 2024;</w:t>
      </w:r>
    </w:p>
    <w:p>
      <w:pPr>
        <w:spacing w:after="0" w:line="78" w:lineRule="exact"/>
        <w:rPr>
          <w:rFonts w:ascii="Arial" w:cs="Arial" w:eastAsia="Arial" w:hAnsi="Arial"/>
          <w:sz w:val="12"/>
          <w:szCs w:val="12"/>
          <w:color w:val="auto"/>
        </w:rPr>
      </w:pPr>
    </w:p>
    <w:p>
      <w:pPr>
        <w:jc w:val="both"/>
        <w:ind w:left="440" w:right="120" w:hanging="220"/>
        <w:spacing w:after="0" w:line="334" w:lineRule="auto"/>
        <w:tabs>
          <w:tab w:leader="none" w:pos="437" w:val="left"/>
        </w:tabs>
        <w:numPr>
          <w:ilvl w:val="0"/>
          <w:numId w:val="13"/>
        </w:numPr>
        <w:rPr>
          <w:rFonts w:ascii="Arial" w:cs="Arial" w:eastAsia="Arial" w:hAnsi="Arial"/>
          <w:sz w:val="11"/>
          <w:szCs w:val="11"/>
          <w:color w:val="auto"/>
        </w:rPr>
      </w:pPr>
      <w:r>
        <w:rPr>
          <w:rFonts w:ascii="Arial" w:cs="Arial" w:eastAsia="Arial" w:hAnsi="Arial"/>
          <w:sz w:val="11"/>
          <w:szCs w:val="11"/>
          <w:color w:val="auto"/>
        </w:rPr>
        <w:t>TACTIVE-U, Phase 1b/2 clinical trials of vepdegestrant in combination with multiple targeted therapies including abemaciclib, ribociclib or Carrick Therapeutics, Inc.'s, or Carrick, cyclin-dependent kinase 7, or CDK7 inhibitor, samuraciclib, for which we have completed enrollment for the abemaciclib trial and are currently enrolling patients globally for the ribociclib and samuraciclib trials; and</w:t>
      </w:r>
    </w:p>
    <w:p>
      <w:pPr>
        <w:spacing w:after="0" w:line="7" w:lineRule="exact"/>
        <w:rPr>
          <w:rFonts w:ascii="Arial" w:cs="Arial" w:eastAsia="Arial" w:hAnsi="Arial"/>
          <w:sz w:val="11"/>
          <w:szCs w:val="11"/>
          <w:color w:val="auto"/>
        </w:rPr>
      </w:pPr>
    </w:p>
    <w:p>
      <w:pPr>
        <w:ind w:left="440" w:hanging="220"/>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TACTIVE-E, a Phase 1b clinical trial evaluating vepdegestrant in combination with everolimus in metastatic breast cancer patients, for which enrollment of patients is complete.</w:t>
      </w:r>
    </w:p>
    <w:p>
      <w:pPr>
        <w:spacing w:after="0" w:line="15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In the first quarter of 2025, we announced that we, as part of our global collaboration with Pfizer, plan to initiate two new Phase 3 combination trials of vepdegestrant in patients with ER+/HER2-metastatic breast cancer in 2025, pending emerging data and regulatory feedback:</w:t>
      </w:r>
    </w:p>
    <w:p>
      <w:pPr>
        <w:spacing w:after="0" w:line="56" w:lineRule="exact"/>
        <w:rPr>
          <w:sz w:val="20"/>
          <w:szCs w:val="20"/>
          <w:color w:val="auto"/>
        </w:rPr>
      </w:pPr>
    </w:p>
    <w:p>
      <w:pPr>
        <w:ind w:left="440" w:hanging="220"/>
        <w:spacing w:after="0"/>
        <w:tabs>
          <w:tab w:leader="none" w:pos="440" w:val="left"/>
        </w:tabs>
        <w:numPr>
          <w:ilvl w:val="0"/>
          <w:numId w:val="14"/>
        </w:numPr>
        <w:rPr>
          <w:rFonts w:ascii="Arial" w:cs="Arial" w:eastAsia="Arial" w:hAnsi="Arial"/>
          <w:sz w:val="14"/>
          <w:szCs w:val="14"/>
          <w:color w:val="auto"/>
        </w:rPr>
      </w:pPr>
      <w:r>
        <w:rPr>
          <w:rFonts w:ascii="Arial" w:cs="Arial" w:eastAsia="Arial" w:hAnsi="Arial"/>
          <w:sz w:val="12"/>
          <w:szCs w:val="12"/>
          <w:color w:val="auto"/>
        </w:rPr>
        <w:t>A first-line Phase 3 combination trial with Pfizer’s CDK4 inhibitor, atirmociclib; and</w:t>
      </w:r>
    </w:p>
    <w:p>
      <w:pPr>
        <w:spacing w:after="0" w:line="82" w:lineRule="exact"/>
        <w:rPr>
          <w:rFonts w:ascii="Arial" w:cs="Arial" w:eastAsia="Arial" w:hAnsi="Arial"/>
          <w:sz w:val="14"/>
          <w:szCs w:val="14"/>
          <w:color w:val="auto"/>
        </w:rPr>
      </w:pPr>
    </w:p>
    <w:p>
      <w:pPr>
        <w:ind w:left="440" w:hanging="220"/>
        <w:spacing w:after="0"/>
        <w:tabs>
          <w:tab w:leader="none" w:pos="440"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2"/>
          <w:szCs w:val="12"/>
          <w:color w:val="auto"/>
        </w:rPr>
        <w:t>A second-line Phase 3 combination trial with a CDK/6 inhibitor.</w:t>
      </w:r>
    </w:p>
    <w:p>
      <w:pPr>
        <w:spacing w:after="0" w:line="12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With the prioritization of the vepdegestrant plus atirmociclib combination for the first-line setting, VERITAC-3, a Phase 3 clinical trial evaluating vepdegestrant plus IBRANCE® (palbociclib) in the first-line setting, will not proceed beyond the study lead-in. We and Pfizer had previously gained alignment with the FDA on an approach for VERITAC-3 in the first quarter of 2023, and in the second quarter of 2023, we, along with Pfizer, initiated the study-lead in of the VERITAC-3 Phase 3 clinical trial in combination with palbociclib as a first-line treatment in patients with ER+/HER2- locally advanced or metastatic breast cancer. We completed enrollment of patients in the study lead-in of VERITAC-3 in the second quarter of 2024. The decision to prioritize vepdegestrant in combination with atirmociclib in the first-line setting was based on the totality of evidence from the ongoing Phase 1b/2 TACTIVE-K combination clinical trial evaluating vepdegestrant in combination with atirmociclib in the late-line setting and our trials evaluating vepdegestrant in combination with palbociclib.</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VERITAC-2</w:t>
      </w:r>
    </w:p>
    <w:p>
      <w:pPr>
        <w:spacing w:after="0" w:line="76"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In the fourth quarter of 2022, we and Pfizer initiated the VERITAC-2 Phase 3 clinical trial with vepdegestrant as a second-line or third line treatment in patients with ER+/HER2- advanced/metastatic breast cancer. VERITAC-2 has two primary endpoints: progression-free survival, or PFS, in the intention-to-treat, or ITT, population, and PFS in the ESR1 mutation sub-population. PFS will be assessed by blinded independent central review. Secondary outcome measures include overall survival; antitumor activity including objective response, duration of response, and clinical benefit rate; and safety and quality of life assessments.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the third quarter of 2023, we were awarded Innovation Passport Designation for vepdegestrant by the U.K. Innovative Licensing and Access Pathway Steering Group. In the first quarter</w:t>
      </w:r>
    </w:p>
    <w:p>
      <w:pPr>
        <w:spacing w:after="0" w:line="200" w:lineRule="exact"/>
        <w:rPr>
          <w:sz w:val="20"/>
          <w:szCs w:val="20"/>
          <w:color w:val="auto"/>
        </w:rPr>
      </w:pPr>
    </w:p>
    <w:p>
      <w:pPr>
        <w:spacing w:after="0" w:line="202"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883" w:right="319" w:bottom="1440" w:gutter="0" w:footer="0" w:header="0"/>
        </w:sectPr>
      </w:pPr>
    </w:p>
    <w:bookmarkStart w:id="25" w:name="page26"/>
    <w:bookmarkEnd w:id="25"/>
    <w:p>
      <w:pPr>
        <w:ind w:right="100"/>
        <w:spacing w:after="0" w:line="286" w:lineRule="auto"/>
        <w:rPr>
          <w:sz w:val="20"/>
          <w:szCs w:val="20"/>
          <w:color w:val="auto"/>
        </w:rPr>
      </w:pPr>
      <w:r>
        <w:rPr>
          <w:rFonts w:ascii="Arial" w:cs="Arial" w:eastAsia="Arial" w:hAnsi="Arial"/>
          <w:sz w:val="12"/>
          <w:szCs w:val="12"/>
          <w:color w:val="auto"/>
        </w:rPr>
        <w:t>of 2024, the FDA granted Fast Track designation for the investigation of vepdegestrant as a monotherapy in the treatment of adults with ER+/HER- locally advanced or metastatic breast cancer previously treated with endocrine based therapy.</w:t>
      </w:r>
    </w:p>
    <w:p>
      <w:pPr>
        <w:spacing w:after="0" w:line="10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We completed enrollment for this clinical trial in the fourth quarter of 2024. We, along with Pfizer, expect to announce topline data from the VERITAC-2 clinical trial in a topline press release in the first quarter of 2025 and present the full results of the VERITAC-2 clinical trial at a medical conference in 2025.</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ARV-471-mBC-101, including Part B (VERITAC)</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Part A: In 2019, we initiated dosing in a Phase 1 clinical trial for vepdegestrant. The trial is an open-label dose-escalation study in which we treated patients with locally advanced or metastatic ER+/HER2- breast cancer who had progressed on at least two prior endocrine therapy regimens and a CDK4/6 inhibitor. Eligible patients may have also received up to three prior regimens of cytotoxic chemotherapy. Part A was the dose escalation portion of our Phase 1/2 clinical trial of vepdegestrant and was designed to assess the dose-limiting toxicities, safety, tolerability and pharmacokinetics, or PK, of vepdegestrant monotherapy in patients with locally advanced or metastatic ER+/HER2- breast cancer, as well as measures of anti-tumor activity as secondary endpoints. Enrollment in this cohort is complete. Initial data from Part A of this clinical trial were presented at SABCS 2021 and updated results were presented at the European Society for Medical Oncology, or ESMO, in the fourth quarter of 2023.</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Part B (VERITAC): In 2021, we initiated VERITAC, the Phase 2 cohort expansion portion of the vepdegestrant clinical trial. The enrollment of patients is complete. We announced initial results from VERITAC in the fourth quarter of 2022 at 2022 SABCS. In VERITAC, patients were treated with either 200 mg or 500 mg vepdegestrant with a primary endpoint of clinical benefit rate, or CBR. Secondary endpoints included overall response rate, or ORR, duration of response, or DOR, progression free survival, or PFS, and overall survival, as well as safety and pharmacokinetics. As of the data cut-off date of June 6, 2022, 71 patients with locally advanced or metastatic ER+/HER2- breast cancer in the VERITAC expansion cohort were treated once-daily with oral doses of vepdegestrant at 200 mg (n=35) or 500 mg (n=36). All patients were previously treated with CDK 4/6 inhibitors; 79% of patients were previously treated with fulvestrant; 73% of patients were previously treated with chemotherapy; and 45% received chemotherapy in the metastatic setting. Patients in VERITAC had a median of four lines of prior therapies.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At the time of data cutoff (June 6, 2022), vepdegestrant administered at 200 mg (n=35) and 500 mg (n=36) demonstrated:</w:t>
      </w:r>
    </w:p>
    <w:p>
      <w:pPr>
        <w:ind w:left="440" w:hanging="220"/>
        <w:spacing w:after="0" w:line="234"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 xml:space="preserve">Antitumor activity in 100% CDK4/6 inhibitor-pretreated patients, as measured by a CBR of 38% (total n=71) in all patients and 51.2% in patients with mutant </w:t>
      </w:r>
      <w:r>
        <w:rPr>
          <w:rFonts w:ascii="Arial" w:cs="Arial" w:eastAsia="Arial" w:hAnsi="Arial"/>
          <w:sz w:val="12"/>
          <w:szCs w:val="12"/>
          <w:i w:val="1"/>
          <w:iCs w:val="1"/>
          <w:color w:val="auto"/>
        </w:rPr>
        <w:t>ESR1</w:t>
      </w:r>
      <w:r>
        <w:rPr>
          <w:rFonts w:ascii="Arial" w:cs="Arial" w:eastAsia="Arial" w:hAnsi="Arial"/>
          <w:sz w:val="12"/>
          <w:szCs w:val="12"/>
          <w:color w:val="auto"/>
        </w:rPr>
        <w:t xml:space="preserve"> tumors (n=41).</w:t>
      </w:r>
    </w:p>
    <w:p>
      <w:pPr>
        <w:ind w:left="440" w:hanging="220"/>
        <w:spacing w:after="0" w:line="219"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 xml:space="preserve">Preliminary median progression-free survival, or mPFS, of 3.7 months, a key secondary endpoint, in all evaluable patients and 5.7 months in patients with mutant </w:t>
      </w:r>
      <w:r>
        <w:rPr>
          <w:rFonts w:ascii="Arial" w:cs="Arial" w:eastAsia="Arial" w:hAnsi="Arial"/>
          <w:sz w:val="12"/>
          <w:szCs w:val="12"/>
          <w:i w:val="1"/>
          <w:iCs w:val="1"/>
          <w:color w:val="auto"/>
        </w:rPr>
        <w:t>ESR1</w:t>
      </w:r>
      <w:r>
        <w:rPr>
          <w:rFonts w:ascii="Arial" w:cs="Arial" w:eastAsia="Arial" w:hAnsi="Arial"/>
          <w:sz w:val="12"/>
          <w:szCs w:val="12"/>
          <w:color w:val="auto"/>
        </w:rPr>
        <w:t xml:space="preserve"> tumors (n=41).</w:t>
      </w:r>
    </w:p>
    <w:p>
      <w:pPr>
        <w:ind w:left="440" w:hanging="220"/>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favorable tolerability profile, with the majority of treatment-related adverse events, or TRAEs, reported as Grade 1 or 2.</w:t>
      </w:r>
    </w:p>
    <w:p>
      <w:pPr>
        <w:spacing w:after="0" w:line="129"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the fourth quarter of 2022, we also announced that in post-hoc analysis from the Phase 2 cohort expansion portion of the VERITAC Phase 1/2 study, a patient subgroup (n=8) with no prior treatment with fulvestrant or chemotherapy in the metastatic setting, which approximated the expected VERITAC-2 Phase 3 trial population, achieved a CBR (rate of confirmed complete response, confirmed partial response, or stable disease ≥ 24 weeks) of 62.5%. All patients were previously treated with CDK 4/6 inhibitors and while the subgroup in the post-hoc analysis was not actively selected by ESR1 status, all 8 patients harbored ESR1 mutations by circulating tumor DNA analysis. mPFS for patients in the post-hoc analysis had not been reached as of the fourth quarter data analysis. Three of the 8 patients discontinued as of November 2022; the 5 continuing on therapy had treatment durations of 8-14 months.</w:t>
      </w:r>
    </w:p>
    <w:p>
      <w:pPr>
        <w:spacing w:after="0" w:line="119" w:lineRule="exact"/>
        <w:rPr>
          <w:sz w:val="20"/>
          <w:szCs w:val="20"/>
          <w:color w:val="auto"/>
        </w:rPr>
      </w:pPr>
    </w:p>
    <w:p>
      <w:pPr>
        <w:ind w:right="240" w:firstLine="432"/>
        <w:spacing w:after="0" w:line="286" w:lineRule="auto"/>
        <w:rPr>
          <w:sz w:val="20"/>
          <w:szCs w:val="20"/>
          <w:color w:val="auto"/>
        </w:rPr>
      </w:pPr>
      <w:r>
        <w:rPr>
          <w:rFonts w:ascii="Arial" w:cs="Arial" w:eastAsia="Arial" w:hAnsi="Arial"/>
          <w:sz w:val="12"/>
          <w:szCs w:val="12"/>
          <w:color w:val="auto"/>
        </w:rPr>
        <w:t>In the fourth quarter of 2023, we and Pfizer presented a VERITAC Phase 2 dose expansion update at 2023 SABCS. The Phase 2 monotherapy dose expansion of the ARV-471-mBC-101 study analyzed the safety, efficacy, and tolerability of vepdegestrant among 35 heavily pre-treated patients</w:t>
      </w:r>
    </w:p>
    <w:p>
      <w:pPr>
        <w:spacing w:after="0" w:line="35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739" w:right="319" w:bottom="1440" w:gutter="0" w:footer="0" w:header="0"/>
        </w:sectPr>
      </w:pPr>
    </w:p>
    <w:bookmarkStart w:id="26" w:name="page27"/>
    <w:bookmarkEnd w:id="26"/>
    <w:p>
      <w:pPr>
        <w:ind w:right="80"/>
        <w:spacing w:after="0" w:line="262" w:lineRule="auto"/>
        <w:rPr>
          <w:sz w:val="20"/>
          <w:szCs w:val="20"/>
          <w:color w:val="auto"/>
        </w:rPr>
      </w:pPr>
      <w:r>
        <w:rPr>
          <w:rFonts w:ascii="Arial" w:cs="Arial" w:eastAsia="Arial" w:hAnsi="Arial"/>
          <w:sz w:val="12"/>
          <w:szCs w:val="12"/>
          <w:color w:val="auto"/>
        </w:rPr>
        <w:t>with locally advanced or metastatic ER+/HER2- breast cancer. The update included 12 months of additional follow-up data, and the tolerability and efficacy profile remained largely consistent with previous data disclosures. In addition, in post-hoc analysis, of the eight patients in the VERITAC Phase 2 trial who would meet eligibility criteria for Phase 3 VERITAC-2 trial (no prior fulvestrant, no prior chemotherapy for locally advanced or metastatic disease), CBR was 62.5% or 5 of 8 patients, PFS was 19 months or four of eight events and the ORR was 29% or two confirmed responses in seven evaluable patients.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Part C: In 2021 we initiated a Phase 1b cohort to evaluate vepdegestrant in combination with palbociclib.</w:t>
      </w:r>
    </w:p>
    <w:p>
      <w:pPr>
        <w:spacing w:after="0" w:line="150"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In the second quarter of 2023, we evaluated and announced preliminary results from the Part C dose escalation portion of the Phase 1b/2 clinical trial. Preliminary results from the Part C dose escalation trial, announced in the first quarter of 2023, (November 2022 data cut-off from the Phase 1b combination of vepdegestrant with palbociclib at 125 mg) demonstrated an observed CBR (rate of confirmed complete response, confirmed partial response, or stable disease ≥24 weeks) of 60.7% (95% CI, 40.6 – 78.5) across all dose cohorts (17 of 28 CBR-evaluable patients; patients are CBR-evaluable if they received their first dose &gt;24 weeks prior to the cut-off). In particular, as announced in the second quarter of 2023, 85.7% of the 28 CBR-evaluable patients had received CDK4/6 inhibitor therapy prior to study entry. These data showed an increase in palbociclib exposure relative to historical palbociclib pharmacokinetic data. A similar overall safety profile was observed compared with that reported in our previous palbociclib and endocrine therapy combination studies, except for a higher incidence of grade 3/4 neutropenia, which was managed by monitoring and dose modification per the palbociclib label. Patients were started on palbociclib 125 mg irrespective of dose reduction during prior CDK4/6 inhibitor therapy.</w:t>
      </w:r>
    </w:p>
    <w:p>
      <w:pPr>
        <w:spacing w:after="0" w:line="122"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the fourth quarter of 2023, at the 2023 SABCS, we, along with Pfizer, presented preliminary data from the Phase 1b cohort of the first-in-human ARV-471-mBC-101 trial evaluating vepdegestrant in combination with palbociclib. Data from this clinical trial (data cut-off of June 6, 2023) assessed the safety, tolerability and anti-tumor activity of the combination among 46 patients with heavily pre-treated locally advanced or metastatic ER+/HER2- breast cancer. A similar overall safety profile was observed compared with that reported in previous palbociclib and endocrine therapy combination studies, except for a higher incidence of grade 3/4 neutropenia, which was managed by monitoring and dose modification per the palbociclib label. Patients were started on palbociclib 125 mg irrespective of dose reduction during prior CDK4/6 inhibitor therapy.</w:t>
      </w:r>
    </w:p>
    <w:p>
      <w:pPr>
        <w:spacing w:after="0" w:line="119"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In the second quarter of 2024, we, along with Pfizer, presented updated clinical data from this clinical trial at the 2024 ESMO Breast Cancer Annual Congress. After six months of additional follow-up (data cutoff of December 18, 2023), these data were consistent with data presented at the 2023 SABCS in the fourth quarter of 2023, and showed that vepdegestrant in combination with palbociclib continued to demonstrate encouraging clinical activity in heavily pre-treated patients with a median of four lines of prior therapy with locally advanced or metastatic ER+/HER2- breast cancer.</w:t>
      </w:r>
    </w:p>
    <w:p>
      <w:pPr>
        <w:spacing w:after="0" w:line="1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Specifically, after six months of additional follow-up, updated data from the trial continued to demonstrate an encouraging CBR (63% across all dose levels (n=46)), ORR (42% in evaluable patients with measurable disease at baseline (n=31)) and median PFS (11.2 months (95% CI; 8.2 - 16.5) based on 27 (59%) events across all dose levels), and consistent safety profile of vepdegestrant in combination with palbociclib as previously reported at SABCS in December 2023. In addition, at the recommended Phase 3 dose, or RP3D, of 200 mg vepdegestrant in combination with 125 mg palbociclib, patients (n=21) achieved a median PFS of 13.9 months (95% CI: 8.1-NR). Further, across all vepdegestrant dose groups, circulating tumor DNA analyses showed marked reduction in tumor fraction after one treatment cycle, regardless of ESR1 gene mutation status, and at the 200 mg vepdegestrant dose, robust on-treatment decreases in mutant ESR1 circulating tumor DNA were sustained through multiple treatment cycles.</w:t>
      </w:r>
    </w:p>
    <w:p>
      <w:pPr>
        <w:spacing w:after="0" w:line="121"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At the time of cut-off, patients in the study received a median of four prior therapies (median of three in the metastatic setting); 87% were previously treated with a CDK 4 and 6, or CDK4/6, inhibitor; 80% were previously treated with fulvestrant; and 78% were previously treated with chemotherapy,</w:t>
      </w:r>
    </w:p>
    <w:p>
      <w:pPr>
        <w:spacing w:after="0" w:line="35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811" w:right="319" w:bottom="1440" w:gutter="0" w:footer="0" w:header="0"/>
        </w:sectPr>
      </w:pPr>
    </w:p>
    <w:bookmarkStart w:id="27" w:name="page28"/>
    <w:bookmarkEnd w:id="27"/>
    <w:p>
      <w:pPr>
        <w:ind w:right="260"/>
        <w:spacing w:after="0" w:line="286" w:lineRule="auto"/>
        <w:rPr>
          <w:sz w:val="20"/>
          <w:szCs w:val="20"/>
          <w:color w:val="auto"/>
        </w:rPr>
      </w:pPr>
      <w:r>
        <w:rPr>
          <w:rFonts w:ascii="Arial" w:cs="Arial" w:eastAsia="Arial" w:hAnsi="Arial"/>
          <w:sz w:val="12"/>
          <w:szCs w:val="12"/>
          <w:color w:val="auto"/>
        </w:rPr>
        <w:t>including 48% in the metastatic setting. Patients were treated once daily with oral doses of vepdegestrant at 180 mg (n=2), the RP3D of 200 mg (n=21), 400 mg (n=3) or 500 mg (n=20), plus 125 mg of palbociclib given orally once daily for 21 days, followed by seven days off treatment in 28-day cycles. Detailed data presented at the 2024 ESMO Breast Cancer Annual Congress included: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2"/>
          <w:szCs w:val="12"/>
          <w:i w:val="1"/>
          <w:iCs w:val="1"/>
          <w:u w:val="single" w:color="auto"/>
          <w:color w:val="auto"/>
        </w:rPr>
        <w:t>Clinical Benefit Rate:</w:t>
      </w:r>
    </w:p>
    <w:p>
      <w:pPr>
        <w:spacing w:after="0" w:line="76" w:lineRule="exact"/>
        <w:rPr>
          <w:sz w:val="20"/>
          <w:szCs w:val="20"/>
          <w:color w:val="auto"/>
        </w:rPr>
      </w:pPr>
    </w:p>
    <w:p>
      <w:pPr>
        <w:ind w:left="640" w:hanging="204"/>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CBR, defined as the rate of confirmed complete response, partial response, or stable disease ≥24 weeks across all dose levels (n = 46) was 63% (95% CI: 47.5 - 76.8), with a CBR of 72% in</w:t>
      </w:r>
    </w:p>
    <w:p>
      <w:pPr>
        <w:spacing w:after="0" w:line="1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patients with mutant ESR1 (n=29; 95% CI: 52.8 - 87.3) and a CBR of 53% in patients with wild-type ESR1 (n=15; 95% CI: 26.6 – 78.7).</w:t>
      </w:r>
    </w:p>
    <w:p>
      <w:pPr>
        <w:spacing w:after="0" w:line="66" w:lineRule="exact"/>
        <w:rPr>
          <w:rFonts w:ascii="Arial" w:cs="Arial" w:eastAsia="Arial" w:hAnsi="Arial"/>
          <w:sz w:val="12"/>
          <w:szCs w:val="12"/>
          <w:color w:val="auto"/>
        </w:rPr>
      </w:pPr>
    </w:p>
    <w:p>
      <w:pPr>
        <w:ind w:left="640" w:hanging="204"/>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CBR in patients dosed at the RP3D of 200 mg (n=21) was 67% (95% CI: 43.0 - 85.4) with a CBR of 79% in patients with mutant ESR1 (n=14; 95% CI: 49.2 - 95.3) and a CBR of 43% in patients</w:t>
      </w:r>
    </w:p>
    <w:p>
      <w:pPr>
        <w:spacing w:after="0" w:line="1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with wild-type ESR1 (n=7; 95% CI: 9.9 - 81.6).</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2"/>
          <w:szCs w:val="12"/>
          <w:i w:val="1"/>
          <w:iCs w:val="1"/>
          <w:u w:val="single" w:color="auto"/>
          <w:color w:val="auto"/>
        </w:rPr>
        <w:t>Objective Response Rate and Duration of Response:</w:t>
      </w:r>
    </w:p>
    <w:p>
      <w:pPr>
        <w:spacing w:after="0" w:line="76" w:lineRule="exact"/>
        <w:rPr>
          <w:sz w:val="20"/>
          <w:szCs w:val="20"/>
          <w:color w:val="auto"/>
        </w:rPr>
      </w:pPr>
    </w:p>
    <w:p>
      <w:pPr>
        <w:ind w:left="640" w:hanging="204"/>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ORR in evaluable patients with measurable disease at baseline (n=31) was 42% (95% CI: 24.5 - 60.9) with a median DOR in 13 responders of 14.6 months (95% CI: 9.5 – not reached). At</w:t>
      </w:r>
    </w:p>
    <w:p>
      <w:pPr>
        <w:spacing w:after="0" w:line="1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the RP3D of 200 mg (n=15), the ORR was 53% (95% CI: 25.6 – 78.7).</w:t>
      </w:r>
    </w:p>
    <w:p>
      <w:pPr>
        <w:spacing w:after="0" w:line="66" w:lineRule="exact"/>
        <w:rPr>
          <w:rFonts w:ascii="Arial" w:cs="Arial" w:eastAsia="Arial" w:hAnsi="Arial"/>
          <w:sz w:val="12"/>
          <w:szCs w:val="12"/>
          <w:color w:val="auto"/>
        </w:rPr>
      </w:pPr>
    </w:p>
    <w:p>
      <w:pPr>
        <w:ind w:left="640" w:hanging="204"/>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ORR in patients with mutant ESR1 (n=17): 47% (95% CI: 23.0 - 72.2).</w:t>
      </w:r>
    </w:p>
    <w:p>
      <w:pPr>
        <w:spacing w:after="0" w:line="78" w:lineRule="exact"/>
        <w:rPr>
          <w:rFonts w:ascii="Arial" w:cs="Arial" w:eastAsia="Arial" w:hAnsi="Arial"/>
          <w:sz w:val="12"/>
          <w:szCs w:val="12"/>
          <w:color w:val="auto"/>
        </w:rPr>
      </w:pPr>
    </w:p>
    <w:p>
      <w:pPr>
        <w:ind w:left="1080" w:hanging="212"/>
        <w:spacing w:after="0"/>
        <w:tabs>
          <w:tab w:leader="none" w:pos="1080" w:val="left"/>
        </w:tabs>
        <w:numPr>
          <w:ilvl w:val="1"/>
          <w:numId w:val="17"/>
        </w:numPr>
        <w:rPr>
          <w:rFonts w:ascii="Arial" w:cs="Arial" w:eastAsia="Arial" w:hAnsi="Arial"/>
          <w:sz w:val="12"/>
          <w:szCs w:val="12"/>
          <w:color w:val="auto"/>
        </w:rPr>
      </w:pPr>
      <w:r>
        <w:rPr>
          <w:rFonts w:ascii="Arial" w:cs="Arial" w:eastAsia="Arial" w:hAnsi="Arial"/>
          <w:sz w:val="12"/>
          <w:szCs w:val="12"/>
          <w:color w:val="auto"/>
        </w:rPr>
        <w:t>ORR at the RP3D of 200 mg (n=10): 60% (95% CI: 26.2 - 87.8).</w:t>
      </w:r>
    </w:p>
    <w:p>
      <w:pPr>
        <w:spacing w:after="0" w:line="78" w:lineRule="exact"/>
        <w:rPr>
          <w:rFonts w:ascii="Arial" w:cs="Arial" w:eastAsia="Arial" w:hAnsi="Arial"/>
          <w:sz w:val="12"/>
          <w:szCs w:val="12"/>
          <w:color w:val="auto"/>
        </w:rPr>
      </w:pPr>
    </w:p>
    <w:p>
      <w:pPr>
        <w:ind w:left="640" w:hanging="204"/>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ORR in patients with wild-type ESR1 (n=12): 42% (95% CI: 15.2 - 72.3).</w:t>
      </w:r>
    </w:p>
    <w:p>
      <w:pPr>
        <w:spacing w:after="0" w:line="78" w:lineRule="exact"/>
        <w:rPr>
          <w:rFonts w:ascii="Arial" w:cs="Arial" w:eastAsia="Arial" w:hAnsi="Arial"/>
          <w:sz w:val="12"/>
          <w:szCs w:val="12"/>
          <w:color w:val="auto"/>
        </w:rPr>
      </w:pPr>
    </w:p>
    <w:p>
      <w:pPr>
        <w:ind w:left="1080" w:hanging="212"/>
        <w:spacing w:after="0"/>
        <w:tabs>
          <w:tab w:leader="none" w:pos="1080" w:val="left"/>
        </w:tabs>
        <w:numPr>
          <w:ilvl w:val="1"/>
          <w:numId w:val="17"/>
        </w:numPr>
        <w:rPr>
          <w:rFonts w:ascii="Arial" w:cs="Arial" w:eastAsia="Arial" w:hAnsi="Arial"/>
          <w:sz w:val="12"/>
          <w:szCs w:val="12"/>
          <w:color w:val="auto"/>
        </w:rPr>
      </w:pPr>
      <w:r>
        <w:rPr>
          <w:rFonts w:ascii="Arial" w:cs="Arial" w:eastAsia="Arial" w:hAnsi="Arial"/>
          <w:sz w:val="12"/>
          <w:szCs w:val="12"/>
          <w:color w:val="auto"/>
        </w:rPr>
        <w:t>ORR at the RP3D of 200 mg (n=5): 40% (95% CI: 5.3 - 85.3).</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2"/>
          <w:szCs w:val="12"/>
          <w:i w:val="1"/>
          <w:iCs w:val="1"/>
          <w:u w:val="single" w:color="auto"/>
          <w:color w:val="auto"/>
        </w:rPr>
        <w:t>Progression-free Survival:</w:t>
      </w:r>
    </w:p>
    <w:p>
      <w:pPr>
        <w:spacing w:after="0" w:line="76" w:lineRule="exact"/>
        <w:rPr>
          <w:sz w:val="20"/>
          <w:szCs w:val="20"/>
          <w:color w:val="auto"/>
        </w:rPr>
      </w:pPr>
    </w:p>
    <w:p>
      <w:pPr>
        <w:ind w:left="640" w:hanging="204"/>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Median PFS, or mPFS, based on 27 (59%) events across all dose levels was 11.2 months (95% CI: 8.2 – 16.5) with a mPFS of 13.7 months (95% CI: 8.2 - NR) in patients with ESR1 mutation</w:t>
      </w:r>
    </w:p>
    <w:p>
      <w:pPr>
        <w:spacing w:after="0" w:line="1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(n=29) and mPFS of 11.1 months (95% CI: 2.8 - 19.3) in patients with wild-type ESR1 (n=15).</w:t>
      </w:r>
    </w:p>
    <w:p>
      <w:pPr>
        <w:spacing w:after="0" w:line="66" w:lineRule="exact"/>
        <w:rPr>
          <w:rFonts w:ascii="Arial" w:cs="Arial" w:eastAsia="Arial" w:hAnsi="Arial"/>
          <w:sz w:val="12"/>
          <w:szCs w:val="12"/>
          <w:color w:val="auto"/>
        </w:rPr>
      </w:pPr>
    </w:p>
    <w:p>
      <w:pPr>
        <w:ind w:left="640" w:hanging="204"/>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mPFS in patients dosed at the RP3D of 200 mg (n=21) based on 12 events (57%) was 13.9 months (95% CI: 8.1 - NR) with a mPFS of 13.9 months (95% CI: 8.1 - NR) in patients with ESR1</w:t>
      </w:r>
    </w:p>
    <w:p>
      <w:pPr>
        <w:spacing w:after="0" w:line="18"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mutation (n=14) and mPFS of 11.2 months (95% CI: 1.8 - NR) in patients with wild-type ESR1 (n=7).</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2"/>
          <w:szCs w:val="12"/>
          <w:i w:val="1"/>
          <w:iCs w:val="1"/>
          <w:u w:val="single" w:color="auto"/>
          <w:color w:val="auto"/>
        </w:rPr>
        <w:t>Circulating Tumor DNA:</w:t>
      </w:r>
    </w:p>
    <w:p>
      <w:pPr>
        <w:spacing w:after="0" w:line="76" w:lineRule="exact"/>
        <w:rPr>
          <w:sz w:val="20"/>
          <w:szCs w:val="20"/>
          <w:color w:val="auto"/>
        </w:rPr>
      </w:pPr>
    </w:p>
    <w:p>
      <w:pPr>
        <w:ind w:left="660" w:right="200" w:hanging="224"/>
        <w:spacing w:after="0" w:line="286" w:lineRule="auto"/>
        <w:tabs>
          <w:tab w:leader="none" w:pos="657"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Exploratory ctDNA analyses found marked reduction (median change, −98.9%) in tumor fraction after one treatment cycle (all dose groups) regardless of ESR1 mutant status and robust on-treatment decreases in mutant ESR1 ctDNA levels sustained through cycle 7 (evaluated in patients in 200 mg dose cohort), as presented in the poster session.</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2"/>
          <w:szCs w:val="12"/>
          <w:i w:val="1"/>
          <w:iCs w:val="1"/>
          <w:u w:val="single" w:color="auto"/>
          <w:color w:val="auto"/>
        </w:rPr>
        <w:t>Safety Profile:</w:t>
      </w:r>
    </w:p>
    <w:p>
      <w:pPr>
        <w:spacing w:after="0" w:line="76" w:lineRule="exact"/>
        <w:rPr>
          <w:sz w:val="20"/>
          <w:szCs w:val="20"/>
          <w:color w:val="auto"/>
        </w:rPr>
      </w:pPr>
    </w:p>
    <w:p>
      <w:pPr>
        <w:ind w:left="660" w:right="360" w:hanging="224"/>
        <w:spacing w:after="0" w:line="286" w:lineRule="auto"/>
        <w:tabs>
          <w:tab w:leader="none" w:pos="65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safety profile of vepdegestrant in combination with palbociclib was consistent with what was previously reported with Grade 3/4 treatment-related adverse events, or TRAEs, ≥10% of neutropenia (91%) and decreased white blood cell count (15%); no grade 5 TRAEs or febrile neutropenia were reported.</w:t>
      </w:r>
    </w:p>
    <w:p>
      <w:pPr>
        <w:spacing w:after="0" w:line="31" w:lineRule="exact"/>
        <w:rPr>
          <w:rFonts w:ascii="Arial" w:cs="Arial" w:eastAsia="Arial" w:hAnsi="Arial"/>
          <w:sz w:val="12"/>
          <w:szCs w:val="12"/>
          <w:color w:val="auto"/>
        </w:rPr>
      </w:pPr>
    </w:p>
    <w:p>
      <w:pPr>
        <w:ind w:left="660" w:right="160" w:hanging="224"/>
        <w:spacing w:after="0" w:line="286" w:lineRule="auto"/>
        <w:tabs>
          <w:tab w:leader="none" w:pos="65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majority of Grade 4 neutropenia events occurred in the first cycle of treatment and occurrences of Grade 3/4 neutropenia decreased following palbociclib dose reductions as described in the prescribing label.</w:t>
      </w:r>
    </w:p>
    <w:p>
      <w:pPr>
        <w:spacing w:after="0" w:line="31" w:lineRule="exact"/>
        <w:rPr>
          <w:rFonts w:ascii="Arial" w:cs="Arial" w:eastAsia="Arial" w:hAnsi="Arial"/>
          <w:sz w:val="12"/>
          <w:szCs w:val="12"/>
          <w:color w:val="auto"/>
        </w:rPr>
      </w:pPr>
    </w:p>
    <w:p>
      <w:pPr>
        <w:ind w:left="660" w:right="120" w:hanging="224"/>
        <w:spacing w:after="0" w:line="286" w:lineRule="auto"/>
        <w:tabs>
          <w:tab w:leader="none" w:pos="65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safety profile of vepdegestrant in combination with palbociclib was otherwise consistent with the profile of palbociclib and what has been observed in other clinical trials for vepdegestrant. Three of 46 patients discontinued palbociclib due to neutropenia including one out of 21 patients treated with the RP3D of vepdegestrant (200 mg) plus palbociclib 125 mg.</w:t>
      </w:r>
    </w:p>
    <w:p>
      <w:pPr>
        <w:spacing w:after="0" w:line="35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811" w:right="319" w:bottom="1440" w:gutter="0" w:footer="0" w:header="0"/>
        </w:sectPr>
      </w:pPr>
    </w:p>
    <w:bookmarkStart w:id="28" w:name="page29"/>
    <w:bookmarkEnd w:id="28"/>
    <w:p>
      <w:pPr>
        <w:ind w:left="440"/>
        <w:spacing w:after="0"/>
        <w:rPr>
          <w:sz w:val="20"/>
          <w:szCs w:val="20"/>
          <w:color w:val="auto"/>
        </w:rPr>
      </w:pPr>
      <w:r>
        <w:rPr>
          <w:rFonts w:ascii="Arial" w:cs="Arial" w:eastAsia="Arial" w:hAnsi="Arial"/>
          <w:sz w:val="12"/>
          <w:szCs w:val="12"/>
          <w:i w:val="1"/>
          <w:iCs w:val="1"/>
          <w:color w:val="auto"/>
        </w:rPr>
        <w:t>TACTIVE-K</w:t>
      </w:r>
    </w:p>
    <w:p>
      <w:pPr>
        <w:spacing w:after="0" w:line="76"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In the third quarter of 2023, we received a Study May Proceed letter from the FDA for the planned Phase 1b/2 clinical trial evaluating vepdegestrant in combination with Pfizer's CDK4 inhibitor, atirmociclib, and we initiated this trial in the fourth quarter of 2023. In the first quarter of 2024, we initiated dosing for TACTIVE-K. We expect to continue to enroll patients to the TACTIVE-K Phase 2 clinical trial in 2025 and evaluate preliminary data from this clinical trial. We expect to submit initial Phase 1b data for presentation at medical conference.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TACTIVE-N</w:t>
      </w:r>
    </w:p>
    <w:p>
      <w:pPr>
        <w:spacing w:after="0" w:line="76" w:lineRule="exact"/>
        <w:rPr>
          <w:sz w:val="20"/>
          <w:szCs w:val="20"/>
          <w:color w:val="auto"/>
        </w:rPr>
      </w:pPr>
    </w:p>
    <w:p>
      <w:pPr>
        <w:ind w:right="380" w:firstLine="432"/>
        <w:spacing w:after="0" w:line="286" w:lineRule="auto"/>
        <w:rPr>
          <w:sz w:val="20"/>
          <w:szCs w:val="20"/>
          <w:color w:val="auto"/>
        </w:rPr>
      </w:pPr>
      <w:r>
        <w:rPr>
          <w:rFonts w:ascii="Arial" w:cs="Arial" w:eastAsia="Arial" w:hAnsi="Arial"/>
          <w:sz w:val="12"/>
          <w:szCs w:val="12"/>
          <w:color w:val="auto"/>
        </w:rPr>
        <w:t>In the fourth quarter of 2022, we initiated sites for TACTIVE-N, a Phase 2 clinical trial with vepdegestrant as a monotherapy in patients with early breast cancer in the neoadjuvant setting. We completed enrollment of patients in this clinical trial in the first quarter of 2024.</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TACTIVE-U</w:t>
      </w:r>
    </w:p>
    <w:p>
      <w:pPr>
        <w:spacing w:after="0" w:line="76"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The TACTIVE-U umbrella clinical trial is divided into separate sub-studies focused on learning about the safety and efficacy of the investigational medicine vepdegestrant when given together with other medicines for potential treatment of advanced or metastatic breast cancer that has worsened after prior treatment. Sub-Study A is a clinical trial evaluating vepdegestrant in combination with abemaciclib, a CDK4/6 inhibitor; Sub-Study B is a clinical trial evaluating vepdegestrant in combination with ribociclib, a CDK4/6 inhibitor; and Stub-study C is a clinical trial evaluating vepdegestrant in combination with samuraciclib, a CDK7 inhibitor.</w:t>
      </w:r>
    </w:p>
    <w:p>
      <w:pPr>
        <w:spacing w:after="0" w:line="117"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We and Pfizer initiated the clinical trial of vepdegestrant in combination with abemaciclib in the fourth quarter of 2022 and the clinical trial of vepdegestrant in combination with ribociclib in the first quarter of 2023. We entered into a collaboration agreement with Pfizer and Carrick to evaluate samuraciclib in combination with vepdegestrant in the second quarter of 2023, and initiated the Phase 1b combination clinical trial with Carrick's CDK7 inhibitor in the first quarter of 2024. Enrollment for the abemaciclib study is complete. The TACTIVE-U studies with ribociclib and samuraciclib remain open for enrollment.</w:t>
      </w:r>
    </w:p>
    <w:p>
      <w:pPr>
        <w:spacing w:after="0" w:line="117"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In the fourth quarter of 2024, we and Pfizer announced initial safety and pharmacokinetic data (data cut-off: August 30, 2024) from the TACTIVE-U sub-study of abemaciclib at the 2024 SABCS. Preliminary results from 16 patients in the Phase 1b sub-study demonstrated a tolerable safety profile for the combination of abemaciclib 150 mg twice daily with the recommended 200mg once daily Phase 3 monotherapy dose of vepdegestrant. Pharmacokinetic data demonstrated no significant drug-drug interaction between vepdegestrant and abemaciclib and no clinically meaningful effect on abemaciclib exposure was observed. Below are the key findings included in the poster:</w:t>
      </w:r>
    </w:p>
    <w:p>
      <w:pPr>
        <w:spacing w:after="0" w:line="45" w:lineRule="exact"/>
        <w:rPr>
          <w:sz w:val="20"/>
          <w:szCs w:val="20"/>
          <w:color w:val="auto"/>
        </w:rPr>
      </w:pPr>
    </w:p>
    <w:p>
      <w:pPr>
        <w:ind w:left="440" w:hanging="220"/>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100% of patients had prior treatment with a CDK4/6 inhibitor.</w:t>
      </w:r>
    </w:p>
    <w:p>
      <w:pPr>
        <w:spacing w:after="0" w:line="78" w:lineRule="exact"/>
        <w:rPr>
          <w:rFonts w:ascii="Arial" w:cs="Arial" w:eastAsia="Arial" w:hAnsi="Arial"/>
          <w:sz w:val="12"/>
          <w:szCs w:val="12"/>
          <w:color w:val="auto"/>
        </w:rPr>
      </w:pPr>
    </w:p>
    <w:p>
      <w:pPr>
        <w:ind w:left="440" w:hanging="220"/>
        <w:spacing w:after="0" w:line="286" w:lineRule="auto"/>
        <w:tabs>
          <w:tab w:leader="none" w:pos="4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Tolerability is generally consistent with the profile of abemaciclib and with results previously observed in other clinical trials of vepdegestrant. The most common any grade treatment-related adverse events, or TRAE, were diarrhea, nausea and fatigue. There were no dose-limiting toxicities and no grade 4 or 5 TRAEs.</w:t>
      </w:r>
    </w:p>
    <w:p>
      <w:pPr>
        <w:spacing w:after="0" w:line="31" w:lineRule="exact"/>
        <w:rPr>
          <w:rFonts w:ascii="Arial" w:cs="Arial" w:eastAsia="Arial" w:hAnsi="Arial"/>
          <w:sz w:val="12"/>
          <w:szCs w:val="12"/>
          <w:color w:val="auto"/>
        </w:rPr>
      </w:pPr>
    </w:p>
    <w:p>
      <w:pPr>
        <w:ind w:left="440" w:hanging="220"/>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There was no significant drug-drug interaction, and data reflected vepdegestrant had no clinically meaningful effect on abemaciclib exposure.</w:t>
      </w:r>
    </w:p>
    <w:p>
      <w:pPr>
        <w:spacing w:after="0" w:line="78" w:lineRule="exact"/>
        <w:rPr>
          <w:rFonts w:ascii="Arial" w:cs="Arial" w:eastAsia="Arial" w:hAnsi="Arial"/>
          <w:sz w:val="12"/>
          <w:szCs w:val="12"/>
          <w:color w:val="auto"/>
        </w:rPr>
      </w:pPr>
    </w:p>
    <w:p>
      <w:pPr>
        <w:ind w:left="440" w:right="140" w:hanging="220"/>
        <w:spacing w:after="0" w:line="286" w:lineRule="auto"/>
        <w:tabs>
          <w:tab w:leader="none" w:pos="4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CBR (CBR, defined as the rate of confirmed complete response, partial response, or stable disease ≥ 24 weeks) was 62.5% in all CBR-eligible patients (10/16), 62.5% in patients with mutant ESR1 (5/8), and 62.5% in patients with wild-type ESR1 (5/8).</w:t>
      </w:r>
    </w:p>
    <w:p>
      <w:pPr>
        <w:spacing w:after="0" w:line="31" w:lineRule="exact"/>
        <w:rPr>
          <w:rFonts w:ascii="Arial" w:cs="Arial" w:eastAsia="Arial" w:hAnsi="Arial"/>
          <w:sz w:val="12"/>
          <w:szCs w:val="12"/>
          <w:color w:val="auto"/>
        </w:rPr>
      </w:pPr>
    </w:p>
    <w:p>
      <w:pPr>
        <w:ind w:left="440" w:hanging="220"/>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ORR in evaluable patients was 26.7% overall (4/15), 37.5% in patients with mutant ESR1 (3/8), and 14% in patients with wild-type ESR1 (1/7).</w:t>
      </w:r>
    </w:p>
    <w:p>
      <w:pPr>
        <w:spacing w:after="0" w:line="78" w:lineRule="exact"/>
        <w:rPr>
          <w:rFonts w:ascii="Arial" w:cs="Arial" w:eastAsia="Arial" w:hAnsi="Arial"/>
          <w:sz w:val="12"/>
          <w:szCs w:val="12"/>
          <w:color w:val="auto"/>
        </w:rPr>
      </w:pPr>
    </w:p>
    <w:p>
      <w:pPr>
        <w:ind w:left="440" w:hanging="220"/>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Five patients remained on study treatment as of the August 30, 2024 data cut-off.</w:t>
      </w:r>
    </w:p>
    <w:p>
      <w:pPr>
        <w:spacing w:after="0" w:line="200" w:lineRule="exact"/>
        <w:rPr>
          <w:sz w:val="20"/>
          <w:szCs w:val="20"/>
          <w:color w:val="auto"/>
        </w:rPr>
      </w:pPr>
    </w:p>
    <w:p>
      <w:pPr>
        <w:spacing w:after="0" w:line="202"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45085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885" w:right="319" w:bottom="1440" w:gutter="0" w:footer="0" w:header="0"/>
        </w:sectPr>
      </w:pPr>
    </w:p>
    <w:bookmarkStart w:id="29" w:name="page30"/>
    <w:bookmarkEnd w:id="29"/>
    <w:p>
      <w:pPr>
        <w:ind w:left="420" w:right="20" w:firstLine="432"/>
        <w:spacing w:after="0" w:line="286" w:lineRule="auto"/>
        <w:rPr>
          <w:sz w:val="20"/>
          <w:szCs w:val="20"/>
          <w:color w:val="auto"/>
        </w:rPr>
      </w:pPr>
      <w:r>
        <w:rPr>
          <w:rFonts w:ascii="Arial" w:cs="Arial" w:eastAsia="Arial" w:hAnsi="Arial"/>
          <w:sz w:val="12"/>
          <w:szCs w:val="12"/>
          <w:color w:val="auto"/>
        </w:rPr>
        <w:t>These data support the ongoing Phase 2 portion of the TACTIVE-U clinical trial, which is evaluating full dose abemaciclib (150mg twice daily) in combination with vepdegestrant (200 mg once daily) in post-CDK4/6 inhibitor treated advanced breast cancer.</w:t>
      </w:r>
    </w:p>
    <w:p>
      <w:pPr>
        <w:spacing w:after="0" w:line="103" w:lineRule="exact"/>
        <w:rPr>
          <w:sz w:val="20"/>
          <w:szCs w:val="20"/>
          <w:color w:val="auto"/>
        </w:rPr>
      </w:pPr>
    </w:p>
    <w:p>
      <w:pPr>
        <w:ind w:left="420" w:right="80" w:firstLine="432"/>
        <w:spacing w:after="0" w:line="286" w:lineRule="auto"/>
        <w:rPr>
          <w:sz w:val="20"/>
          <w:szCs w:val="20"/>
          <w:color w:val="auto"/>
        </w:rPr>
      </w:pPr>
      <w:r>
        <w:rPr>
          <w:rFonts w:ascii="Arial" w:cs="Arial" w:eastAsia="Arial" w:hAnsi="Arial"/>
          <w:sz w:val="12"/>
          <w:szCs w:val="12"/>
          <w:color w:val="auto"/>
        </w:rPr>
        <w:t>We expect to continue to collect safety and efficacy data from ongoing TACTIVE-U clinical trial sub-studies evaluating combinations of vepdegestrant with abemaciclib, ribociclib, or samuraciclib in 2025 and submit key data for presentation at a medical conference.</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TACTIVE-E</w:t>
      </w:r>
    </w:p>
    <w:p>
      <w:pPr>
        <w:spacing w:after="0" w:line="76" w:lineRule="exact"/>
        <w:rPr>
          <w:sz w:val="20"/>
          <w:szCs w:val="20"/>
          <w:color w:val="auto"/>
        </w:rPr>
      </w:pPr>
    </w:p>
    <w:p>
      <w:pPr>
        <w:ind w:left="420" w:right="140" w:firstLine="432"/>
        <w:spacing w:after="0" w:line="286" w:lineRule="auto"/>
        <w:rPr>
          <w:sz w:val="20"/>
          <w:szCs w:val="20"/>
          <w:color w:val="auto"/>
        </w:rPr>
      </w:pPr>
      <w:r>
        <w:rPr>
          <w:rFonts w:ascii="Arial" w:cs="Arial" w:eastAsia="Arial" w:hAnsi="Arial"/>
          <w:sz w:val="12"/>
          <w:szCs w:val="12"/>
          <w:color w:val="auto"/>
        </w:rPr>
        <w:t>In the third quarter of 2022, we initiated TACTIVE-E, a Phase 1b clinical trial with vepdegestrant in combination with everolimus, a mammalian target of rapamycin protein inhibitor, in patients with metastatic breast cancer. Enrollment of patients for this clinical trial is complete.</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I-SPY-2</w:t>
      </w:r>
    </w:p>
    <w:p>
      <w:pPr>
        <w:spacing w:after="0" w:line="76" w:lineRule="exact"/>
        <w:rPr>
          <w:sz w:val="20"/>
          <w:szCs w:val="20"/>
          <w:color w:val="auto"/>
        </w:rPr>
      </w:pPr>
    </w:p>
    <w:p>
      <w:pPr>
        <w:jc w:val="both"/>
        <w:ind w:left="420" w:right="360" w:firstLine="432"/>
        <w:spacing w:after="0" w:line="268" w:lineRule="auto"/>
        <w:rPr>
          <w:sz w:val="20"/>
          <w:szCs w:val="20"/>
          <w:color w:val="auto"/>
        </w:rPr>
      </w:pPr>
      <w:r>
        <w:rPr>
          <w:rFonts w:ascii="Arial" w:cs="Arial" w:eastAsia="Arial" w:hAnsi="Arial"/>
          <w:sz w:val="12"/>
          <w:szCs w:val="12"/>
          <w:color w:val="auto"/>
        </w:rPr>
        <w:t>In the second quarter of 2023, we announced the inclusion of vepdegestrant in the I-SPY-2 (Investigation of Serial Studies to Predict Your Therapeutic Response with Imaging And moLecular Analysis 2) Endocrine Optimization Platform (EOP) trial sponsored by Quantum Leap. The I-SPY-2 EOP trial includes three arms containing vepdegestrant; a monotherapy arm, a vepdegestrant plus letrozole arm, and a vepdegestrant plus abemaciclib arm. We announced inclusion of the abemaciclib arm in the third quarter of 2023.</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Other Clinical Trials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In the third quarter of 2022, we initiated, with Pfizer, a Phase 1b trial of vepdegestrant as a monotherapy in Japanese patients.</w:t>
      </w:r>
    </w:p>
    <w:p>
      <w:pPr>
        <w:spacing w:after="0" w:line="150" w:lineRule="exact"/>
        <w:rPr>
          <w:sz w:val="20"/>
          <w:szCs w:val="20"/>
          <w:color w:val="auto"/>
        </w:rPr>
      </w:pPr>
    </w:p>
    <w:p>
      <w:pPr>
        <w:ind w:left="420" w:right="60" w:firstLine="432"/>
        <w:spacing w:after="0" w:line="286" w:lineRule="auto"/>
        <w:rPr>
          <w:sz w:val="20"/>
          <w:szCs w:val="20"/>
          <w:color w:val="auto"/>
        </w:rPr>
      </w:pPr>
      <w:r>
        <w:rPr>
          <w:rFonts w:ascii="Arial" w:cs="Arial" w:eastAsia="Arial" w:hAnsi="Arial"/>
          <w:sz w:val="12"/>
          <w:szCs w:val="12"/>
          <w:color w:val="auto"/>
        </w:rPr>
        <w:t>Also, in the fourth quarter of 2024, we presented data from the Phase 1 clinical pharmacology study of vepdegestrant in combination with midazolam to access potential for drug-to-drug interaction at the 2024 SABCS.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Hematology Program: ARV-393</w:t>
      </w:r>
    </w:p>
    <w:p>
      <w:pPr>
        <w:spacing w:after="0" w:line="76"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ARV-393 is an investigational, orally bioavailable PROTAC designed to degrade BCL6, a transcriptional repressor and a key regulator of normal B-cell maturation and differentiation processes. Deregulation of BCL6 function (e.g., via chromosomal translocation, mutations) may lead to malignant transformation and development of NHL. Prior to the advent of PROTAC technology, the BCL6 protein was considered "undruggable." We believe that ARV-393 PROTAC-mediated degradation of BCL6 may provide an important novel therapeutic option for patients with NHL.</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Patient Population and Market Opportunity</w:t>
      </w:r>
    </w:p>
    <w:p>
      <w:pPr>
        <w:spacing w:after="0" w:line="69" w:lineRule="exact"/>
        <w:rPr>
          <w:sz w:val="20"/>
          <w:szCs w:val="20"/>
          <w:color w:val="auto"/>
        </w:rPr>
      </w:pPr>
    </w:p>
    <w:p>
      <w:pPr>
        <w:ind w:right="440" w:firstLine="432"/>
        <w:spacing w:after="0" w:line="252" w:lineRule="auto"/>
        <w:rPr>
          <w:sz w:val="20"/>
          <w:szCs w:val="20"/>
          <w:color w:val="auto"/>
        </w:rPr>
      </w:pPr>
      <w:r>
        <w:rPr>
          <w:rFonts w:ascii="Arial" w:cs="Arial" w:eastAsia="Arial" w:hAnsi="Arial"/>
          <w:sz w:val="12"/>
          <w:szCs w:val="12"/>
          <w:color w:val="auto"/>
        </w:rPr>
        <w:t>There are approximately 80,000 new cases and 20,000 deaths in the U.S. related to NHL annually. NHL is a heterogeneous group of diseases, with large B-cell lymphoma, or LBCL, and follicular lymphoma, or FL, being the most common subtypes. Each subtype has a distinct biologic and clinical characteristics and requires different approaches to treatment. Unmet medical needs include managing aggressive subtypes, treatment resistance, and improving outcomes for older patients.</w:t>
      </w:r>
    </w:p>
    <w:p>
      <w:pPr>
        <w:spacing w:after="0" w:line="42"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In particular, we believe our PROTAC BCL6 degrader could be a potential therapy for diffuse large B-cell lymphoma, or DLBCL, a sub-set of NHL, often associated with deregulated BCL6 expression and/or functions. More than 25,000 patients are diagnosed with DLBCL each year in the U.S. Treatment for DLBCL is largely devoid of oral options and there are currently no approved BCL6-targeted therapies on the market or in the clinic. NHL originates from B cells, T cells, and/or natural killer cells, with those of B-cell origin constituting approximately 80%–85% of all NHL cases. We believe additional opportunities for a BCL6 degrader exist in FL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and Angioimmunoblastic T-cell lymphoma. BCL6 may also be a clinically relevant therapeutic target in other hematologic malignancies, some solid tumors and B-cell driven autoimmune diseases.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Preclinical and Clinical Development</w:t>
      </w:r>
    </w:p>
    <w:p>
      <w:pPr>
        <w:spacing w:after="0" w:line="7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Based on our preclinical models, complete tumor stasis, which correlates with 95%-100% degradation of measurable BCL6, was achieved when our oral, BCL6-targeting PROTAC clinical candidate was taken at low, oral daily doses. We saw similar activity in multiple DLBCL models, including for activated B-cell and germinal center B-cell lymphoma.</w:t>
      </w:r>
    </w:p>
    <w:p>
      <w:pPr>
        <w:spacing w:after="0" w:line="103"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In the second quarter of 2024, we presented preclinical data for ARV-393 at the European Hematology Association 2024 Annual Congress, which showed anti-tumor activity in preclinical models of B-cell lymphoma. In these preclinical models, ARV-393 potently and rapidly degraded the BCL6 protein and inhibited cell growth in DLBCL and Burkitt cell lines. ARV-393 showed tumor growth inhibition, including tumor regression, in various DLBCL cell line-derived xenograft models and in multiple patient-derived xenograft models of NHL including germinal center B-cell-like, or GCB, activated B-cell, or ABC, GCB/ABC, and BCL not otherwise specified subtypes of DLBCL, and Burkitt lymphoma. We plan to present preclinical data of ARV-393 in combination with standard of care biologic agents and small molecule inhibitors in high grade and aggressive diffuse large B-cell lymphoma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at the AACR Annual Meeting in the second quarter of 2025.</w:t>
      </w:r>
    </w:p>
    <w:p>
      <w:pPr>
        <w:spacing w:after="0" w:line="119"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In the first quarter of 2024, we announced that the FDA cleared our IND for ARV-393. We initiated our first-in-human Phase 1 clinical trial of ARV-393 in patients with relapsed or refractory NHL in the second quarter of 2024 and are currently recruiting patients for this clinical trial. This is an open-label, multicenter, Phase 1 dose escalation study to evaluate the safety, tolerability and preliminary anti-tumor activity of ARV-393 as a single agent in adult patients with relapsed/refractory NHL. Going forward, we expect to continue recruiting patients for this clinical trial and plan to disclose preliminary data from the ongoing Phase 1 clinical trial in patients with NHL in 2025.</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Neuroscience Program: ARV-102</w:t>
      </w:r>
    </w:p>
    <w:p>
      <w:pPr>
        <w:spacing w:after="0" w:line="78"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ARV-102 is our first oral PROTAC protein degrader in development to treat neurodegenerative diseases. In preclinical studies, ARV-102 has been shown to cross the blood-brain barrier and degrade LRRK2, which is a large multidomain scaffolding kinase. In human genetics, single cell ribonucleic acid sequencing from post-mortem PD brain samples and protein data from PD patient derived induced pluripotent stem cell microglia suggest that increased activity and expression of LRRK2 are genetically involved in the pathogenesis of neurological diseases including PSP and PD.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Patient Population and Market Opportunity</w:t>
      </w:r>
    </w:p>
    <w:p>
      <w:pPr>
        <w:spacing w:after="0" w:line="76"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PD is the second most common neurodegenerative disease after Alzheimer's disease, affecting approximately 1 million people in the U.S. and more than 10 million people world-wide. Nearly 90,000 people in the U.S. are diagnosed with PD each year. It is commonly thought of as a movement disorder because patients can experience tremors, slowness of movement, stiffness and difficulty with walking and balance. In addition, PD patients can have other non-motor type problems such as constipation, depression and memory loss. PD results from the loss of dopamine-producing cells in the brain and is likely caused by a combination of genetic and environmental risk factors. No disease-modifying therapies have been approved for patients with PD.</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Mutations in the LRRK2 gene are one of the most common genetic risk factors for PD. LRRK2 is a multidomain GTPase/kinase that acts, in part, as a scaffolding protein to interact with components of downstream signaling pathways regulating lysosomal function, mitochondrial processes, neuroinflammation and alpha-synuclein accumulation to negatively impact neuronal survival. Human genetics in the form of a protective PD variant (N551K/R1398H) and preclinical animal model data suggest that a reduction of 50% of LRRK2 protein, but not kinase inhibition, may impact pathology and dysfunction in PD. Therefore, reduction of LRRK2 in the brain may be beneficial for the treatment of PD. We have identified potent, selective, orally bioavailable LRRK2 PROTAC protein degraders that cross the blood-brain barrier in preclinical species and are biodistributed to deep brain regions impacted in PD.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ind w:right="60" w:firstLine="432"/>
        <w:spacing w:after="0" w:line="259" w:lineRule="auto"/>
        <w:rPr>
          <w:sz w:val="20"/>
          <w:szCs w:val="20"/>
          <w:color w:val="auto"/>
        </w:rPr>
      </w:pPr>
      <w:r>
        <w:rPr>
          <w:rFonts w:ascii="Arial" w:cs="Arial" w:eastAsia="Arial" w:hAnsi="Arial"/>
          <w:sz w:val="12"/>
          <w:szCs w:val="12"/>
          <w:color w:val="auto"/>
        </w:rPr>
        <w:t>PSP is a rare progressive neurological disorder that affects movement, balance and cognitive function. Emerging research suggests that LRRK2 plays a role in PSP by contributing to disease mechanisms such as neuroinflammation and cellular dysfunction. LRRK2 is involved in immune system regulation and may influence tau protein accumulation, a hallmark of PSP. It also plays a role in autophagy and inflammation, which could contribute to neurodegeneration seen in PSP. Additionally, variants in the LRRK2 gene have been associated with PSP progression and survival. Approximately 30,000 to 40,000 people in the U.S. are diagnosed with PSP each year. It is currently estimated that 10 to 12 people per 100,000 are living with PSP. There are currently no approved disease-modifying therapies that halt or delay PSP progression and which often leads to patients progressing with time to death within 5 to 7 years.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Preclinical and Clinical Developmen</w:t>
      </w:r>
      <w:r>
        <w:rPr>
          <w:rFonts w:ascii="Arial" w:cs="Arial" w:eastAsia="Arial" w:hAnsi="Arial"/>
          <w:sz w:val="12"/>
          <w:szCs w:val="12"/>
          <w:u w:val="single" w:color="auto"/>
          <w:color w:val="auto"/>
        </w:rPr>
        <w:t>t</w:t>
      </w:r>
    </w:p>
    <w:p>
      <w:pPr>
        <w:spacing w:after="0" w:line="7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ARV-102, our oral PROTAC LRRK2-targeting protein degrader clinical candidate, has been shown preclinically to broadly bio-distribute to deep brain regions and degrade LRRK2 more than 85% in non-human primates, or NHPs.</w:t>
      </w:r>
    </w:p>
    <w:p>
      <w:pPr>
        <w:spacing w:after="0" w:line="103"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In the second quarter of 2024, we presented preclinical data at the Biennial International LRRK2 Meeting, which further supported PROTAC-induced LRRK2 degradation as a potential treatment for neurodegenerative diseases. The preclinical data presented highlighted, with our PROTAC LRRK2 degrader, near complete LRRK2 target engagement, as well as LRRK2 degradation, in mouse and NHP lung and brain. The preclinical data also showed differing effects of the PROTAC LRRK2 degraders in the lungs compared to kinase inhibitors, suggesting reduced pulmonary function risk, including:</w:t>
      </w:r>
    </w:p>
    <w:p>
      <w:pPr>
        <w:spacing w:after="0" w:line="42"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substantially less Type II pneumocyte enlargement compared to MLi-2, an experimental LRRK2 kinase inhibitor;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surfactant protein accumulation in mouse lung was observed after treatment with the LRRK2 kinase inhibitor MLi-2, but not after treatment with the PROTAC LRRK2 degrader;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 evidence of collagen deposition in lung to date with PROTAC LRRK2 degraders in NHPs.</w:t>
      </w:r>
    </w:p>
    <w:p>
      <w:pPr>
        <w:spacing w:after="0" w:line="150" w:lineRule="exact"/>
        <w:rPr>
          <w:sz w:val="20"/>
          <w:szCs w:val="20"/>
          <w:color w:val="auto"/>
        </w:rPr>
      </w:pPr>
    </w:p>
    <w:p>
      <w:pPr>
        <w:ind w:right="400" w:firstLine="432"/>
        <w:spacing w:after="0" w:line="286" w:lineRule="auto"/>
        <w:rPr>
          <w:sz w:val="20"/>
          <w:szCs w:val="20"/>
          <w:color w:val="auto"/>
        </w:rPr>
      </w:pPr>
      <w:r>
        <w:rPr>
          <w:rFonts w:ascii="Arial" w:cs="Arial" w:eastAsia="Arial" w:hAnsi="Arial"/>
          <w:sz w:val="12"/>
          <w:szCs w:val="12"/>
          <w:color w:val="auto"/>
        </w:rPr>
        <w:t>In October 2024, we presented preclinical data at the 2024 Michael J. Fox Foundation Parkinson’s Disease Conference further supporting the potential of PROTAC-induced LRRK2 degradation as a potential treatment for patients with neurodegenerative diseases. New findings presented included data demonstrating:</w:t>
      </w:r>
    </w:p>
    <w:p>
      <w:pPr>
        <w:spacing w:after="0" w:line="31"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orally delivered ARV-102 crossed the blood-brain barriers and degraded LRRK2 in the cerebrospinal fluid, or CSF, of NHPs;</w:t>
      </w:r>
    </w:p>
    <w:p>
      <w:pPr>
        <w:spacing w:after="0" w:line="78" w:lineRule="exact"/>
        <w:rPr>
          <w:rFonts w:ascii="Arial" w:cs="Arial" w:eastAsia="Arial" w:hAnsi="Arial"/>
          <w:sz w:val="12"/>
          <w:szCs w:val="12"/>
          <w:color w:val="auto"/>
        </w:rPr>
      </w:pPr>
    </w:p>
    <w:p>
      <w:pPr>
        <w:ind w:left="420" w:right="80" w:hanging="212"/>
        <w:spacing w:after="0" w:line="28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degradation of LRRK2 by ARV-102 induced changes in pathway (lysosomal and inflammation) biomarkers in the CSF of NHPs, which has not previously been demonstrated by kinase inhibitors of LRRK2; and</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murine tauopathy models, oral PROTAC LRRK2 degrader treatment led to ~50% pathologic tau reduction.</w:t>
      </w:r>
    </w:p>
    <w:p>
      <w:pPr>
        <w:spacing w:after="0" w:line="1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The European Medicines Agency cleared our clinical trial application for ARV-102 in the fourth quarter of 2023. We currently are conducting two clinical trials with ARV-102, a Phase 1 clinical trial in healthy volunteers and a Phase 1 clinical trial in patients with PD.</w:t>
      </w:r>
    </w:p>
    <w:p>
      <w:pPr>
        <w:spacing w:after="0" w:line="103"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We initiated the first-in-human Phase 1 clinical trial for ARV-102 in the first quarter of 2024. The trial is evaluating the safety, tolerability, pharmacokinetics, and pharmacodynamics of ARV-102, including the evaluation of LRRK2 degradation and exploratory LRRK2 pathway biomarkers. In the second quarter of 2024, we received health authority approval to initiate the multiple ascending dose, or MAD, portion of the ongoing Phase 1 clinical trial of ARV-102 in healthy volunteers, and we initiated the MAD portion of this clinical trial in the third quarter of 2024. We completed enrollment of this MAD cohort in the first quarter of 2025.</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We completed enrollment in the SAD portion of the Phase 1 clinical trial of ARV-102 in healthy volunteers at the Centre for Human Drug Research in Leiden, the Netherlands in the third quarter of 2024. We plan to present SAD data from the ongoing Phase 1 clinical trial of ARV-102 in healthy volunteers in an oral session at the Alzheimer’s Disease/Parkinson’s Disease (AD/PD) conference in Vienna, Austria in the second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2" w:name="page33"/>
    <w:bookmarkEnd w:id="32"/>
    <w:p>
      <w:pPr>
        <w:spacing w:after="0"/>
        <w:rPr>
          <w:sz w:val="20"/>
          <w:szCs w:val="20"/>
          <w:color w:val="auto"/>
        </w:rPr>
      </w:pPr>
      <w:r>
        <w:rPr>
          <w:rFonts w:ascii="Arial" w:cs="Arial" w:eastAsia="Arial" w:hAnsi="Arial"/>
          <w:sz w:val="12"/>
          <w:szCs w:val="12"/>
          <w:color w:val="auto"/>
        </w:rPr>
        <w:t>quarter of 2025, demonstrating bioavailability and brain penetration with dose dependent exposure in cerebral spinal fluid, or CSF, and degradation of LRRK2 in the periphery and CSF of healthy volunteers.</w:t>
      </w:r>
    </w:p>
    <w:p>
      <w:pPr>
        <w:spacing w:after="0" w:line="150"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In the fourth quarter of 2024, we initiated dosing of the first patients with PD in the SAD portion of the Phase 1 clinical trial of ARV-102. We plan to complete enrollment and present initial data from the ongoing SAD Phase 1 clinical trial of ARV-102 in patients with PD and initiate the MAD portion of the Phase 1 clinical trial in patients with PD in 2025.</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Our Preclinical Programs</w:t>
      </w:r>
    </w:p>
    <w:p>
      <w:pPr>
        <w:spacing w:after="0" w:line="78"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We have active preclinical programs and in line with our therapeutic strategies in oncology and neurologic disorders, we assess potential exploratory programs on a target-by-target basis to decide whether our PROTAC targeted protein degraders provide a compelling differentiated approach over standard-of-care or other, existing or potential competing mechanisms of action directed against a specific target. In the case of currently or historically undruggable targets, we assess whether the features of our PROTAC targeted protein degraders, including their potential to degrade proteins via sites other than enzymatic active sites and the ability to initiate the degradation process using only weak binders, offer us opportunities to degrade those targets.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Oncology</w:t>
      </w:r>
    </w:p>
    <w:p>
      <w:pPr>
        <w:spacing w:after="0" w:line="76"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 xml:space="preserve">KRAS is a driver oncogene in several major tumor types and is associated with poor prognosis and resistance to standards of care. Preclinically, our degrader is a highly selective and potent molecule that demonstrates dose-responsive degradation of KRAS G12D, leading to robust antitumor activity in KRAS G12D mutated cancers including pancreatic and colorectal cancers. In the second quarter of 2023, we presented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at the AACR - Targeting RAS Special Conference that demonstrated that our PROTAC KRAS G12D degraders were potent, selective and led to tumor stasis in a mouse xenograft model with intermittent dosing and degradation of KRAS G12D that provides an advantage versus inhibition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Our degrader is designed to eliminate, rather than inhibit, KRAS G12D and, in preclinical studies, it was 30-fold more potent than an inhibitor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provides additional aspects of differential biology contributing to its potent and broad antitumor effect </w:t>
      </w:r>
      <w:r>
        <w:rPr>
          <w:rFonts w:ascii="Arial" w:cs="Arial" w:eastAsia="Arial" w:hAnsi="Arial"/>
          <w:sz w:val="12"/>
          <w:szCs w:val="12"/>
          <w:i w:val="1"/>
          <w:iCs w:val="1"/>
          <w:color w:val="auto"/>
        </w:rPr>
        <w:t>in vivo</w:t>
      </w:r>
      <w:r>
        <w:rPr>
          <w:rFonts w:ascii="Arial" w:cs="Arial" w:eastAsia="Arial" w:hAnsi="Arial"/>
          <w:sz w:val="12"/>
          <w:szCs w:val="12"/>
          <w:color w:val="auto"/>
        </w:rPr>
        <w:t>. Our KRAS G12D program is currently in preclinical development and we anticipate filing an IND application for our PROTAC KRAS G12D degrader in 2025.</w:t>
      </w:r>
    </w:p>
    <w:p>
      <w:pPr>
        <w:spacing w:after="0" w:line="12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Our exploratory and research activities in oncology include programs directed to degrade KRAS, as noted above; Myc, an oncogenic transcription factor driving tumor cell proliferation; and hematopoietic progenitor kinase 1, a suppressor of T cell activation.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Neurologic Diseases</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Neurologic diseases, in particular, neurodegenerative diseases, are generally progressive in nature and result in the degeneration and often death of neurons in the brain, leading to cognitive decline, functional impairment and eventually death. These diseases affect a rapidly growing patient population and represent one of the largest unmet medical needs of our time. Alzheimer’s and PD encompass the largest patient populations among the neurodegenerative diseases. The Alzheimer’s Association estimated that 6.9 million Americans aged 65 and older, about one in nine individuals, were living with Alzheimer’s dementia in 2024, with 73% aged 75 or older, and the Parkinson’s Foundation estimated that nearly one million Americans are living with PD. Alzheimer’s disease is marked by the progressive accumulation of aggregated tau protein, while aggregation of alpha-synuclein is thought to cause PD.</w:t>
      </w:r>
    </w:p>
    <w:p>
      <w:pPr>
        <w:spacing w:after="0" w:line="119"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Antibody or aggregation inhibitor-based therapies targeting these proteins thought to be the cause of these neurodegenerative diseases have failed to show clinically meaningful benefit to date. While some existing products provide symptomatic relief to Alzheimer’s and PD patients, they have significant side effect risks and over time gradually lose their effectiveness in treating the symptoms of the disease. Further, while there are now amyloid-directed antibody therapies that modestly impact extracellular A-beta with vascular side effects that can be severe, there are no approved disease-modifying treatments targeting intracellular tau or alpha-synuclein for Alzheimer’s or PD.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33" w:name="page34"/>
    <w:bookmarkEnd w:id="33"/>
    <w:p>
      <w:pPr>
        <w:ind w:left="420"/>
        <w:spacing w:after="0"/>
        <w:rPr>
          <w:sz w:val="20"/>
          <w:szCs w:val="20"/>
          <w:color w:val="auto"/>
        </w:rPr>
      </w:pPr>
      <w:r>
        <w:rPr>
          <w:rFonts w:ascii="Arial" w:cs="Arial" w:eastAsia="Arial" w:hAnsi="Arial"/>
          <w:sz w:val="12"/>
          <w:szCs w:val="12"/>
          <w:u w:val="single" w:color="auto"/>
          <w:color w:val="auto"/>
        </w:rPr>
        <w:t>Developing PROTAC Targeted Protein Degraders that Cross the Blood Brain Barrier</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Engineering PROTAC degraders that cross the blood-brain barrier is necessary to achieve targeted elimination of disease-causing intracellular proteins from within the CNS. The ability of a targeted therapy to cross the blood-brain barrier is a highly desirable characteristic in developing effective therapeutics for patients with neurodegenerative diseases as compared with therapies delivered directly into the CNS via invasive intrathecal delivery. Any product candidates for neurodegenerative disease must reach their intended intracellular targets in the brain at exposure levels that will provide a therapeutic effect, while having an acceptable safety profile.</w:t>
      </w:r>
    </w:p>
    <w:p>
      <w:pPr>
        <w:spacing w:after="0" w:line="117" w:lineRule="exact"/>
        <w:rPr>
          <w:sz w:val="20"/>
          <w:szCs w:val="20"/>
          <w:color w:val="auto"/>
        </w:rPr>
      </w:pPr>
    </w:p>
    <w:p>
      <w:pPr>
        <w:jc w:val="both"/>
        <w:ind w:right="140" w:firstLine="432"/>
        <w:spacing w:after="0" w:line="262" w:lineRule="auto"/>
        <w:rPr>
          <w:sz w:val="20"/>
          <w:szCs w:val="20"/>
          <w:color w:val="auto"/>
        </w:rPr>
      </w:pPr>
      <w:r>
        <w:rPr>
          <w:rFonts w:ascii="Arial" w:cs="Arial" w:eastAsia="Arial" w:hAnsi="Arial"/>
          <w:sz w:val="12"/>
          <w:szCs w:val="12"/>
          <w:color w:val="auto"/>
        </w:rPr>
        <w:t>Importantly, we have achieved brain penetration in preclinical models following parenteral administration of PROTAC degrader molecules. These PROTAC degrader molecules achieved concentrations in the brain sufficient to induce degradation of the aggregated proteins, widespread penetration into different parts of the brain, and brain/plasma ratios of 0.5 to 5.0, comparable to approved therapeutics with CNS activity. Our research efforts are aimed at designing PROTAC degraders to either specifically target pathologic oligomers or monomers of mutant huntingtin, tau, and α-synuclein, for the treatment of Huntington's disease, Alzheimer’s disease (tauopathies) and PD (synucleinopathies), respectively, or to impact pathway proteins contributing to their pathology in these diseases.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Developing PROTAC Targeted Protein Degraders that Degrade Proteins Associated with Neurodegenerative Diseases</w:t>
      </w:r>
    </w:p>
    <w:p>
      <w:pPr>
        <w:spacing w:after="0" w:line="78"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We have conducted preclinical studies to establish the potential of our PROTAC Discovery Engine in the CNS for the treatment of neurodegenerative diseases, including tauopathies, the largest of which is Alzheimer’s disease. We have demonstrated that tau PROTAC protein degrader molecules could be dosed peripherally and degrade pathogenic tau in the brain of mouse tauopathy models.</w:t>
      </w:r>
    </w:p>
    <w:p>
      <w:pPr>
        <w:spacing w:after="0" w:line="103"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 xml:space="preserve">In preclinical studies, we have demonstrated that alpha-synuclein PROTAC degraders can specifically degrade aggregated forms of the protein. We have conducted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experiments in cells expressing the A53T mutant form of alpha-synuclein, a mutation that causes aggregation of alpha-synuclein and early-onset PD in patients. We treated these cells with alpha-synuclein targeting PROTAC degraders at 1 μM for 48 hours.</w:t>
      </w:r>
    </w:p>
    <w:p>
      <w:pPr>
        <w:spacing w:after="0" w:line="11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1"/>
          <w:szCs w:val="11"/>
          <w:color w:val="auto"/>
        </w:rPr>
        <w:t>In addition to our tau and alpha-synuclein programs, our neuroscience pipeline includes a program directed to mutant huntingtin, or mHTT, a key protein target for Huntington’s disease. We have identified ligands that bind to mutant mHTT protein without binding to wild-type HTT protein in preclinical studies. This selectivity differentiates these ligands from other small molecule splice modulators that reduce both mHTT and wild-type HTT protein. We believe that our discovery of selective mHTT PROTAC degraders has the potential to eliminate the toxic mHTT protein that causes this devastating disease. In our preclinical neurology research efforts, we have expanded our focus into additional mechanisms that contribute to the pathologic dysfunction in the brain including those that contribute to neuroinflammation and aging.</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Other Programs: Luxdegalutamide (ARV-766) and bavdegalutamide (ARV-110)</w:t>
      </w:r>
    </w:p>
    <w:p>
      <w:pPr>
        <w:spacing w:after="0" w:line="7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2"/>
          <w:szCs w:val="12"/>
          <w:color w:val="auto"/>
        </w:rPr>
        <w:t>We had been developing luxdegalutamide (ARV-766) and bavdegalutamide (ARV-110), each an investigational, orally bioavailable, AR degrading PROTAC targeted protein degrader, for the treatment of men with mCRPC. Both luxdegalutamide (ARV-766) and bavdegalutamide (ARV-110) demonstrated activity in preclinical models of AR overexpression and AR mutations, both common mechanisms of resistance to current standard-of-care agents in men with prostate cancer. We believe that the differentiated PROTAC pharmacology of luxdegalutamtide (ARV-766) and bavdegalutamide (ARV-110), including their iterative activity, has the potential to translate into significantly improved clinical outcomes over current standard-of-care agents. However, our clinical data showed signals of improved tolerability and efficacy with luxdegalutamide (ARV-766) as compared to bavdegalutamide. In addition, luxdegalutamide (ARV-766) activity in late-line settings suggested additional potential benefit in earlier-line, less pretreated patients. As such, early in the fourth quarter of 2023, we determined to prioritize the initiation of a Phase 3 clinical trial with luxdegalutamide (ARV-766) in mCRPC instead of the previously planned Phase 3 clinical trial for bavdegalutamide. While we expect to continue ongoing trial activities with bavdegalutamide (ARV-110-101 and ARV-110-103), we will not be enrolling new patients in these clinical trials and expect to wind down our bavdegalutamide program after completion of these clinical trials.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34" w:name="page35"/>
    <w:bookmarkEnd w:id="34"/>
    <w:p>
      <w:pPr>
        <w:ind w:firstLine="432"/>
        <w:spacing w:after="0" w:line="262" w:lineRule="auto"/>
        <w:rPr>
          <w:sz w:val="20"/>
          <w:szCs w:val="20"/>
          <w:color w:val="auto"/>
        </w:rPr>
      </w:pPr>
      <w:r>
        <w:rPr>
          <w:rFonts w:ascii="Arial" w:cs="Arial" w:eastAsia="Arial" w:hAnsi="Arial"/>
          <w:sz w:val="12"/>
          <w:szCs w:val="12"/>
          <w:color w:val="auto"/>
        </w:rPr>
        <w:t>In the second quarter of 2024, we entered into and closed the Novartis Transaction, including both the Novartis License Agreement and the Novartis Asset Agreement with Novartis. Pursuant to the Novartis License Agreement, we granted Novartis an exclusive worldwide license for the development, manufacture and commercialization of ARV-766, our second generation PROTAC AR degrader for patients with prostate cancer and, as of December 31, 2024, we have completed the transition of our ongoing and planned clinical trials of luxdegalutamide (ARV-766) to Novartis. Pursuant to the Novartis Asset Agreement, we sold Novartis all of our rights, title and interest in our PROTAC protein degrader targeting AR-V7, a splice variant of the AR.</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Prostate Cancer - Patient Population and Market Opportunity</w:t>
      </w:r>
    </w:p>
    <w:p>
      <w:pPr>
        <w:spacing w:after="0" w:line="76"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In the United States, prostate cancer is the second leading cause of cancer death in men. Current estimates predict that one in eight men will be diagnosed with prostate cancer in their lifetime. The American Cancer Society estimates that in 2025 in the United States there will be approximately 313,780 new cases of prostate cancer and approximately 35,770 deaths from the disease. Prostate cancer is the second-leading cause of cancer death in American men, behind only lung cancer. The American Cancer Society estimates that about one in 44 men will die of prostate cancer. Men with mCRPC have a poor prognosis and a predicted survival rate of just over two years from the initial time of progression.</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Treatment options for prostate cancer depend on many different factors, including the stage of the cancer. Castration-resistant prostate cancer is defined by disease progression despite androgen deprivation therapy, or ADT, and is often indicated by rising levels of PSA. In making treatment evaluations, physicians monitor disease burdens in several ways, including changes in PSA levels. Increased PSA blood levels are considered by many physicians as indicative of cancer progression, and alternative treatment options may be considered. Current standard of care for men with castration-resistant prostate cancer provides that patients should initially receive a combination of ADT and either abiraterone, which works by decreasing androgen levels, or enzalutamide, which works by blocking androgen binding to AR. If the disease progresses despite these second-generation hormonal therapies, chemotherapy is considered the next treatment option. Treatment with chemotherapy is generally postponed for as long as possible due to the potential for severe side effects including neuropathies, nausea, diarrhea, decreased mental capacity and increased risk of infections.</w:t>
      </w:r>
    </w:p>
    <w:p>
      <w:pPr>
        <w:spacing w:after="0" w:line="12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AR remains the principal driver of castration-resistant prostate cancer progression during the transition from localized to metastatic disease, with AR gene amplification occurring in 40% to 60% of patients, amplification of a transcription regulatory region upstream of the AR gene occurring in 70% to 87% of patients, and AR point mutations occurring in approximately 15% of patients. Between 15% to 25% of patients do not respond to either abiraterone or enzalutamide and the vast majority of the responsive patients will ultimately become resistant, resulting in limited survival. There remains meaningful unmet medical need in the treatment paradigm of mCRPC, including a significant underserved set of patients who are or become resistant to current therapies. Based on our preclinical data, we believe our AR-targeting PROTAC protein degraders may overcome these known resistance mechanisms and create meaningful clinical benefit for patients.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Bavdegalutamide Preclinical and Clinical Development</w:t>
      </w:r>
    </w:p>
    <w:p>
      <w:pPr>
        <w:spacing w:after="0" w:line="76"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 xml:space="preserve">We have conducted a comprehensive preclinical program to study bavdegalutamide as a potential treatment for men with mCRPC.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models, bavdegalutamide degraded 95% to 98% of AR in multiple cell lines typically used in prostate cancer research. Bavdegalutamide is also highly selective for AR. A proteomic analysis of VCaP cells treated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with bavdegalutamide at a 10 nM concentration for eight hours demonstrated that only AR was degraded from the nearly 4,000 measured proteins.</w:t>
      </w:r>
    </w:p>
    <w:p>
      <w:pPr>
        <w:spacing w:after="0" w:line="114" w:lineRule="exact"/>
        <w:rPr>
          <w:sz w:val="20"/>
          <w:szCs w:val="20"/>
          <w:color w:val="auto"/>
        </w:rPr>
      </w:pPr>
    </w:p>
    <w:p>
      <w:pPr>
        <w:ind w:right="140" w:firstLine="432"/>
        <w:spacing w:after="0" w:line="262" w:lineRule="auto"/>
        <w:rPr>
          <w:sz w:val="20"/>
          <w:szCs w:val="20"/>
          <w:color w:val="auto"/>
        </w:rPr>
      </w:pPr>
      <w:r>
        <w:rPr>
          <w:rFonts w:ascii="Arial" w:cs="Arial" w:eastAsia="Arial" w:hAnsi="Arial"/>
          <w:sz w:val="12"/>
          <w:szCs w:val="12"/>
          <w:color w:val="auto"/>
        </w:rPr>
        <w:t xml:space="preserve">Importantly, in addition to AR degradation and selectivity, we have observed in preclinical studies the ability of bavdegalutamide to potently inhibit prostate cancer cell growth and reduce PSA levels. In addition to guiding treatment decisions, reduction in PSA is often an indicator of the effectiveness of treatment in clinical trials, however, it is not recognized as a surrogate endpoint for purposes of regulatory approval. For example, bavdegalutamide demonstrated equivalent reduction in PSA to enzalutamide at ten-fold lower concentration levels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inhibition study of PSA synthesis in Lymph Node Cancer of the prostate cells, which are androgen-sensitive human prostate adenocarcinoma cells, that have been engineered to overexpress 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5" w:name="page36"/>
    <w:bookmarkEnd w:id="35"/>
    <w:p>
      <w:pPr>
        <w:ind w:right="580" w:firstLine="432"/>
        <w:spacing w:after="0" w:line="286" w:lineRule="auto"/>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mouse models, bavdegalutamide has inhibited AR-dependent tumor growth in a statistically significant manner. Bavdegalutamide exhibited superior tumor growth inhibition compared to enzalutamide in both castrated and intact (non-castrated) xenograft models derived from VCaP cell lines.</w:t>
      </w:r>
    </w:p>
    <w:p>
      <w:pPr>
        <w:spacing w:after="0" w:line="103"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 xml:space="preserve">To assess the ability of bavdegalutamide to treat enzalutamide-resistant cancers, we conducted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studies of bavdegalutamide in an enzalutamide-resistant VCaP xenograft model. These VCaP tumors acquired resistance to enzalutamide after being continuously propagated in castrated, enzalutamide treated mice for approximately three years. We observed that tumors in mice dosed with enzalutamide grew at nearly the same rate as tumors in mice dosed only with the drug vehicle - a control similar to dosing a placebo. Orally delivered bavdegalutamide significantly inhibited tumor growth, described as tumor growth inhibition, or TGI, in these enzalutamide-resistant VCaP tumors.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We have also conducted preclinical studies of bavdegalutamide for enzalutamide-insensitive tumors. We conducted an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study in a PDX model that is derived from a tumor from a patient not treated with enzalutamide but that is insensitive to enzalutamide and showed that tumors in mice dosed with enzalutamide grew at only a slightly slower rate than tumors in mice dosed only with the drug vehicle. In contrast, orally delivered bavdegalutamide significantly inhibited tumor growth in these enzalutamide-insensitive tumors, achieving a TGI value of 100%. Further, PSA levels in the plasma of mice following 20 days of bavdegalutamide dosing significantly decreased in comparison to those dosed with only the drug vehicle or enzalutamide. We believe the activity of bavdegalutamide in the VCaP and PDX models may closely reflect enzalutamide resistance or insensitivity in the clinic and shows the potential for treatment of patients whose tumors have become resistant to, or demonstrate intrinsic resistance to, a current standard-of-care agent. Bavdegalutamide was shown to reduce the levels of PSA in plasma comparable to levels achieved with enzalutamide in a different VCaP xenograft mouse model but at a lower dosing level.</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2019, we initiated dosing in a Phase 1 clinical trial of bavdegalutamide. Our Phase 1 trial was designed as an open label, dose-escalation study of bavdegalutamide in men with mCRPC whose disease had progressed on at least two prior systemic therapies, one of which must have been enzalutamide or abiraterone. The Phase 1 trial was designed to primarily investigate the safety and tolerability of bavdegalutamide. Secondary endpoints included characterization of bavdegalutamide’s pharmacokinetic profile and preliminary assessment of biochemical and clinical activity based on evaluation of PSA levels, and radiographic measurement of evaluable lesions. The anti-tumor effects of bavdegalutamide in measurable lesions were assessed using RECIST, a standardized set of rules for response assessment based on tumor shrinkage which is widely used in oncology clinical trials. We also evaluated exploratory markers of disease burden, such as circulating tumor cell enumeration, as exploratory endpoints of the trial.</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A potential drug-drug interaction between bavdegalutamide and rosuvastatin, or ROS, was identified during the trial. One patient receiving 280 mg bavdegalutamide experienced a Grade 4 dose-limiting toxicity of elevated aspartate transaminase/alanine transaminase, or AST/ALT, liver enzymes followed by acute renal failure. A second patient, receiving 70 mg bavdegalutamide, experienced a Grade 3 AST/ALT elevation, which resolved after the removal of ROS, and the patient was retreated with bavdegalutamide. Follow-up exploratory findings indicate that ROS concentrations, but not bavdegalutamide concentrations, were elevated in both patients who had liver function test increases. Subsequent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transport pump studies indicated that bavdegalutamide inhibited breast cancer resistant pump transporter, of which ROS is a substrate. Following the initial data that supported a potential interaction with ROS, concomitant use of ROS was precluded.</w:t>
      </w:r>
    </w:p>
    <w:p>
      <w:pPr>
        <w:spacing w:after="0" w:line="11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2020, we amended the protocol for our Phase 1 clinical trial for bavdegalutamide to include the addition of a Phase 2 expansion cohort. Based on our observations of a molecularly defined, late-line population with a particularly strong response to bavdegalutamide in the Phase 1 portion of the trial, we designed our Phase 2 dose expansion to assess bavdegalutamide in four specific subgroups: patients with tumors with AR T878X (T878X = T878A or T878S) and/or H875Y mutations but excluding other AR variants; patients with tumors with wild-type AR or AR alterations other than T878X, H875Y, L702H, and AR-V7; patients with tumors with AR-V7 or L702H, which are variants of AR that, preclinically, bavdegalutamide did not degrade, or did not degrade potently, respectively; and patients with biomarker agnostic tumors treated with no more than one prior NHA, such as enzalutamide or abiraterone, and had no prior chemotherapy.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fourth quarter of 2020, we initiated the ARDENT Phase 2 expansion portion of the trial at a dose of 420 mg once-daily, the recommended Phase 2 dose, or RP2D.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6" w:name="page37"/>
    <w:bookmarkEnd w:id="36"/>
    <w:p>
      <w:pPr>
        <w:ind w:firstLine="432"/>
        <w:spacing w:after="0" w:line="268" w:lineRule="auto"/>
        <w:rPr>
          <w:sz w:val="20"/>
          <w:szCs w:val="20"/>
          <w:color w:val="auto"/>
        </w:rPr>
      </w:pPr>
      <w:r>
        <w:rPr>
          <w:rFonts w:ascii="Arial" w:cs="Arial" w:eastAsia="Arial" w:hAnsi="Arial"/>
          <w:sz w:val="12"/>
          <w:szCs w:val="12"/>
          <w:color w:val="auto"/>
        </w:rPr>
        <w:t>In February 2022, we announced completed Phase 1 and interim ARDENT data for bavdegalutamide with a data cut-off date of December 20, 2021 at the 2022 American Society of Clinical Oncology Genitourinary Cancers Symposium. We reported that bavdegalutamide showed reduced PSA50 in 46% of the 28 patients with tumors harboring AR T878X/H875Y mutations. These results also demonstrated PSA declines and tumor regressions in patients without tumors harboring AR T878X/H875Y mutations, suggesting an opportunity to develop bavdegalutamide more broadly in prostate cancer.</w:t>
      </w:r>
    </w:p>
    <w:p>
      <w:pPr>
        <w:spacing w:after="0" w:line="11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As of the data cut-off date, 195 patients were enrolled across the Phase 1/2 clinical trial (71 in Phase 1; 124 in Phase 2). The Phase 1 dose escalation trial evaluated bavdegalutamide at doses ranging from 35–700 mg, once-daily, or 210–420 mg twice-daily, in patients with mCRPC and two or more prior therapies (including abiraterone and/or enzalutamide).</w:t>
      </w:r>
    </w:p>
    <w:p>
      <w:pPr>
        <w:spacing w:after="0" w:line="103"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Patients in the ARDENT trial received a median of four prior lines of therapy with 100% receiving at least one NHA (64% abiraterone, 75% enzalutamide or other AR inhibitor, 39% both abiraterone and an AR inhibitor) and 31% receiving at least one chemotherapy regimen.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Efficacy Measures</w:t>
      </w:r>
    </w:p>
    <w:p>
      <w:pPr>
        <w:spacing w:after="0" w:line="78"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We presented efficacy measures on a combined basis for patients in both the completed Phase 1 dose escalation trial and the interim analysis from the ongoing ARDENT Phase 2 dose expansion trial. In the biomarker defined (“more pretreated”) subgroups, we observed the following:</w:t>
      </w:r>
    </w:p>
    <w:p>
      <w:pPr>
        <w:spacing w:after="0" w:line="31" w:lineRule="exact"/>
        <w:rPr>
          <w:sz w:val="20"/>
          <w:szCs w:val="20"/>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eight patients with tumors with AR T878X and/or H875Y mutations but excluding other AR variants, PSA50=75%; PSA decline of more than 30%, or PSA30, =75%</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44 patients with tumors with wild-type AR or AR alterations other than T878X, H875Y, L702H, or AR-V7, PSA50=11%; PSA30=20%</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25 patients with tumors with AR L702H or AR-V7, PSA50=4%; PSA30=20%</w:t>
      </w:r>
    </w:p>
    <w:p>
      <w:pPr>
        <w:spacing w:after="0" w:line="15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In the biomarker agnostic (“less pretreated”) subgroup comprising 27 patients with no more than one prior NHA and no prior chemotherapy, the PSA50 response rate was 22% and the PSA30 response rate was 26%.</w:t>
      </w:r>
    </w:p>
    <w:p>
      <w:pPr>
        <w:spacing w:after="0" w:line="103" w:lineRule="exact"/>
        <w:rPr>
          <w:sz w:val="20"/>
          <w:szCs w:val="20"/>
          <w:color w:val="auto"/>
        </w:rPr>
      </w:pPr>
    </w:p>
    <w:p>
      <w:pPr>
        <w:ind w:right="520" w:firstLine="432"/>
        <w:spacing w:after="0" w:line="286" w:lineRule="auto"/>
        <w:rPr>
          <w:sz w:val="20"/>
          <w:szCs w:val="20"/>
          <w:color w:val="auto"/>
        </w:rPr>
      </w:pPr>
      <w:r>
        <w:rPr>
          <w:rFonts w:ascii="Arial" w:cs="Arial" w:eastAsia="Arial" w:hAnsi="Arial"/>
          <w:sz w:val="12"/>
          <w:szCs w:val="12"/>
          <w:color w:val="auto"/>
        </w:rPr>
        <w:t>In biomarker-evaluable patients treated at or above the RP2D and with tumors harboring AR T878X/H875Y mutations (across all subgroups and thus regardless of prior therapy regimens or other mutations; n=28), the PSA50 response rate was 46% and the PSA30 response rate was 57%.</w:t>
      </w:r>
    </w:p>
    <w:p>
      <w:pPr>
        <w:spacing w:after="0" w:line="103"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Of seven RECIST-evaluable patients across the Phase 1 and Phase 2 trials with tumors harboring AR T878X/H875Y mutations, two had confirmed durable partial responses. These patients were on treatment for approximately nine months (ongoing as of the data cut-off) and ten months; the duration of treatment ranged from eight weeks to 44 weeks, with three of the seven patients continuing on treatment as of the data cutoff of December 20, 2021.</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Twelve (43%) of the 28 patients with AR T878X/H875Y-positive mutations received bavdegalutamide for 24 weeks or more, with nine patients ongoing as of the data cutoff.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PSA reductions and evidence of anti-tumor activity as measured by RECIST were observed across all subgroups regardless of mutation status, including tumors not harboring AR T878X/875Y mutations.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RECIST responses were seen in patients with tumors lacking AR T878X/H875Y mutations (one confirmed and three unconfirmed RECIST responses).</w:t>
      </w:r>
    </w:p>
    <w:p>
      <w:pPr>
        <w:spacing w:after="0" w:line="150"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The “less pretreated” subgroup (n=27) had a similar molecular profile—as assessed by circulating tumor DNA analysis—to the more pretreated, biomarker-defined subgroups in the ARDENT trial. These similarities included both AR variations (point mutations and AR-V7 splice variants) and non-AR mutations frequently associated with poor outcomes (e.g., TP53, BRCA1). Six of the 27 patients (22%) had PSA50 reductions, and this PSA50 rate was similar to that observed collectively in the “more pretreated” subgroups (16%; n=77). Four of the six “less pretreated” patients with PSA50 declines had tumors with AR T878X/H875Y mutations.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11" w:right="359" w:bottom="1440" w:gutter="0" w:footer="0" w:header="0"/>
        </w:sectPr>
      </w:pPr>
    </w:p>
    <w:bookmarkStart w:id="37" w:name="page38"/>
    <w:bookmarkEnd w:id="37"/>
    <w:p>
      <w:pPr>
        <w:ind w:left="420"/>
        <w:spacing w:after="0"/>
        <w:rPr>
          <w:sz w:val="20"/>
          <w:szCs w:val="20"/>
          <w:color w:val="auto"/>
        </w:rPr>
      </w:pPr>
      <w:r>
        <w:rPr>
          <w:rFonts w:ascii="Arial" w:cs="Arial" w:eastAsia="Arial" w:hAnsi="Arial"/>
          <w:sz w:val="12"/>
          <w:szCs w:val="12"/>
          <w:u w:val="single" w:color="auto"/>
          <w:color w:val="auto"/>
        </w:rPr>
        <w:t>Safety and Tolerability</w:t>
      </w:r>
    </w:p>
    <w:p>
      <w:pPr>
        <w:spacing w:after="0" w:line="78"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Bavdegalutamide had a manageable tolerability profile at the RP2D. The majority of treatment-related adverse events, or TRAEs, were Grade 1/2 and there were no Grade 4 or greater TRAEs in the 138 patients treated at the RP2D.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TRAEs that occurred in 10% or more of patients treated at the RP2D were nausea (Gr 1: 30%; Gr 2: 16%; Gr 3: 1%), fatigue (Gr 1: 23%; Gr 2: 12%; Gr 3: 1%), vomiting (Gr 1: 20%; Gr 2: 5%; Gr 3: 1%),</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decreased appetite (Gr 1: 14%; Gr 2: 11%; Gr 3: 1%), diarrhea (Gr 1: 14%; Gr 2: 4%; Gr 3: 2%), alopecia (Gr 1: 13%; Gr 2: 1%; Gr 3: N/A) AST increased (Gr 1: 9%; Gr 2: 3%; Gr 3: 1%), weight decreased (Gr 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7%; Gr 2: 5%; Gr 3: 0%), and anemia (Gr 1: 4%; Gr 2: 1%; Gr 3: 5%).</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TRAEs at the RP2D led to dose reduction in 11 (8%) patients and discontinuation in 12 (9%) patients.</w:t>
      </w:r>
    </w:p>
    <w:p>
      <w:pPr>
        <w:spacing w:after="0" w:line="15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In the third quarter of 2023 we completed enrollment in the Phase 1b combination trial of bavdegalutamide and abiraterone. In the fourth quarter 2023, we presented interim data at ESMO from the Phase 1/2 trial with bavdegalutamide (data cut-off date August 11, 2023). In a post-NHA (median prior therapies = 4) mCRPC population, bavdegalutamide at the recommend Phase 2 dose (420 mg, oral, once daily) demonstrated:</w:t>
      </w:r>
    </w:p>
    <w:p>
      <w:pPr>
        <w:spacing w:after="0" w:line="42"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Median rPFS of 11.1 months in patients harboring AR 878/875 mutations (n=26) and median rPFS of 8.2 months in patients with tumors harboring any AR LBD mutation except L702H alone (n=45)</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PSA50 rates of 54% in patients with tumors harboring AR 878/875 mutations and 36% in patients with tumors harboring any AR LBD mutation except L702H alone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presence of AR L702H mutations greatly diminished the efficacy of bavdegalutamide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PSA50rate of 8% in patients with any tumor harboring an AR L702H mutation</w:t>
      </w:r>
    </w:p>
    <w:p>
      <w:pPr>
        <w:spacing w:after="0" w:line="78"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manageable tolerability profile with no grade &gt; 4 treatment-related adverse events (TRAEs). The most common TRAEs were nausea (56%), fatigue (35%), vomiting (33%), decreased appetite (25%) and diarrhea (24%). The discontinuation rate due to TRAEs was 12%.</w:t>
      </w:r>
    </w:p>
    <w:p>
      <w:pPr>
        <w:spacing w:after="0" w:line="10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As discussed above, while we expect to continue ongoing trial activities with bavdegalutamide (ARV-110-101 and ARV-110-103), we will not be enrolling new patients in these clinical trials and expect to wind down our bavdegalutamide program after completion of these clinical trials.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Intellectual Property</w:t>
      </w:r>
    </w:p>
    <w:p>
      <w:pPr>
        <w:spacing w:after="0" w:line="78"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Our commercial success depends in part upon our ability to secure and maintain patent and other proprietary protection for our platform protein degradation technologies, including our PROTAC targeted protein degrader programs, product candidates,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The patent positions for biotechnology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protected or remain protectable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2"/>
          <w:szCs w:val="12"/>
          <w:color w:val="auto"/>
        </w:rPr>
        <w:t>As of December 31, 2024, our patent estate that we own, co-own and in-license includes 57 issued U.S. patents, 278 granted foreign patents, and 589 pending patent applications (178 domestic and 511 foreign).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38" w:name="page39"/>
    <w:bookmarkEnd w:id="38"/>
    <w:p>
      <w:pPr>
        <w:ind w:left="420"/>
        <w:spacing w:after="0"/>
        <w:rPr>
          <w:sz w:val="20"/>
          <w:szCs w:val="20"/>
          <w:color w:val="auto"/>
        </w:rPr>
      </w:pPr>
      <w:r>
        <w:rPr>
          <w:rFonts w:ascii="Arial" w:cs="Arial" w:eastAsia="Arial" w:hAnsi="Arial"/>
          <w:sz w:val="12"/>
          <w:szCs w:val="12"/>
          <w:b w:val="1"/>
          <w:bCs w:val="1"/>
          <w:color w:val="auto"/>
        </w:rPr>
        <w:t>Vepdegestrant</w:t>
      </w:r>
    </w:p>
    <w:p>
      <w:pPr>
        <w:spacing w:after="0" w:line="78"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Vepdegestrant is a PROTAC ER targeting protein degrader for the potential treatment of metastatic and locally advanced breast cancer. As of December 31, 2024, our vepdegestrant patent portfolio includes a family with issued composition of matter patents in the U.S. and in foreign jurisdictions, including China, Japan and Europe, as well as pending applications in U.S. and certain foreign jurisdictions. Any granted patents in this family will expire in 2037, excluding any potential patent term extensions or adjustments, assuming all appropriate maintenance fees are paid. This patent portfolio also includes patent families with pending applications directed to methods of treatment with a combination of vepdegestrant and palbociclib; methods of treating breast cancer with ER mutations; crystalline forms; formulations; manufacturing methods; dosage regimens; drug treatment combinations; and drug-drug interactions in the U.S. and certain foreign jurisdictions. Patents from these additional families, if issued, will expire between 2040 and 2045, excluding any potential patent term extensions or adjustments, assuming all appropriate maintenance fees are paid.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ARV-393</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We are developing ARV-393, a PROTAC BCL6 degrader, for the potential treatment of B-cell malignancies. As of December 31, 2024, our ARV-393 patent portfolio includes a composition of matter patent family, which includes an issued U.S. patent and an issued foreign patent, as well as pending applications in the U.S. and certain foreign jurisdictions including Europe, China, and Japan, and a method of treatment patent family with pending U.S. and PCT applications, as well as one pending foreign application. Any granted patents in these families will expire between 2042 and 2044, excluding any potential patent term extensions or adjustments, assuming all appropriate maintenance fees are paid. In addition, the ARV-393 BCL6 portfolio includes pending U.S. applications directed to drug treatment combinations, and drug formulation. These additional families, if issued, will expire in 2045, excluding any potential patent term extensions or adjustments, assuming all appropriate maintenance fees are paid.</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ARV-102</w:t>
      </w:r>
    </w:p>
    <w:p>
      <w:pPr>
        <w:spacing w:after="0" w:line="78"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We are developing PROTAC LRRK2 degraders, including ARV-102, for the potential treatment of PSP, PD and other neurodegenerative disorders. As of December 31, 2024, we have one family in our LRRK2 patent portfolio directed, in part, to the composition of matter of ARV-102 that includes a granted U.S. patent as well as pending U.S. and foreign applications. Any granted patent in this family will expire in 2042, excluding any potential patent term extensions or adjustments, assuming all appropriate maintenance fees are paid. In addition, the ARV-102 portfolio includes pending U.S. and PCT applications directed to manufacturing methods. These additional applications, if issued, will expire between 2044 and 2045, excluding any potential patent term extensions or adjustments, assuming all appropriate maintenance fees are paid.</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KRAS G12D</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KRAS has historically been considered a “undruggable” target due to its lack of deep “pockets” and is associated with poor prognosis and resistance to standards of care in several tumor types. We are developing mutant-specific KRAS G12D degraders. As of December 31, 2024, our KRAS G12D patent portfolio includes a composition of matter patent family, which includes pending U.S. and PCT applications, as well as two pending foreign applications. In addition, the KRAS G12D portfolio includes a pending U.S. method of treatment application. Any granted patents in this family will expire between 2044 and 2045, excluding any potential patent term extensions or adjustments, assuming all appropriate maintenance fees are paid.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PROTAC Platform</w:t>
      </w:r>
    </w:p>
    <w:p>
      <w:pPr>
        <w:spacing w:after="0" w:line="7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Our PROTAC platform patent estate that we own, and in-license, covers constructs that have ligands for the Von Hippel Lindau, or VHL, E3 ubiquitin ligase, the cereblon, or CRBN, E3 ubiquitin ligase, the inhibitor apoptosis protein, or IAP, E3 ubiquitin ligase, and the human mouse double minute homolog (MDM2) E3 ubiquitin ligase. As of December 31, 2024, the VHL patent portfolio, which we exclusively license from Yale University, includes composition-of-matter patents in the U.S., as well as certain foreign jurisdictions, as well as pending applications in the U.S. and foreign jurisdictions including Europe, China, and Japan. Any granted patents in this family will expire in 2033, excluding any potential patent term extensions or adjustments, assuming all appropriate maintenance fees are paid. As of December 31, 2024, the CRBN patent portfolio that we own includes issued composition of matter patents in in certain foreign jurisdictions including Europe China,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39" w:name="page40"/>
    <w:bookmarkEnd w:id="39"/>
    <w:p>
      <w:pPr>
        <w:spacing w:after="0" w:line="268" w:lineRule="auto"/>
        <w:rPr>
          <w:sz w:val="20"/>
          <w:szCs w:val="20"/>
          <w:color w:val="auto"/>
        </w:rPr>
      </w:pPr>
      <w:r>
        <w:rPr>
          <w:rFonts w:ascii="Arial" w:cs="Arial" w:eastAsia="Arial" w:hAnsi="Arial"/>
          <w:sz w:val="12"/>
          <w:szCs w:val="12"/>
          <w:color w:val="auto"/>
        </w:rPr>
        <w:t>and Japan, as well as pending applications in the U.S. and certain foreign jurisdictions. Any patents in this family will expire in 2035, excluding any potential patent term extensions or adjustments, assuming all appropriate maintenance fees are paid. As of December 31, 2024, the IAP patent portfolio that we own has pending composition of matter applications in the U.S. and Europe. Any granted patents in this family will expire in 2036, excluding potential patent term extension and potential patent term adjustment, assuming all appropriate maintenance fees are paid.</w:t>
      </w:r>
    </w:p>
    <w:p>
      <w:pPr>
        <w:spacing w:after="0" w:line="114" w:lineRule="exact"/>
        <w:rPr>
          <w:sz w:val="20"/>
          <w:szCs w:val="20"/>
          <w:color w:val="auto"/>
        </w:rPr>
      </w:pPr>
    </w:p>
    <w:p>
      <w:pPr>
        <w:ind w:right="280" w:firstLine="432"/>
        <w:spacing w:after="0" w:line="286" w:lineRule="auto"/>
        <w:rPr>
          <w:sz w:val="20"/>
          <w:szCs w:val="20"/>
          <w:color w:val="auto"/>
        </w:rPr>
      </w:pPr>
      <w:r>
        <w:rPr>
          <w:rFonts w:ascii="Arial" w:cs="Arial" w:eastAsia="Arial" w:hAnsi="Arial"/>
          <w:sz w:val="12"/>
          <w:szCs w:val="12"/>
          <w:color w:val="auto"/>
        </w:rPr>
        <w:t>As of December 31, 2024, the MDM2 patent portfolio that we own includes an issued composition of matter foreign patent, and pending composition of matter applications in the U.S. and Europe. Any granted patents in this family will expire in 2036, excluding any potential patent term extensions or adjustments, assuming all appropriate maintenance fees are paid.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Bavdegalutamide (ARV-110)</w:t>
      </w:r>
    </w:p>
    <w:p>
      <w:pPr>
        <w:spacing w:after="0" w:line="7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Bavdegalutamide (ARV-110) is a PROTAC AR targeting protein degrader for the potential treatment of men with metastatic prostate cancer. As of December 31, 2024, our bavdegalutamide patent portfolio includes a family with issued composition of matter patents in the U.S. and in foreign jurisdictions including Europe, Japan, and China, as well as pending applications in the U.S. and certain foreign jurisdictions. Any granted patents in this family will expire in 2037, excluding any potential patent term extensions or adjustments, assuming all appropriate maintenance fees are paid. This patent portfolio also includes pending method of treatment applications in the U.S. and certain foreign jurisdictions, which if granted would expire in 2040, excluding any potential patent term extensions or adjustments, assuming all appropriate maintenance fees are paid. In addition, the bavdegalutamide portfolio includes patent families directed to drug treatment combinations, treatment of cancer having somatic AR tumor mutations, crystalline forms, drug formulation, and manufacturing, in the U.S. and certain foreign jurisdictions, as well as pending PCT applications. These additional families, if issued, will expire between 2041 and 2044, excluding any potential patent term extensions or adjustments, assuming all appropriate maintenance fees are paid.</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Luxdegalutamide (ARV-766)</w:t>
      </w:r>
    </w:p>
    <w:p>
      <w:pPr>
        <w:spacing w:after="0" w:line="78"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Luxdegalutamide (ARV-766) is a PROTAC AR targeting protein degrader for the potential treatment of men with metastatic prostate cancer. Pursuant to the Novartis License Agreement, we granted Novartis an exclusive worldwide license for the development, manufacture and commercialization of luxdegalutamide (ARV-766). The intellectual property rights related to ownership of inventions, patent prosecution and maintained of licensed patents, as defined in the Novartis License Agreement, are outlined in the Novartis License Agreement, including that, we own the licensed patents and Novartis has first right to file, prosecute and maintain all licensed patents and joint patents specified in the Novartis License Agreement, throughout the world. The ARV-766 patent portfolio includes a patent family directed to the ARV-766 composition of matter, which includes an issued U.S. patent and two foreign patents, including China. In addition, there are pending composition of matter pending applications in the U.S. and certain foreign jurisdictions including Europe, Japan, and China. Any granted patent in this family will expire in 2040, excluding any potential patent term extensions or adjustments, assuming all appropriate maintenance fees are paid. This patent portfolio also includes pending method of treatment applications in the U.S. and one foreign country, as well as a pending PCT application. This additional family, if issued, will expire in 2043, excluding any potential patent term extensions or adjustments, assuming all appropriate maintenance fees are paid. In addition, this portfolio includes patent families directed to crystalline forms, drug formulation, manufacturing, and drug-drug interaction, in the U.S. and one foreign jurisdiction, as well as pending PCT applications.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Co-Owned Patent Portfolios</w:t>
      </w:r>
    </w:p>
    <w:p>
      <w:pPr>
        <w:spacing w:after="0" w:line="78"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We co-own with Yale University six patent families describing composition of matter claims of PROTAC targeted protein degrader compounds addressing certain discovery and other potential protein targets, and associated methods of use. As of December 31, 2024, one or more U.S. patents have been issued in all of these families, and one or more patents have been issued in certain foreign jurisdictions for</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2"/>
          <w:szCs w:val="12"/>
          <w:color w:val="auto"/>
        </w:rPr>
        <w:t>two of these families. There are also pending patent applications in the U.S. and/or certain foreign jurisdictions in four of these families. We also co-own with Yale University a composition of matter patent family that covers constructs that have ligands for the VHL E3 ubiquitin ligase. This family includes issued patents in the U.S and certain foreign jurisdictions including Japan, and pending patent applications in the U.S. and certain foreign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t>jurisdictions. Our rights to several of these patent applications are governed by the Amended Yale University License Agreement described below in "</w:t>
      </w:r>
      <w:r>
        <w:rPr>
          <w:rFonts w:ascii="Arial" w:cs="Arial" w:eastAsia="Arial" w:hAnsi="Arial"/>
          <w:sz w:val="12"/>
          <w:szCs w:val="12"/>
          <w:i w:val="1"/>
          <w:iCs w:val="1"/>
          <w:color w:val="auto"/>
        </w:rPr>
        <w:t>Item 1. Business—Licenses and Strategic Collaborations"</w:t>
      </w:r>
      <w:r>
        <w:rPr>
          <w:rFonts w:ascii="Arial" w:cs="Arial" w:eastAsia="Arial" w:hAnsi="Arial"/>
          <w:sz w:val="12"/>
          <w:szCs w:val="12"/>
          <w:color w:val="auto"/>
        </w:rPr>
        <w:t>.</w:t>
      </w:r>
    </w:p>
    <w:p>
      <w:pPr>
        <w:spacing w:after="0" w:line="150" w:lineRule="exact"/>
        <w:rPr>
          <w:sz w:val="20"/>
          <w:szCs w:val="20"/>
          <w:color w:val="auto"/>
        </w:rPr>
      </w:pPr>
    </w:p>
    <w:p>
      <w:pPr>
        <w:ind w:right="420" w:firstLine="432"/>
        <w:spacing w:after="0" w:line="286" w:lineRule="auto"/>
        <w:rPr>
          <w:sz w:val="20"/>
          <w:szCs w:val="20"/>
          <w:color w:val="auto"/>
        </w:rPr>
      </w:pPr>
      <w:r>
        <w:rPr>
          <w:rFonts w:ascii="Arial" w:cs="Arial" w:eastAsia="Arial" w:hAnsi="Arial"/>
          <w:sz w:val="12"/>
          <w:szCs w:val="12"/>
          <w:color w:val="auto"/>
        </w:rPr>
        <w:t>We co-own four patent families with Genentech directed to PROTAC targeted protein degrader compounds addressing a specific protein. Our rights to these patent applications are governed by the Genentech License Agreement described below in "</w:t>
      </w:r>
      <w:r>
        <w:rPr>
          <w:rFonts w:ascii="Arial" w:cs="Arial" w:eastAsia="Arial" w:hAnsi="Arial"/>
          <w:sz w:val="12"/>
          <w:szCs w:val="12"/>
          <w:i w:val="1"/>
          <w:iCs w:val="1"/>
          <w:color w:val="auto"/>
        </w:rPr>
        <w:t>Item 1. Business—Licenses and Strategic Collaborations"</w:t>
      </w:r>
      <w:r>
        <w:rPr>
          <w:rFonts w:ascii="Arial" w:cs="Arial" w:eastAsia="Arial" w:hAnsi="Arial"/>
          <w:sz w:val="12"/>
          <w:szCs w:val="12"/>
          <w:color w:val="auto"/>
        </w:rPr>
        <w:t>.</w:t>
      </w:r>
    </w:p>
    <w:p>
      <w:pPr>
        <w:spacing w:after="0" w:line="103"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the term of a patent covering a drug approved by the FDA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Similar provisions are available in Europe and in certain other jurisdictions to extend the term of a patent that covers an approved drug. It is possible that issued U.S. patents covering vepdegestrant and others may be entitled to patent term extensions. If our product candidates receive FDA approval, we intend to apply for patent term extensions, if available, to extend the term of patents that cover the approved product candidates. We also intend to seek patent term extensions in any jurisdiction where they are available; however, there is no guarantee that the applicable authorities, including the FDA, will agree with our assessment of whether such extensions should be granted, and if granted, the length of such extensions.</w:t>
      </w:r>
    </w:p>
    <w:p>
      <w:pPr>
        <w:spacing w:after="0" w:line="123"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The United States also offers Patent Term Adjustment, or PTA, whereby a particular patent’s term is automatically extended beyond the 20-year term if the United States Patent and Trademark Office caused delays during the underlying patent application’s examination. However, potentially available PTA will be reduced by any amount of delay caused by the applicant.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Trade Secrets</w:t>
      </w:r>
    </w:p>
    <w:p>
      <w:pPr>
        <w:spacing w:after="0" w:line="78" w:lineRule="exact"/>
        <w:rPr>
          <w:sz w:val="20"/>
          <w:szCs w:val="20"/>
          <w:color w:val="auto"/>
        </w:rPr>
      </w:pPr>
    </w:p>
    <w:p>
      <w:pPr>
        <w:jc w:val="both"/>
        <w:ind w:right="160" w:firstLine="432"/>
        <w:spacing w:after="0" w:line="268" w:lineRule="auto"/>
        <w:rPr>
          <w:sz w:val="20"/>
          <w:szCs w:val="20"/>
          <w:color w:val="auto"/>
        </w:rPr>
      </w:pPr>
      <w:r>
        <w:rPr>
          <w:rFonts w:ascii="Arial" w:cs="Arial" w:eastAsia="Arial" w:hAnsi="Arial"/>
          <w:sz w:val="12"/>
          <w:szCs w:val="12"/>
          <w:color w:val="auto"/>
        </w:rPr>
        <w:t>We also rely on trade secrets, technical know-how and continuing innovation to develop and maintain our competitive advantage. Our policy requires inventors who are identified on any company-owned patent applications to assign rights to us. We also rely on confidentiality agreements with our employees, consultants and other advisors to protect our proprietary information. Our policy is to require third parties that receive material confidential information to enter into confidentiality agreements with us.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Trademarks</w:t>
      </w:r>
    </w:p>
    <w:p>
      <w:pPr>
        <w:spacing w:after="0" w:line="78"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We own U.S. trademark and service mark registrations for ARVINAS in word and logo form for pharmaceutical preparations and pharmaceutical products development of cellular proteins for treatment in the fields of oncology, immunology, inflammatory diseases, and central nervous system disorders. The ARVINAS word mark is registered for pharmaceutical products development services in Australia, China, the EU, Japan, Norway, South Korea, and Switzerland, and is pending registration in several other countries. The ARVINAS word mark is also registered for pharmaceutical products in Australia, Brazil, China, Colombia, the EU, Hong Kong, India, Indonesia, Israel, Japan, Mexico, New Zealand, Norway, Singapore, South Africa, South Korea, Switzerland, Taiwan, and the United Kingdom, and is pending registration in several other countries. The ARVINAS logo mark is registered for pharmaceutical products development services in China, the EU, and the United Kingdom, and is pending registration in several other countries. The ARVINAS logo mark is registered for pharmaceutical products development services in Australia, China, the EU, Japan, Norway, Switzerland, and the United Kingdom, and is pending registration in several other countries. The ARVINAS logo mark is also registered for pharmaceutical products in Australia, Brazil, Colombia, the EU, Hong Kong, Indonesia, Israel, Japan, Mexico, New Zealand, Norway, Singapore, South Korea, Switzerland, Taiwan, and the United Kingdom, and is pending registration in several other countries.</w:t>
      </w:r>
    </w:p>
    <w:p>
      <w:pPr>
        <w:spacing w:after="0" w:line="123"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We also own U.S. service mark registrations for our “degrading dots” logo mark in both black and white and color form for pharmaceutical products development of new small molecules aimed at degrading disease-causing cellular proteins for treatment in the fields of oncology, immunology, inflammatory diseases, and central nervous system disorders.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41" w:name="page42"/>
    <w:bookmarkEnd w:id="41"/>
    <w:p>
      <w:pPr>
        <w:ind w:firstLine="432"/>
        <w:spacing w:after="0" w:line="268" w:lineRule="auto"/>
        <w:rPr>
          <w:sz w:val="20"/>
          <w:szCs w:val="20"/>
          <w:color w:val="auto"/>
        </w:rPr>
      </w:pPr>
      <w:r>
        <w:rPr>
          <w:rFonts w:ascii="Arial" w:cs="Arial" w:eastAsia="Arial" w:hAnsi="Arial"/>
          <w:sz w:val="12"/>
          <w:szCs w:val="12"/>
          <w:color w:val="auto"/>
        </w:rPr>
        <w:t>Although we requested express cancellation of our trademark registrations for PROTAC with respect to pharmaceutical uses in October 2024 (with decision expected by late Spring 2025) in connection with our goal of encouraging broader use of the PROTAC term by others in this context, we own pending applications in the U.S. for the PROTAC mark for bi-functional small molecules that mediate targeted protein degradation through the ubiquitin proteasome system for agricultural and pesticide use and agricultural products development services. These applications are licensed for use by Oerth Bio.</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connection with our vepdegestrant pipeline product vepdegestrant, we have filed trademark applications in the U.S. and internationally for a number of brand name candidates.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Licenses and Strategic Collaborations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Pfizer Vepdegestrant (ARV-471) Collaboration Agreement</w:t>
      </w:r>
    </w:p>
    <w:p>
      <w:pPr>
        <w:spacing w:after="0" w:line="78"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In July 2021, we entered into a collaboration agreement with Pfizer, or the Vepdegestrant (ARV-471) Collaboration Agreement, pursuant to which we granted Pfizer worldwide co-exclusive rights to develop and commercialize products containing our proprietary compound vepdegestrant (ARV-471), or the Licensed Products.</w:t>
      </w:r>
    </w:p>
    <w:p>
      <w:pPr>
        <w:spacing w:after="0" w:line="103"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Under the Vepdegestrant (ARV-471) Collaboration Agreement, we received an upfront, non-refundable payment of $650 million. In addition, we are eligible to receive up to an additional $1.4 billion in contingent payments based on specified regulatory and sales-based milestones for the Licensed Products. Of the total contingent payments, $400 million in regulatory milestones are related to marketing approvals and $1.0 billion are related to sales-based milestones.</w:t>
      </w:r>
    </w:p>
    <w:p>
      <w:pPr>
        <w:spacing w:after="0" w:line="114"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We and Pfizer share equally (50/50) all development costs (including costs for conducting any clinical trials) for the Licensed Products, subject to certain exceptions. Except for certain regions described below, we will also share equally (50/50) all profits and losses in commercialization and medical affairs activities for the Licensed Products in all other countries, subject to certain exceptions.</w:t>
      </w:r>
    </w:p>
    <w:p>
      <w:pPr>
        <w:spacing w:after="0" w:line="103"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We will be the marketing authorization applicant and, subject to approval, can book sales in the United States, while Pfizer will hold marketing authorizations outside the United States. We will determine with Pfizer which, if any, regions within the world will be solely commercialized by one party, and in such region the parties will adjust their share of all profits and losses for the Licensed Products based on the role each party will be performing.</w:t>
      </w:r>
    </w:p>
    <w:p>
      <w:pPr>
        <w:spacing w:after="0" w:line="1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Unless earlier terminated in accordance with its terms, the Vepdegestrant (ARV-471) Collaboration Agreement will expire on a Licensed Product-by-Licensed Product and country-by-country basis when such Licensed Products is no longer commercialized or developed for commercialization in such country. Pfizer may terminate the Vepdegestrant (ARV-471) Collaboration Agreement for convenience in its entirety or on a region-by-region basis subject to certain notice periods. Either party may terminate the Vepdegestrant (ARV-471) Collaboration Agreement for the other party’s uncured material breach or insolvency. Subject to applicable terms of the Vepdegestrant (ARV-471) Collaboration Agreement, including certain payments to Pfizer upon termination for our uncured material breach, effective upon termination of the Vepdegestrant (ARV-471) Collaboration Agreement, we are entitled to retain specified licenses to be able to continue to exploit the Licensed Products.</w:t>
      </w:r>
    </w:p>
    <w:p>
      <w:pPr>
        <w:spacing w:after="0" w:line="119" w:lineRule="exact"/>
        <w:rPr>
          <w:sz w:val="20"/>
          <w:szCs w:val="20"/>
          <w:color w:val="auto"/>
        </w:rPr>
      </w:pPr>
    </w:p>
    <w:p>
      <w:pPr>
        <w:ind w:right="580" w:firstLine="432"/>
        <w:spacing w:after="0" w:line="286" w:lineRule="auto"/>
        <w:rPr>
          <w:sz w:val="20"/>
          <w:szCs w:val="20"/>
          <w:color w:val="auto"/>
        </w:rPr>
      </w:pPr>
      <w:r>
        <w:rPr>
          <w:rFonts w:ascii="Arial" w:cs="Arial" w:eastAsia="Arial" w:hAnsi="Arial"/>
          <w:sz w:val="12"/>
          <w:szCs w:val="12"/>
          <w:color w:val="auto"/>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Novartis Transaction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April 2024, we entered into the Novartis Transaction, including both the Novartis License Agreement and the Novartis Asset Agreement, with Novartis. The Novartis Transaction closed in May 2024 upon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auto"/>
        </w:rPr>
        <w:t>expiration of the waiting period under the Hart-Scott-Rodino Antitrust Improvements Act of 1976, at which time the Novartis License Agreement and the Novartis Asset Agreement became effective.</w:t>
      </w:r>
    </w:p>
    <w:p>
      <w:pPr>
        <w:spacing w:after="0" w:line="150"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w:t>
      </w:r>
    </w:p>
    <w:p>
      <w:pPr>
        <w:spacing w:after="0" w:line="114"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The Novartis License Agreement will expire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Amended Yale University License Agreement</w:t>
      </w:r>
    </w:p>
    <w:p>
      <w:pPr>
        <w:spacing w:after="0" w:line="78"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In June 2024, we entered into an Amended and Restated License Agreement, or the Amended License Agreement, with Yale, pursuant to which the parties amended and restated the license agreement dated July 5, 2013, as amended to such date, or the Original Yale Agreement. Pursuant to the Original Yale Agreement, Yale granted us an exclusive, worldwide license under specified intellectual property rights for the treatment or prevention of any human or animal disease in which a product mediates degradation of one or more target proteins, which we refer to as the Field, subject to certain exceptions. These licensed intellectual property rights arose from the research conducted by Dr. Craig Crews at Yale.</w:t>
      </w:r>
    </w:p>
    <w:p>
      <w:pPr>
        <w:spacing w:after="0" w:line="117"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Pursuant to the Original Yale Agreement, we paid to Yale an upfront payment of $0.1 million and we were responsible for paying Yale an annual license maintenance fee in varying amounts (ranging from the low tens-thousands of dollars to the mid to high tens-thousands of dollars) until the first sale to a third party of any licensed product, which is creditable against our royalty obligations for the given year. As of December 31, 2023, we paid a total of $0.7 million in license maintenance fees to Yale. In connection with the signing of the Amended License Agreement, our obligations under the Original Agreement to pay Yale minimum annual royalties and certain other annual fees were eliminated, and Yale agreed to release all claims arising previously under the Original Agreement.</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Also in connection with the signing of the Amended License Agreement, we made a payment of $14.95 million to Yale, comprising both an upfront payment connected to the Amended License Agreement and an amount related to the collaboration income under the Novartis License Agreement and Novartis Asset Agreement (see Note 3, </w:t>
      </w:r>
      <w:r>
        <w:rPr>
          <w:rFonts w:ascii="Arial" w:cs="Arial" w:eastAsia="Arial" w:hAnsi="Arial"/>
          <w:sz w:val="12"/>
          <w:szCs w:val="12"/>
          <w:i w:val="1"/>
          <w:iCs w:val="1"/>
          <w:color w:val="auto"/>
        </w:rPr>
        <w:t>Research Collaboration and License Agreements</w:t>
      </w:r>
      <w:r>
        <w:rPr>
          <w:rFonts w:ascii="Arial" w:cs="Arial" w:eastAsia="Arial" w:hAnsi="Arial"/>
          <w:sz w:val="12"/>
          <w:szCs w:val="12"/>
          <w:color w:val="auto"/>
        </w:rPr>
        <w:t>, for a description of the agreements). We will make another $5.0 million payment on the first anniversary of signing. Thereafter, we will also pay to Yale (1) up to $ 15.0 million if it secures approval of the first and second royalty products (as defined in the Amended License Agreement), (2) a low single digit percentage royalty on certain, more narrowly defined “collaboration products,” and (3) a lower single digit royalty on its aggregate worldwide net sales of certain newly defined “meaningfully involved products.”</w:t>
      </w:r>
    </w:p>
    <w:p>
      <w:pPr>
        <w:spacing w:after="0" w:line="119" w:lineRule="exact"/>
        <w:rPr>
          <w:sz w:val="20"/>
          <w:szCs w:val="20"/>
          <w:color w:val="auto"/>
        </w:rPr>
      </w:pPr>
    </w:p>
    <w:p>
      <w:pPr>
        <w:jc w:val="both"/>
        <w:ind w:right="40" w:firstLine="432"/>
        <w:spacing w:after="0" w:line="262" w:lineRule="auto"/>
        <w:rPr>
          <w:sz w:val="20"/>
          <w:szCs w:val="20"/>
          <w:color w:val="auto"/>
        </w:rPr>
      </w:pPr>
      <w:r>
        <w:rPr>
          <w:rFonts w:ascii="Arial" w:cs="Arial" w:eastAsia="Arial" w:hAnsi="Arial"/>
          <w:sz w:val="12"/>
          <w:szCs w:val="12"/>
          <w:color w:val="auto"/>
        </w:rPr>
        <w:t>Other provisions of the Original Agreement remain materially unchanged under the Amended License Agreement, including the 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$3.0 million for the first licensed product and approximately $1.5 million for the second licensed product, certain of which milestones have already been satisfied. We are also required to pay to Yale low single-</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43" w:name="page44"/>
    <w:bookmarkEnd w:id="43"/>
    <w:p>
      <w:pPr>
        <w:ind w:right="100"/>
        <w:spacing w:after="0" w:line="268" w:lineRule="auto"/>
        <w:rPr>
          <w:sz w:val="20"/>
          <w:szCs w:val="20"/>
          <w:color w:val="auto"/>
        </w:rPr>
      </w:pPr>
      <w:r>
        <w:rPr>
          <w:rFonts w:ascii="Arial" w:cs="Arial" w:eastAsia="Arial" w:hAnsi="Arial"/>
          <w:sz w:val="12"/>
          <w:szCs w:val="12"/>
          <w:color w:val="auto"/>
        </w:rPr>
        <w:t>digit royalties on aggregate worldwide net sales of certain licensed products, which may be subject to reductions, and subject to minimum royalty payments that range from $0.2 million to $0.5 million. We are also responsible for costs relating to the prosecution and maintenance of the licensed patents. Finally, subject to certain conditions, all payments made by us to Yale (except patent costs) will be tripled during the pendency of any patent challenge made by us against Yale.</w:t>
      </w:r>
    </w:p>
    <w:p>
      <w:pPr>
        <w:spacing w:after="0" w:line="1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Amended License Agreement remains in effect until (a) for certain products, the date on which the last claim of the licensed patents expires; and (b) for certain products, 10 years after the sale of such products. The expiration of the last to expire patent right licensed from Yale, if it issues as a patent and all appropriate maintenance fees are paid, is currently expected be in 2039. Either we or Yale may terminate the agreement for the other party’s uncured material breach of certain provisions, we may terminate the agreement for convenience upon six months’ prior notice, and Yale may terminate the agreement if we fail to make a payment when due, fail to obtain or maintain adequate insurance coverage or fail to achieve specified financing or regulatory milestone events. The agreement will automatically terminate if we become insolvent.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Genentech License Agreement</w:t>
      </w:r>
    </w:p>
    <w:p>
      <w:pPr>
        <w:spacing w:after="0" w:line="7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In September 2015, we entered into an Option and License Agreement with Genentech focused on PROTAC targeted protein degrader discovery and research for target proteins, or Targets, based on our proprietary platform technology, other than excluded Targets as described below. Pursuant to this agreement, Genentech had an option to obtain an exclusive worldwide license to the applicable PROTAC targeted protein degraders directed against an applicable Target, which we refer to as Licensed PROTACs. Each such option was required to be exercised within a specified time after we deliver the data package for such Licensed PROTAC to Genentech. Once Genentech exercises an option, it is responsible, at its cost, to use diligent efforts to develop and commercialize the Licensed PROTAC through first commercial sale in the United States, the European Union and Japan. This collaboration was expanded in November 2017 through an Amended and Restated Option, License and Collaboration Agreement, which we refer to as the Restated Genentech Agreement. Simultaneous with entering into the Restated Genentech Agreement, Genentech exercised its exclusive option with respect to a PROTAC targeted protein degrader. We receive annual updates on research and development activities related to this option.</w:t>
      </w:r>
    </w:p>
    <w:p>
      <w:pPr>
        <w:spacing w:after="0" w:line="122"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Under the Restated Genentech Agreement, Genentech had the right to designate up to ten Targets for further discovery and research utilizing our PROTAC platform technology and also had the right to remove a Target from the collaboration and substitute a different Target that is not an excluded Target at any time prior to us commencing research on such Target or in certain circumstances following commencement of research by us. The research phase of the collaboration with Genentech has ended. Genentech is no longer able to nominate new targets into the collaboration, and there are no active targets in the collaboration for which Arvinas was conducting research activities.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Under the terms of the Restated Genentech Agreement, we received $11.0 million in 2015 and an additional $34.5 million in 2017 in upfront payments and expansion target payments. We are also eligible to receive payments aggregating up to $44.0 million per Target subject to the achievement of specified development milestones; payments aggregating up to $52.5 million per Target (assuming approval of two indications) subject to the achievement of specified regulatory milestones; and payments aggregating up to $60 million per Licensed PROTAC subject to the achievement of specified sales milestones. These milestone payments are subject to reduction if we do not have a valid patent claim covering the Licensed PROTAC at the time the milestone is achieved. We are also eligible to receive, on net sales of Licensed PROTACs, mid-single digit royalties, which may be subject to reductions.</w:t>
      </w:r>
    </w:p>
    <w:p>
      <w:pPr>
        <w:spacing w:after="0" w:line="11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Unless earlier terminated, the Restated Genentech Agreement will expire upon the expiration of all royalty periods for any Licensed PROTACs. The royalty period for each Licensed PROTAC expires on a country-by-country basis upon either (1) the expiration of the last-to-expire valid patent claim covering such Licensed PROTAC or (2) ten years after the first commercial sale with respect to such Licensed PROTAC, depending on whether the sale of the Licensed PROTAC is covered by an applicable valid claim. The expiration of the last to expire patent right licensed to Genentech, if it issues as a patent and all appropriate maintenance fees are paid, is currently expected be in 2042. We could also obtain rights to additional patents, including through the issuance of pending patent applications, with later expiration dates, or new Licensed PROTACs could be added to the agreement that are subject to additional royalty terms with later expiration dates, which 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2"/>
          <w:szCs w:val="12"/>
          <w:color w:val="auto"/>
        </w:rPr>
        <w:t>either case could extend the term of the Restated Genentech Agreement. Genentech has the right to terminate the Restated Genentech Agreement for convenience in its entirety or with respect to a specific Target on 60 days’ prior notice. Either we or Genentech may terminate the agreement, in its entirety or with respect to a specific Target, if the other party is in material breach and such breach is not cured within the specified cure period. In addition, either we or Genentech may terminate the agreement in the event of specified insolvency events involving the other party. If Genentech terminates the agreement for convenience or if we terminate the agreement as a result of Genentech’s uncured material breach or Genentech’s insolvency, all licenses we granted to Genentech terminate (either in its entirety or with respect to a specific Target, as applicable based on the nature of the termination). If Genentech terminates the agreement as a result of our uncured material breach or our insolvency, all licenses that we granted to Genentech terminate (either in its entirety or with respect to a specific Target, as applicable based on the nature of the termination), except that Genentech has the right to elect to retain its licenses, in which case it would no longer be obligated to use diligent efforts to develop and commercialize the applicable Licensed PROTACs and its payment obligations to us would be reduced.</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Pfizer Research Collaboration Agreement</w:t>
      </w:r>
    </w:p>
    <w:p>
      <w:pPr>
        <w:spacing w:after="0" w:line="78"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In December 2017, we entered into a Research Collaboration and License Agreement with Pfizer setting forth our collaboration to identify or optimize PROTAC targeted protein degraders that mediate for degradation of Targets using our proprietary platform technology that are identified in the agreement or subsequently selected by Pfizer, subject to certain exclusions. We refer to this agreement as the Pfizer Research Collaboration Agreement.</w:t>
      </w:r>
    </w:p>
    <w:p>
      <w:pPr>
        <w:spacing w:after="0" w:line="114" w:lineRule="exact"/>
        <w:rPr>
          <w:sz w:val="20"/>
          <w:szCs w:val="20"/>
          <w:color w:val="auto"/>
        </w:rPr>
      </w:pPr>
    </w:p>
    <w:p>
      <w:pPr>
        <w:ind w:right="280" w:firstLine="432"/>
        <w:spacing w:after="0" w:line="286" w:lineRule="auto"/>
        <w:rPr>
          <w:sz w:val="20"/>
          <w:szCs w:val="20"/>
          <w:color w:val="auto"/>
        </w:rPr>
      </w:pPr>
      <w:r>
        <w:rPr>
          <w:rFonts w:ascii="Arial" w:cs="Arial" w:eastAsia="Arial" w:hAnsi="Arial"/>
          <w:sz w:val="12"/>
          <w:szCs w:val="12"/>
          <w:color w:val="auto"/>
        </w:rPr>
        <w:t>Under the Pfizer Research Collaboration Agreement, Pfizer has designated a number of initial Targets. For each identified Target, we and Pfizer will conduct a separate research program pursuant to a research plan. Pfizer may make substitutions for any of the initial Target candidates, which substitutions are limited subject to the stage of research for such Target.</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and Pfizer are obligated to use commercially reasonable efforts to complete our respective activities set forth in a research plan, including, in our case, the obligation to provide certain deliverables at the end of each stage. Under the research plan, we are required to provide compound formulation and conduct pharmacokinetic/pharmacodynamic and drug safety research and development activities in support of screening and other activities conducted by Pfizer relating to a Target. Following the provision of the deliverables by us for a stage, we will suspend the conduct of any further activities until Pfizer has exercised its right to proceed. If Pfizer does not exercise such right within the applicable time period, we will cease activities for such Target and such Target will no longer be part of the collaboration. Each party will bear its own costs in the conduct of such activities, except that any additional work that we agree with Pfizer to perform outside of the research plan will be paid for by Pfizer.</w:t>
      </w:r>
    </w:p>
    <w:p>
      <w:pPr>
        <w:spacing w:after="0" w:line="119"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Pfizer has the right to exercise an option to obtain an exclusive worldwide license with respect to each Target for a specified period of time after receipt of the applicable deliverables for such Target. If Pfizer does not exercise its option for a Target, such Target is no longer subject to the Pfizer Research Collaboration Agreement. If Pfizer exercises such option, Pfizer will have an exclusive license to develop and commercialize compounds directed against such Target, subject to certain diligence obligations.</w:t>
      </w:r>
    </w:p>
    <w:p>
      <w:pPr>
        <w:spacing w:after="0" w:line="114"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During the term of the Pfizer Research Collaboration Agreement, we and our affiliates are not permitted, either directly or indirectly, to develop or commercialize any pharmacologically-active agent whose primary mechanism of action is, by design, directed to a Target, or grant any license, covenant not to sue or other right to any third party for the conduct of such activities. There are no restrictions on Pfizer from developing, manufacturing or commercializing products, programs, technologies or processes that are similar to or may compete with any covered by the Pfizer Research Collaboration Agreement, subject to certain limitations on Pfizer’s right to use our confidential information or know-how.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45" w:name="page46"/>
    <w:bookmarkEnd w:id="45"/>
    <w:p>
      <w:pPr>
        <w:ind w:right="120" w:firstLine="432"/>
        <w:spacing w:after="0" w:line="259" w:lineRule="auto"/>
        <w:rPr>
          <w:sz w:val="20"/>
          <w:szCs w:val="20"/>
          <w:color w:val="auto"/>
        </w:rPr>
      </w:pPr>
      <w:r>
        <w:rPr>
          <w:rFonts w:ascii="Arial" w:cs="Arial" w:eastAsia="Arial" w:hAnsi="Arial"/>
          <w:sz w:val="12"/>
          <w:szCs w:val="12"/>
          <w:color w:val="auto"/>
        </w:rPr>
        <w:t>In the year ended December 31, 2018, we received an upfront, non-refundable payment and certain additional payments totaling $ 28.0 million in exchange for use of our technology license and to fund Pfizer-related research as defined within the Pfizer Research Collaboration Agreement. We are eligible to receive up to an additional $37.5 million in non-refundable option payments if Pfizer exercises its options for all targets under the Pfizer Research Collaboration Agreement. We are also entitled to receive up to $225.0 million in development milestone payments and up to $550.0 million in sales-based milestone payments for all designated targets under the Pfizer Research Collaboration Agreement, as well as mid- to high-single digit tiered royalties, which may be subject to reductions, on net sales of PROTAC targeted protein degrader-related products. Pfizer selected additional targets and initiated additional services totaling $1.0 million and $3.5 million in December 2022 and 2021, respectively.</w:t>
      </w:r>
    </w:p>
    <w:p>
      <w:pPr>
        <w:spacing w:after="0" w:line="119"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Unless earlier terminated, the Pfizer Research Collaboration Agreement will expire upon the expiration of all royalty obligations thereunder. The royalty period for each product developed under the Pfizer Research Collaboration Agreement will expire on a country-by-country basis upon the later of (1) the expiration of the last-to-expire valid patent claim that claims or covers the composition of matter of a compound contained within such product or (2) ten years after the first commercial sale with respect to such product. Pfizer has the right to terminate the Pfizer Research Collaboration Agreement for convenience in its entirety or with respect to a specific target on 60 days’ prior notice. Either we or Pfizer may terminate the Pfizer Research Collaboration Agreement, in its entirety or with respect to a specific target, if the other party is in material breach and such breach is not cured within the specified cure period. In addition, either we or Pfizer may terminate the Pfizer Research Collaboration Agreement in the event of specified insolvency events involving the other party. If Pfizer terminates the agreement in its entirety or as a result of our uncured material breach or our insolvency, Pfizer retains its license with respect to Targets for which it has exercised an option (unless Pfizer elects otherwise), subject to reduced payment obligations.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Bayer Collaboration Agreement</w:t>
      </w:r>
    </w:p>
    <w:p>
      <w:pPr>
        <w:spacing w:after="0" w:line="78"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In June 2019, we entered into a Collaboration and License Agreement with Bayer setting forth our collaboration to identify or optimize PROTAC targeted protein degraders, that mediate for degradation of Targets using our proprietary platform technology, which Targets Bayer had the right to select, subject to certain exclusions and limitations. We refer to this agreement as the Bayer Collaboration Agreement. The Bayer Collaboration Agreement became effective in July 2019. Pursuant to notice from Bayer AG in accordance with the terms of the Bayer Collaboration Agreement, the Bayer Collaboration Agreement was terminated, effective August 12, 2024.</w:t>
      </w:r>
    </w:p>
    <w:p>
      <w:pPr>
        <w:spacing w:after="0" w:line="117"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Under the Bayer Collaboration Agreement, for the identified Targets, we and Bayer conducted a research program pursuant to separate research plans tailored to each Target selected by Bayer. Bayer could make substitutions for any such initial Target candidates, subject to certain conditions and based on the stage of research for such Target.</w:t>
      </w:r>
    </w:p>
    <w:p>
      <w:pPr>
        <w:spacing w:after="0" w:line="103"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We and Bayer were obligated to use commercially reasonable efforts to complete our respective activities set forth in each research plan, including, in our case, the obligation to provide certain deliverables at certain stages of the research plans. Under the Bayer Collaboration Agreement, the joint steering committee established under the collaboration determined whether the research program with respect to a given Target has been completed. In the absence of any such determination by the joint steering committee, and unless otherwise agreed by the parties in writing, for each Target for which research program activities commenced, if no research funding is allocated to such Target for the 12 month period commencing on July 1, 2019 or any anniversary thereof, and we referred to each as a Research Program Year, the research program with respect to the relevant Target were to be deemed completed as of the end of the last Research Program Year for which funding was allocated to such Target. Bayer was required to pay to us research funding payments of $3.0 million dollars per year in each of the first four Research Program Years. If our costs for its research activities under the research plans exceeded the research funding provided by Bayer for any Research Program Year before completion of all relevant research program activities in such Research Program Year, and we complied with its reporting obligations to Bayer with respect to research program costs, we were not obligated to carry out further research program activities for the given Research Program Year unless Bayer agreed in writing to fund such additional activities.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46" w:name="page47"/>
    <w:bookmarkEnd w:id="46"/>
    <w:p>
      <w:pPr>
        <w:ind w:right="140" w:firstLine="432"/>
        <w:spacing w:after="0" w:line="259" w:lineRule="auto"/>
        <w:rPr>
          <w:sz w:val="20"/>
          <w:szCs w:val="20"/>
          <w:color w:val="auto"/>
        </w:rPr>
      </w:pPr>
      <w:r>
        <w:rPr>
          <w:rFonts w:ascii="Arial" w:cs="Arial" w:eastAsia="Arial" w:hAnsi="Arial"/>
          <w:sz w:val="12"/>
          <w:szCs w:val="12"/>
          <w:color w:val="auto"/>
        </w:rPr>
        <w:t>During the term of the Bayer Collaboration Agreement, we and our affiliates were not permitted, either directly or indirectly, to design, identify, discover or develop any small molecule pharmacologically-active agent whose primary mechanism of action is, by design, directed to the inhibition or degradation of any Target selected or reserved by Bayer, or grant any license, covenant not to sue or other right to any third party in the field of human disease under the licensed intellectual property for the conduct of such activities. There were no restrictions on Bayer from developing, manufacturing or commercializing products, programs, technologies or processes that are similar to or may compete with any covered by the Bayer Collaboration Agreement, subject to certain limitations on Bayer’s right to use the Arvinas’ confidential information or know-how.</w:t>
      </w:r>
    </w:p>
    <w:p>
      <w:pPr>
        <w:spacing w:after="0" w:line="119" w:lineRule="exact"/>
        <w:rPr>
          <w:sz w:val="20"/>
          <w:szCs w:val="20"/>
          <w:color w:val="auto"/>
        </w:rPr>
      </w:pPr>
    </w:p>
    <w:p>
      <w:pPr>
        <w:ind w:right="200" w:firstLine="432"/>
        <w:spacing w:after="0" w:line="262" w:lineRule="auto"/>
        <w:rPr>
          <w:sz w:val="20"/>
          <w:szCs w:val="20"/>
          <w:color w:val="auto"/>
        </w:rPr>
      </w:pPr>
      <w:r>
        <w:rPr>
          <w:rFonts w:ascii="Arial" w:cs="Arial" w:eastAsia="Arial" w:hAnsi="Arial"/>
          <w:sz w:val="12"/>
          <w:szCs w:val="12"/>
          <w:color w:val="auto"/>
        </w:rPr>
        <w:t>Under the terms of the Bayer Collaboration Agreement, we received an aggregate upfront, non-refundable payment of $17.5 million in August 2019. In addition, we received an additional $12.0 million in research funding payments from Bayer from inception through 2023. We were also eligible to receive up to $197.5 million in development milestones and up to $490.0 million in sales-based milestones for all designated Targets. In addition, we were eligible to receive, on net sales of PROTAC targeted protein degrader-related products, mid-single digit to low-double digit tiered royalties, which may be subject to reductions.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Bayer Joint Venture</w:t>
      </w:r>
    </w:p>
    <w:p>
      <w:pPr>
        <w:spacing w:after="0" w:line="78"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In July 2019, we, Bayer and Bayer CropScience LP, or BCS, formed a joint venture, Oerth Bio, initially a Delaware limited liability company. We and BCS each received an initial ownership interest in Oerth Bio representing 50% of the ownership interests. Oerth Bio was formed for the purpose of researching, developing and commercializing PROTAC targeted protein degraders, or PROTAC Products, for applications in the field of agriculture. A 15% ownership interest of Oerth Bio was reserved for the future grant of incentive units to employees and service providers of Oerth Bio and, as a result, our ownership interest totaled 43.6%, 45.0% and 46.5% as of December 31, 2024, 2023 and 2022, respectively, as a result of vested incentive units.</w:t>
      </w:r>
    </w:p>
    <w:p>
      <w:pPr>
        <w:spacing w:after="0" w:line="117"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In exchange for the ownership interests in Oerth Bio, we made an in-kind intellectual property contribution to Oerth Bio and BCS made an in-kind intellectual property contribution to Oerth Bio. In addition, BCS committed and subsequently made cash contributions to Oerth Bio totaling $56.0 million. Under the joint venture agreement, we have no obligation to provide additional funding and our ownership interest will not be diluted from future contributions from BCS.</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Our and BCS’s ownership interest in Oerth Bio, and the accompanying rights and obligations as members of Oerth Bio, are governed by an amended and restated limited liability company agreement, or LLC Agreement, by and among us, BCS and Oerth Bio. Oerth Bio is generally governed by a board of managers, or the JV Board, which is comprised of four voting members, two of which have been designated by us and two of which have been designated by BCS. JV Board decisions will generally be made by majority vote of the managers, with each manager having one vote. Certain matters will require the consent of both BCS and the Company or both of their designated managers on the JV Board. As Oerth Bio is jointly controlled by us and BCS, we account for our ownership interest using the equity method of accounting.</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We and BCS also entered into separate service agreements, or the Services Agreements. We and BCS will provide services to Oerth Bio as agreed from time to time by us and BCS, as applicable, and set forth in statements of work to be delivered under the applicable Services Agreement.</w:t>
      </w:r>
    </w:p>
    <w:p>
      <w:pPr>
        <w:spacing w:after="0" w:line="103" w:lineRule="exact"/>
        <w:rPr>
          <w:sz w:val="20"/>
          <w:szCs w:val="20"/>
          <w:color w:val="auto"/>
        </w:rPr>
      </w:pPr>
    </w:p>
    <w:p>
      <w:pPr>
        <w:ind w:right="220" w:firstLine="432"/>
        <w:spacing w:after="0" w:line="268" w:lineRule="auto"/>
        <w:rPr>
          <w:sz w:val="20"/>
          <w:szCs w:val="20"/>
          <w:color w:val="auto"/>
        </w:rPr>
      </w:pPr>
      <w:r>
        <w:rPr>
          <w:rFonts w:ascii="Arial" w:cs="Arial" w:eastAsia="Arial" w:hAnsi="Arial"/>
          <w:sz w:val="12"/>
          <w:szCs w:val="12"/>
          <w:color w:val="auto"/>
        </w:rPr>
        <w:t>We and BCS each also entered into respective intellectual property contribution agreements, each, an IP Contribution Agreement, with Oerth Bio. Pursuant to the IP Contribution Agreement by and between us and Oerth Bio, or the Company IP Contribution Agreement, in addition to certain non-exclusive licenses, we granted to Oerth Bio an exclusive, worldwide, fully paid-up, royalty-free license, including certain rights to sublicense, to use certain of our PROTAC technology to research, develop, manufacture, use and commercialize and sell PROTAC Products in the field of agriculture.</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Pursuant to the IP Contribution Agreement by and between BCS and Oerth Bio, or the BCS IP Contribution Agreement, in addition to certain non-exclusive licenses, BCS and certain of its affiliates granted to Oerth Bio an exclusive, worldwide, fully paid-up, royalty-free license, including certain rights to sublicense, to use certain of BCS’ or its affiliates’ intellectual property that covers ubiquitin ligases or moieties that bind ubiquitin ligase complexes, and linkers that attach ubiquitin ligase binding moieties to moieties that bind to 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target, to research, develop, manufacture, use and commercialize and sell PROTAC Products in the field of agriculture.</w:t>
      </w:r>
    </w:p>
    <w:p>
      <w:pPr>
        <w:spacing w:after="0" w:line="150"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The Company IP Contribution Agreement and the BCS IP Contribution Agreement also contain a non-exclusive, worldwide, fully paid-up, royalty-free license grant from Oerth Bio to each of us and BCS, respectively, under various forms of intellectual property developed by Oerth Bio to research, develop, manufacture, use and commercialize products outside of the field of agriculture, in each case excluding intellectual property licensed by the other contributing party to Oerth Bio.</w:t>
      </w:r>
    </w:p>
    <w:p>
      <w:pPr>
        <w:spacing w:after="0" w:line="114" w:lineRule="exact"/>
        <w:rPr>
          <w:sz w:val="20"/>
          <w:szCs w:val="20"/>
          <w:color w:val="auto"/>
        </w:rPr>
      </w:pPr>
    </w:p>
    <w:p>
      <w:pPr>
        <w:ind w:right="300" w:firstLine="432"/>
        <w:spacing w:after="0" w:line="286" w:lineRule="auto"/>
        <w:rPr>
          <w:sz w:val="20"/>
          <w:szCs w:val="20"/>
          <w:color w:val="auto"/>
        </w:rPr>
      </w:pPr>
      <w:r>
        <w:rPr>
          <w:rFonts w:ascii="Arial" w:cs="Arial" w:eastAsia="Arial" w:hAnsi="Arial"/>
          <w:sz w:val="12"/>
          <w:szCs w:val="12"/>
          <w:color w:val="auto"/>
        </w:rPr>
        <w:t>We, Oerth Bio and BCS also entered into an option agreement, or the Option Agreement, pursuant to which the parties agreed to certain procedures for, and preferential rights relating to, the possible transfer to BCS of PROTAC Product candidates researched, developed and commercialized by Oerth Bio under the joint venture.</w:t>
      </w:r>
    </w:p>
    <w:p>
      <w:pPr>
        <w:spacing w:after="0" w:line="103" w:lineRule="exact"/>
        <w:rPr>
          <w:sz w:val="20"/>
          <w:szCs w:val="20"/>
          <w:color w:val="auto"/>
        </w:rPr>
      </w:pPr>
    </w:p>
    <w:p>
      <w:pPr>
        <w:ind w:right="580" w:firstLine="432"/>
        <w:spacing w:after="0" w:line="286" w:lineRule="auto"/>
        <w:rPr>
          <w:sz w:val="20"/>
          <w:szCs w:val="20"/>
          <w:color w:val="auto"/>
        </w:rPr>
      </w:pPr>
      <w:r>
        <w:rPr>
          <w:rFonts w:ascii="Arial" w:cs="Arial" w:eastAsia="Arial" w:hAnsi="Arial"/>
          <w:sz w:val="12"/>
          <w:szCs w:val="12"/>
          <w:color w:val="auto"/>
        </w:rPr>
        <w:t>In December 2022, in connection with the conversion of Oerth Bio from a limited liability company to a corporation, we, BCS and Oerth Bio terminated the Option Agreement and the commitment agreement, amended and restated the Arvinas IP Contribution Agreement and BCS Contribution Agreement, and BCS also amended the LLC Agreement.</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Competition</w:t>
      </w:r>
    </w:p>
    <w:p>
      <w:pPr>
        <w:spacing w:after="0" w:line="7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Our platform and product focus is the discovery and development of protein degradation therapies using our small molecule PROTAC targeted protein degraders. Other companies researching chimeric small molecules for protein degradation include Accutar Biotechnology, Inc., C4 Therapeutics, Inc., Cullgen Inc., Foghorn Therapeutics, Inc., Kymera Therapeutics, Inc., Nurix Therapeutics, Inc. and Proteovant Therapeutics, Inc. Further, several large pharmaceutical companies have disclosed preclinical or clinical investments in this field, including AbbVie Inc., Amgen Inc., AstraZeneca plc, BeiGene, Ltd., Boehringer Ingelheim, Bristol Myers Squibb Company, GlaxoSmithKline plc, Genentech, Novartis AG, Pfizer and Sanofi. Since 2020, some of these biotechnology and pharmaceutical companies have announced the initiation of clinical trials for targeted protein degraders. Additionally, other novel targeting mechanisms could ultimately address similar patient populations, such as SERDs in breast cancer. In addition to competition from other protein degradation therapies, any products that we develop may also face competition from other types of therapies, such as small molecule, antibody, or gene therapies.</w:t>
      </w:r>
    </w:p>
    <w:p>
      <w:pPr>
        <w:spacing w:after="0" w:line="12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Our lead product candidate, vepdegestrant, targets breast cancer. The most common methods of treating patients in oncologic indications, including breast cancer, are surgery, radiation and drug therapy, including chemotherapy, hormone therapy and targeted drug therapy. There are a variety of available drug therapies marketed for cancer, including breast cancer.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48" w:name="page49"/>
    <w:bookmarkEnd w:id="48"/>
    <w:p>
      <w:pPr>
        <w:ind w:right="80" w:firstLine="432"/>
        <w:spacing w:after="0" w:line="262" w:lineRule="auto"/>
        <w:rPr>
          <w:sz w:val="20"/>
          <w:szCs w:val="20"/>
          <w:color w:val="auto"/>
        </w:rPr>
      </w:pPr>
      <w:r>
        <w:rPr>
          <w:rFonts w:ascii="Arial" w:cs="Arial" w:eastAsia="Arial" w:hAnsi="Arial"/>
          <w:sz w:val="12"/>
          <w:szCs w:val="12"/>
          <w:color w:val="auto"/>
        </w:rPr>
        <w:t>In addition to currently marketed drugs, including the selective estrogen receptor degraders elacestrant and fulvestrant, there are also several product candidates in late stage clinical development for the treatment of metastatic ER+/HER2- breast cancer. These products in development include, in the case of metastatic ER+/HER2- breast cancer, SERDs, including imlunestrant, camizestrant, giredestrant, and may provide efficacy, safety, convenience and other benefits that are not provided by currently marketed therapies. As a result, they may provide significant competition for any of our product candidates for which we obtain market approval.</w:t>
      </w:r>
    </w:p>
    <w:p>
      <w:pPr>
        <w:spacing w:after="0" w:line="117"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If any of our product candidates are approved for the indications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94"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key competitive factors affecting the success of all our programs, if approved, are likely to be their efficacy, safety, convenience, price, level of generic competition and availability of reimbursement.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Commercialization Plans</w:t>
      </w:r>
    </w:p>
    <w:p>
      <w:pPr>
        <w:spacing w:after="0" w:line="78"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Our product candidates are still in preclinical and clinical development. Other than our discovery collaboration agreements, we have retained commercialization rights for all of our development programs including global co-commercialization rights for vepdegestrant through our collaboration with Pfizer. We have begun the process of establishing our own focused, specialized sales, marketing, and market access organization to support the commercialization of our product candidates, including vepdegestrant, in the United States. If approved, on approval, vepdegestrant can be commercialized with such capabilities, including through the hiring of key team members. We expect to continue to build out this organization.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 Pursuant to the Vepdegestrant (ARV-471) Collaboration Agreement with Pfizer, we will be the marketing authorization applicant and, subject to approval, can book sales in the United States, while Pfizer will hold marketing authorizations outside the United States. We will determine with Pfizer which, if any, regions within the world will be solely commercialized by one party, and in such region the parties will adjust their share of all profits and losses for the Licensed Products based on the role each party will be performing.</w:t>
      </w:r>
    </w:p>
    <w:p>
      <w:pPr>
        <w:spacing w:after="0" w:line="123"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auto"/>
        </w:rPr>
        <w:t>Manufacturing and Supply</w:t>
      </w:r>
    </w:p>
    <w:p>
      <w:pPr>
        <w:spacing w:after="0" w:line="78"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do not own or operate, and currently have no plans to establish, any manufacturing facilities. We rely on and expect to continue to rely on third-party contract manufacturing organizations, or CMOs, for both drug substance and finished drug product as well as for the synthesis of compounds in our preclinical research and development activities. We have engaged third-party manufacturers to supply the building blocks and drug substances for vepdegestrant, ARV-393, ARV-102, our PROTAC KRAS G12D degrader, and bavdegalutamide (ARV-110) and we have also engaged third-party manufacturers to develop and manufacture finished drug product for vepdegestrant, ARV-393, ARV-102 and bavdegalutamide (ARV-110) that we are using and plan to use in our ongoing and planned Phase 1/2 and pivotal clinical trials, as well as for part of our IND-enabling plan.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 Pursuant to the Vepdegestrant (ARV-471) Collaboration Agreement with Pfizer, Pfizer has primary responsibility to manufacture the commercial supply of vepdegestrant.</w:t>
      </w:r>
    </w:p>
    <w:p>
      <w:pPr>
        <w:spacing w:after="0" w:line="122"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All of our product candidates are organic compounds of low molecular weight, generally called small molecules, but which are larger than traditional small molecule therapeutics. We have selected these compounds not only on the basis of their potential efficacy and safety, but also for their ease of synthesis and reasonable cost of goods. In particular, our lead product candidates are manufactured using reliable and reproducible synthetic processes from readily available starting materials. The chemistry is amenable to scale up and does not require unusual equipment in the manufacturing process. We expect to continue to develop product candidates that can be produced cost-effectively at contract manufacturing facilities or with partners.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Government Regulation and Product Approvals</w:t>
      </w:r>
    </w:p>
    <w:p>
      <w:pPr>
        <w:spacing w:after="0" w:line="78"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Government authorities in the United States, at the federal, state and local level, and in other countries and jurisdictions, such as the European Union, or EU, extensively regulate, among other things, the research, development, testing, manufacture, pricing, quality control, approval, packaging, storage, recordkeeping, labeling, advertising, promotion, distribution, marketing, sales, reimbursement, post-approval monitoring and reporting, and import and export of 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Approval and Regulation of Drugs in the United States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United States, drug products are regulated under the Federal Food, Drug, and Cosmetic Act, or FDCA, and applicable implementing regulations and guidance. A company, institution, or organization</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which takes responsibility for the initiation and management of a clinical development program for investigational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14"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A sponsor seeking approval to market and distribute a new drug product in the United States generally must satisfactorily complete each of the following steps before the product candidate will be approved by the FDA:</w:t>
      </w:r>
    </w:p>
    <w:p>
      <w:pPr>
        <w:spacing w:after="0" w:line="31" w:lineRule="exact"/>
        <w:rPr>
          <w:sz w:val="20"/>
          <w:szCs w:val="20"/>
          <w:color w:val="auto"/>
        </w:rPr>
      </w:pPr>
    </w:p>
    <w:p>
      <w:pPr>
        <w:ind w:left="640" w:hanging="216"/>
        <w:spacing w:after="0"/>
        <w:tabs>
          <w:tab w:leader="none" w:pos="6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preclinical testing including laboratory tests, animal studies and formulation studies, which must be performed in accordance with the FDA’s good laboratory practice, or GLP, regulations and standards;</w:t>
      </w:r>
    </w:p>
    <w:p>
      <w:pPr>
        <w:spacing w:after="0" w:line="89" w:lineRule="exact"/>
        <w:rPr>
          <w:rFonts w:ascii="Arial" w:cs="Arial" w:eastAsia="Arial" w:hAnsi="Arial"/>
          <w:sz w:val="11"/>
          <w:szCs w:val="11"/>
          <w:color w:val="auto"/>
        </w:rPr>
      </w:pPr>
    </w:p>
    <w:p>
      <w:pPr>
        <w:ind w:left="640" w:right="80" w:hanging="216"/>
        <w:spacing w:after="0" w:line="28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design of a clinical protocol and submission to the FDA of an IND for human clinical testing, which must become effective before human clinical trials may begin;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50" w:name="page51"/>
    <w:bookmarkEnd w:id="50"/>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approval by an independent institutional review board, or IRB, representing each clinical site before each clinical trial may be initiated;</w:t>
      </w:r>
    </w:p>
    <w:p>
      <w:pPr>
        <w:spacing w:after="0" w:line="78" w:lineRule="exact"/>
        <w:rPr>
          <w:rFonts w:ascii="Arial" w:cs="Arial" w:eastAsia="Arial" w:hAnsi="Arial"/>
          <w:sz w:val="12"/>
          <w:szCs w:val="12"/>
          <w:color w:val="auto"/>
        </w:rPr>
      </w:pPr>
    </w:p>
    <w:p>
      <w:pPr>
        <w:ind w:left="640" w:right="20" w:hanging="216"/>
        <w:spacing w:after="0" w:line="286" w:lineRule="auto"/>
        <w:tabs>
          <w:tab w:leader="none" w:pos="6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to establish the safety and efficacy of the product candidate for each proposed indication, in accordance with good clinical practices, or GCP;</w:t>
      </w:r>
    </w:p>
    <w:p>
      <w:pPr>
        <w:spacing w:after="0" w:line="31" w:lineRule="exact"/>
        <w:rPr>
          <w:rFonts w:ascii="Arial" w:cs="Arial" w:eastAsia="Arial" w:hAnsi="Arial"/>
          <w:sz w:val="12"/>
          <w:szCs w:val="12"/>
          <w:color w:val="auto"/>
        </w:rPr>
      </w:pPr>
    </w:p>
    <w:p>
      <w:pPr>
        <w:ind w:left="640" w:right="320" w:hanging="216"/>
        <w:spacing w:after="0" w:line="286" w:lineRule="auto"/>
        <w:tabs>
          <w:tab w:leader="none" w:pos="6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preparation and submission to the FDA of a new drug application, or NDA, for a drug product which includes not only the results of the clinical trials, but also, detailed information on the chemistry, manufacture controls, or CMC, for the product candidate and proposed labeling for one or more proposed indication(s);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review of the product candidate by an FDA advisory committee, where appropriate or if applicable;</w:t>
      </w:r>
    </w:p>
    <w:p>
      <w:pPr>
        <w:spacing w:after="0" w:line="78" w:lineRule="exact"/>
        <w:rPr>
          <w:rFonts w:ascii="Arial" w:cs="Arial" w:eastAsia="Arial" w:hAnsi="Arial"/>
          <w:sz w:val="12"/>
          <w:szCs w:val="12"/>
          <w:color w:val="auto"/>
        </w:rPr>
      </w:pPr>
    </w:p>
    <w:p>
      <w:pPr>
        <w:ind w:left="640" w:right="80" w:hanging="216"/>
        <w:spacing w:after="0" w:line="286" w:lineRule="auto"/>
        <w:tabs>
          <w:tab w:leader="none" w:pos="6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satisfactory completion of any FDA audits of the clinical trial sites to assure compliance with GCP and the integrity of clinical data in support of the NDA;</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payment of user fees pursuant to the Prescription Drug User Fee Act, or PDUFA, and securing FDA approval of the NDA to allow marketing of the new drug product; and</w:t>
      </w:r>
    </w:p>
    <w:p>
      <w:pPr>
        <w:spacing w:after="0" w:line="78" w:lineRule="exact"/>
        <w:rPr>
          <w:rFonts w:ascii="Arial" w:cs="Arial" w:eastAsia="Arial" w:hAnsi="Arial"/>
          <w:sz w:val="12"/>
          <w:szCs w:val="12"/>
          <w:color w:val="auto"/>
        </w:rPr>
      </w:pPr>
    </w:p>
    <w:p>
      <w:pPr>
        <w:ind w:left="640" w:right="140" w:hanging="216"/>
        <w:spacing w:after="0" w:line="286" w:lineRule="auto"/>
        <w:tabs>
          <w:tab w:leader="none" w:pos="6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compliance with any post-approval requirements, including the potential requirement to implement a Risk Evaluation and Mitigation Strategies, or REMS, and the potential requirement to conduct any post-approval studies or other post-marketing commitments required by the FDA.</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Preclinical Studies</w:t>
      </w:r>
    </w:p>
    <w:p>
      <w:pPr>
        <w:spacing w:after="0" w:line="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 xml:space="preserve">Before a sponsor begins testing a product candidate with potential therapeutic value in humans, the product candidate enters the preclinical testing stage, including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animal studies to assess the safety and activity of the drug for initial testing in humans and to establish rationale for therapeutic use. Preclinical tests include laboratory evaluations of product chemistry, formulation and stability, as well as other studies to evaluate, among other things, the toxicity of the product candidate. These studies are typically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Some long-term preclinical testing, such as animal tests of reproductive adverse events and carcinogenicity, and long-term toxicity studies, may continue after the IND is submitted.</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The IND and IRB Processes</w:t>
      </w:r>
    </w:p>
    <w:p>
      <w:pPr>
        <w:spacing w:after="0" w:line="78"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An IND application is a request for FDA authorization to administer an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w:t>
      </w:r>
    </w:p>
    <w:p>
      <w:pPr>
        <w:spacing w:after="0" w:line="117"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The FDA requires a 30-day waiting period after the filing of each IND before clinical trials may begin. This waiting period is designed to allow the FDA to review the IND to determine whether human research subjects will be exposed to unreasonable health risks. The FDA’s primary objectives in reviewing an IND are to assure the safety and rights of patients and subjects in the study, and to help assure that the quality of the investigation will be adequate to permit an evaluation of the investigational product’s safety and efficacy.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may begin.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51" w:name="page52"/>
    <w:bookmarkEnd w:id="51"/>
    <w:p>
      <w:pPr>
        <w:ind w:right="80" w:firstLine="432"/>
        <w:spacing w:after="0" w:line="262" w:lineRule="auto"/>
        <w:rPr>
          <w:sz w:val="20"/>
          <w:szCs w:val="20"/>
          <w:color w:val="auto"/>
        </w:rPr>
      </w:pPr>
      <w:r>
        <w:rPr>
          <w:rFonts w:ascii="Arial" w:cs="Arial" w:eastAsia="Arial" w:hAnsi="Arial"/>
          <w:sz w:val="12"/>
          <w:szCs w:val="12"/>
          <w:color w:val="auto"/>
        </w:rPr>
        <w:t>Following commencement of a clinical trial under an IND, the FDA may also place a clinical hold or partial clinical hold on that trial. The FDA imposes clinical holds whenever there is concern for patient safety and may be a result of new data, findings, or developments in clinical, nonclinical, and/or CMC. Thus, occasionally, clinical holds are imposed due to manufacturing issues that may present safety issues for the clinical study subjects.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demonstrating to the satisfaction of the FDA that the investigation can proceed.</w:t>
      </w:r>
    </w:p>
    <w:p>
      <w:pPr>
        <w:spacing w:after="0" w:line="114"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17" w:lineRule="exact"/>
        <w:rPr>
          <w:sz w:val="20"/>
          <w:szCs w:val="20"/>
          <w:color w:val="auto"/>
        </w:rPr>
      </w:pPr>
    </w:p>
    <w:p>
      <w:pPr>
        <w:jc w:val="both"/>
        <w:ind w:right="120" w:firstLine="432"/>
        <w:spacing w:after="0" w:line="303" w:lineRule="auto"/>
        <w:rPr>
          <w:sz w:val="20"/>
          <w:szCs w:val="20"/>
          <w:color w:val="auto"/>
        </w:rPr>
      </w:pPr>
      <w:r>
        <w:rPr>
          <w:rFonts w:ascii="Arial" w:cs="Arial" w:eastAsia="Arial" w:hAnsi="Arial"/>
          <w:sz w:val="11"/>
          <w:szCs w:val="11"/>
          <w:color w:val="auto"/>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FDA for its review and the new protocol or changes to the existing protocol have been approved by the IRB with the responsibility for review and approval of the studies</w:t>
      </w:r>
    </w:p>
    <w:p>
      <w:pPr>
        <w:spacing w:after="0" w:line="97"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Additionally, some trials are overseen by an independent group of qualified experts organized by the trial sponsor, known as a data monitoring committee, or DMC. This group provides authorization for whether a trial may move forward at designated check points based on access that only the DMC maintains to available data. Suspension or termination of development during any phase of clinical trials can occur if it is determined that the participants or patients are being exposed to an unacceptable health risk or for other reasons.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Expanded Access to an Investigational Drug</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Expanded access, sometimes called “compassionate use,” is the use of investigational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drug product under a treatment protocol or Treatment IND application.</w:t>
      </w:r>
    </w:p>
    <w:p>
      <w:pPr>
        <w:spacing w:after="0" w:line="119"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auto"/>
        </w:rPr>
        <w:t>investigations that could support marketing approval of the product or otherwise compromise the potential development of the product.</w:t>
      </w:r>
    </w:p>
    <w:p>
      <w:pPr>
        <w:spacing w:after="0" w:line="150"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There is no obligation for a sponsor to make its drug products available for expanded access. However, if a sponsor has a policy regarding how it responds to expanded access requests, it must make that policy publicly available. Specifically, sponsors are required to make such policies publicly available upon the earlier of initiation of a Phase 2 or Phase 3 clinical trial; or 15 days after the investigational drug or biologic product receives designation as a breakthrough therapy, fast track product, or regenerative medicine advanced therapy. We received Fast Track designation for bavdegalutamide for mCRPC in 2019 and for vepdegestrant for ER+/HER2- breast cancer in the first quarter of 2024.</w:t>
      </w:r>
    </w:p>
    <w:p>
      <w:pPr>
        <w:spacing w:after="0" w:line="117"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In addition to and separate from expanded access, the Right to Try Act was signed into law on May 30, 2018.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permission under the FDA expanded access program. There is no obligation for a drug manufacturer to make its investigational drug products available to eligible patients under the Right to Try Act.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Human Clinical Trials in Support of an NDA</w:t>
      </w:r>
    </w:p>
    <w:p>
      <w:pPr>
        <w:spacing w:after="0" w:line="78"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Clinical trials involve the administration of an investigational product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14"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Human clinical trials are typically conducted in three sequential phases, but the phases may overlap or be combined. Additional studies may also be required after approval. The FDA has issued regulations that define the three principal types of trials.</w:t>
      </w:r>
    </w:p>
    <w:p>
      <w:pPr>
        <w:spacing w:after="0" w:line="103"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i w:val="1"/>
          <w:iCs w:val="1"/>
          <w:color w:val="auto"/>
        </w:rPr>
        <w:t xml:space="preserve">Phase 1 </w:t>
      </w:r>
      <w:r>
        <w:rPr>
          <w:rFonts w:ascii="Arial" w:cs="Arial" w:eastAsia="Arial" w:hAnsi="Arial"/>
          <w:sz w:val="12"/>
          <w:szCs w:val="12"/>
          <w:color w:val="auto"/>
        </w:rPr>
        <w:t>clinical trials are initially conducted in a limited population to test the product candidate for safety, including adverse effects, dose tolerance, absorption, metabolism, distribution, excretion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i w:val="1"/>
          <w:iCs w:val="1"/>
          <w:color w:val="auto"/>
        </w:rPr>
        <w:t xml:space="preserve">Phase 2 </w:t>
      </w:r>
      <w:r>
        <w:rPr>
          <w:rFonts w:ascii="Arial" w:cs="Arial" w:eastAsia="Arial" w:hAnsi="Arial"/>
          <w:sz w:val="12"/>
          <w:szCs w:val="12"/>
          <w:color w:val="auto"/>
        </w:rPr>
        <w:t>clinical trials are generally conducted in a limited patient population to identify possible adverse effects and safety risks, evaluate the efficacy of the product candidate for specific targeted</w:t>
      </w:r>
      <w:r>
        <w:rPr>
          <w:rFonts w:ascii="Arial" w:cs="Arial" w:eastAsia="Arial" w:hAnsi="Arial"/>
          <w:sz w:val="12"/>
          <w:szCs w:val="12"/>
          <w:i w:val="1"/>
          <w:iCs w:val="1"/>
          <w:color w:val="auto"/>
        </w:rPr>
        <w:t xml:space="preserve"> </w:t>
      </w:r>
      <w:r>
        <w:rPr>
          <w:rFonts w:ascii="Arial" w:cs="Arial" w:eastAsia="Arial" w:hAnsi="Arial"/>
          <w:sz w:val="12"/>
          <w:szCs w:val="12"/>
          <w:color w:val="auto"/>
        </w:rPr>
        <w:t>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14" w:lineRule="exact"/>
        <w:rPr>
          <w:sz w:val="20"/>
          <w:szCs w:val="20"/>
          <w:color w:val="auto"/>
        </w:rPr>
      </w:pPr>
    </w:p>
    <w:p>
      <w:pPr>
        <w:ind w:right="140" w:firstLine="432"/>
        <w:spacing w:after="0" w:line="262" w:lineRule="auto"/>
        <w:rPr>
          <w:sz w:val="20"/>
          <w:szCs w:val="20"/>
          <w:color w:val="auto"/>
        </w:rPr>
      </w:pPr>
      <w:r>
        <w:rPr>
          <w:rFonts w:ascii="Arial" w:cs="Arial" w:eastAsia="Arial" w:hAnsi="Arial"/>
          <w:sz w:val="12"/>
          <w:szCs w:val="12"/>
          <w:i w:val="1"/>
          <w:iCs w:val="1"/>
          <w:color w:val="auto"/>
        </w:rPr>
        <w:t xml:space="preserve">Phase 3 </w:t>
      </w:r>
      <w:r>
        <w:rPr>
          <w:rFonts w:ascii="Arial" w:cs="Arial" w:eastAsia="Arial" w:hAnsi="Arial"/>
          <w:sz w:val="12"/>
          <w:szCs w:val="12"/>
          <w:color w:val="auto"/>
        </w:rPr>
        <w:t>clinical trials proceed if the Phase 2 clinical trials demonstrate that a dose range of the product candidate is potentially effective and has an acceptable safety profile. Phase 3 clinical trials are</w:t>
      </w:r>
      <w:r>
        <w:rPr>
          <w:rFonts w:ascii="Arial" w:cs="Arial" w:eastAsia="Arial" w:hAnsi="Arial"/>
          <w:sz w:val="12"/>
          <w:szCs w:val="12"/>
          <w:i w:val="1"/>
          <w:iCs w:val="1"/>
          <w:color w:val="auto"/>
        </w:rPr>
        <w:t xml:space="preserve"> </w:t>
      </w:r>
      <w:r>
        <w:rPr>
          <w:rFonts w:ascii="Arial" w:cs="Arial" w:eastAsia="Arial" w:hAnsi="Arial"/>
          <w:sz w:val="12"/>
          <w:szCs w:val="12"/>
          <w:color w:val="auto"/>
        </w:rPr>
        <w:t>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the drug product, and, if approved, how to appropriately label the drug product: such Phase 3 studies are typically referred to as “pivotal studies” or "registrational studies."</w:t>
      </w:r>
    </w:p>
    <w:p>
      <w:pPr>
        <w:spacing w:after="0" w:line="117"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53" w:name="page54"/>
    <w:bookmarkEnd w:id="53"/>
    <w:p>
      <w:pPr>
        <w:ind w:right="20"/>
        <w:spacing w:after="0" w:line="286" w:lineRule="auto"/>
        <w:rPr>
          <w:sz w:val="20"/>
          <w:szCs w:val="20"/>
          <w:color w:val="auto"/>
        </w:rPr>
      </w:pPr>
      <w:r>
        <w:rPr>
          <w:rFonts w:ascii="Arial" w:cs="Arial" w:eastAsia="Arial" w:hAnsi="Arial"/>
          <w:sz w:val="12"/>
          <w:szCs w:val="12"/>
          <w:color w:val="auto"/>
        </w:rPr>
        <w:t>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03"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In some cases, the FDA may approve an NDA for a product candidate but require the sponsor to conduct additional clinical trials to further assess the product candidate’s safety and effectiveness after approval. Such post-approval trials are also referred to as post-marketing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17"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The FDA has issued numerous guidance documents to specify how particular types of clinical trials should be conducted. For example, in March 2022, the FDA finalized guidance entitled “Expansion Cohorts: Use in First-In-Human Clinical Trials to Expedite Development of Oncology Drugs and Biologics,” which outlines how sponsors can utilize an adaptive trial design in the early stages of oncology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product development and reduce developmental costs and time.</w:t>
      </w:r>
    </w:p>
    <w:p>
      <w:pPr>
        <w:spacing w:after="0" w:line="117"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In June 2024, the FDA issued draft guidance setting out its policies for the collection of race and ethnicity data in clinical trials. Unlike most guidance documents issued by the FDA, which are not legally binding,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This action raises questions about the applicability of statutory obligations to submit DAPs and the agency’s current thinking on best practices for clinical development.</w:t>
      </w:r>
    </w:p>
    <w:p>
      <w:pPr>
        <w:spacing w:after="0" w:line="122"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testing that suggest a significant risk to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GCPs and the integrity of the clinical data submitted.</w:t>
      </w:r>
    </w:p>
    <w:p>
      <w:pPr>
        <w:spacing w:after="0" w:line="14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Although the FDA has historically not enforced these reporting requirements, the agency has issued several pre-notices for voluntary corrective action and several notices of non-compliance during the past two years. While these notices of non-compliance did not result in civil monetary penalties, the failure to submit clinical trial information to clinicaltrials.gov, as required, is a prohibited act under the FDCA with violations subject to potential civil monetary penalties of up to $10,000 for each day the violation.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54" w:name="page55"/>
    <w:bookmarkEnd w:id="54"/>
    <w:p>
      <w:pPr>
        <w:ind w:left="420"/>
        <w:spacing w:after="0"/>
        <w:rPr>
          <w:sz w:val="20"/>
          <w:szCs w:val="20"/>
          <w:color w:val="auto"/>
        </w:rPr>
      </w:pPr>
      <w:r>
        <w:rPr>
          <w:rFonts w:ascii="Arial" w:cs="Arial" w:eastAsia="Arial" w:hAnsi="Arial"/>
          <w:sz w:val="12"/>
          <w:szCs w:val="12"/>
          <w:b w:val="1"/>
          <w:bCs w:val="1"/>
          <w:color w:val="auto"/>
        </w:rPr>
        <w:t>Clinical Studies Outside the United States in Support of FDA Approval</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connection with a clinical development program, a sponsor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2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2"/>
          <w:szCs w:val="12"/>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19"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Interactions with the FDA During the Clinical Development Program</w:t>
      </w:r>
    </w:p>
    <w:p>
      <w:pPr>
        <w:spacing w:after="0" w:line="78" w:lineRule="exact"/>
        <w:rPr>
          <w:sz w:val="20"/>
          <w:szCs w:val="20"/>
          <w:color w:val="auto"/>
        </w:rPr>
      </w:pPr>
    </w:p>
    <w:p>
      <w:pPr>
        <w:ind w:right="300" w:firstLine="432"/>
        <w:spacing w:after="0" w:line="262" w:lineRule="auto"/>
        <w:rPr>
          <w:sz w:val="20"/>
          <w:szCs w:val="20"/>
          <w:color w:val="auto"/>
        </w:rPr>
      </w:pPr>
      <w:r>
        <w:rPr>
          <w:rFonts w:ascii="Arial" w:cs="Arial" w:eastAsia="Arial" w:hAnsi="Arial"/>
          <w:sz w:val="12"/>
          <w:szCs w:val="12"/>
          <w:color w:val="auto"/>
        </w:rPr>
        <w:t xml:space="preserve">Following the clearance of an IND and the commencement of clinical trials, the sponsor will continue to have interactions with the FDA. Progress reports detailing the results of clinical trials must be submitted annually within 60 days of the anniversary dates that the IND went into effect and more frequently if serious adverse events occur. These reports must include a development safety update report. In addition, IND safety reports must be submitted to the FDA for any of the following: serious and unexpected suspected adverse reactions; findings from other trials or animal 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testing that suggest a significant risk in humans exposed to the product; and any clinically important increase in the occurrence of a serious suspected adverse reaction over that listed in the protocol or investigator brochure.</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In addition, a sponsor is given the opportunity to meet with the FDA at certain points in the clinical development program.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end of phase 2 meetings. A Type C meeting is any meeting other than a Type A or Type B meeting regarding the development and review of a product. A type D meeting is focused on a narrow set of issues and should not require input from more than 3 disciplines or Divisions. Finally, INTERACT meetings are intended for novel products and development programs that present unique challenges in the early development of an investigational product.</w:t>
      </w:r>
    </w:p>
    <w:p>
      <w:pPr>
        <w:spacing w:after="0" w:line="119" w:lineRule="exact"/>
        <w:rPr>
          <w:sz w:val="20"/>
          <w:szCs w:val="20"/>
          <w:color w:val="auto"/>
        </w:rPr>
      </w:pPr>
    </w:p>
    <w:p>
      <w:pPr>
        <w:ind w:right="340" w:firstLine="432"/>
        <w:spacing w:after="0" w:line="268" w:lineRule="auto"/>
        <w:rPr>
          <w:sz w:val="20"/>
          <w:szCs w:val="20"/>
          <w:color w:val="auto"/>
        </w:rPr>
      </w:pPr>
      <w:r>
        <w:rPr>
          <w:rFonts w:ascii="Arial" w:cs="Arial" w:eastAsia="Arial" w:hAnsi="Arial"/>
          <w:sz w:val="12"/>
          <w:szCs w:val="12"/>
          <w:color w:val="auto"/>
        </w:rPr>
        <w:t>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55" w:name="page56"/>
    <w:bookmarkEnd w:id="55"/>
    <w:p>
      <w:pPr>
        <w:ind w:left="420"/>
        <w:spacing w:after="0"/>
        <w:rPr>
          <w:sz w:val="20"/>
          <w:szCs w:val="20"/>
          <w:color w:val="auto"/>
        </w:rPr>
      </w:pPr>
      <w:r>
        <w:rPr>
          <w:rFonts w:ascii="Arial" w:cs="Arial" w:eastAsia="Arial" w:hAnsi="Arial"/>
          <w:sz w:val="12"/>
          <w:szCs w:val="12"/>
          <w:b w:val="1"/>
          <w:bCs w:val="1"/>
          <w:color w:val="auto"/>
        </w:rPr>
        <w:t>Manufacturing and Other Regulatory Requirements</w:t>
      </w:r>
    </w:p>
    <w:p>
      <w:pPr>
        <w:spacing w:after="0" w:line="78"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14"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The PREVENT Pandemics Act, which was enacted in December 2022, clarifies that foreign drug manufacturing establishments are subject to registration and listing requirements even if a drug undergoes further manufacture, preparation, propagation, compounding, or processing at a separate establishment outside the U.S. prior to being imported or offered for import into the U.S.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Pediatric Studies</w:t>
      </w:r>
    </w:p>
    <w:p>
      <w:pPr>
        <w:spacing w:after="0" w:line="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19"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2"/>
          <w:szCs w:val="12"/>
          <w:color w:val="auto"/>
        </w:rPr>
        <w:t>For drugs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auto"/>
        </w:rPr>
        <w:t>Non-Compliance letter and sponsor’s response. . In May 2023, the FDA issued new draft guidance that further describes the pediatric study requirements under PREA.</w:t>
      </w:r>
    </w:p>
    <w:p>
      <w:pPr>
        <w:spacing w:after="0" w:line="150"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The FDA Reauthorization Act of 2017 established new requirements to govern certain molecularly targeted cancer indications. Any company that submits an NDA three years after the date of enactment of that statute must submit pediatric assessments with the NDA if the drug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Unless otherwise required by regulation, the pediatric data requirements do not apply to products with orphan designation intended for a non-cancer indication, although the FDA has recently taken steps to limit what it considers abuse of this statutory exemption in PREA by announcing that it does not intend to grant any additional Orphan Drug Designations for rare pediatric subpopulations of what is otherwise a common disease. Further, Section 505B of the FDCA, as amended by the FDA Reauthorization Act of 2017, requires that any original NDA submitted on or after August 18, 2020, for a new active ingredient, must contain reports on the molecularly targeted pediatric cancer investigation, unless the requirement is waived or deferred, if the drug that is the subject of the application is: (1) intended for the treatment of an adult cancer, and (2) directed at a molecular target that the Secretary determines to be substantially relevant to the growth or progression of a pediatric cancer in accordance with FDA guidance. The FDA maintains a list of diseases that are exempt from PREA requirements due to low prevalence of disease in the pediatric population.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Expedited Review Programs</w:t>
      </w:r>
    </w:p>
    <w:p>
      <w:pPr>
        <w:spacing w:after="0" w:line="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FDA is authorized to expedite the review of applications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19"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31" w:lineRule="exact"/>
        <w:rPr>
          <w:sz w:val="20"/>
          <w:szCs w:val="20"/>
          <w:color w:val="auto"/>
        </w:rPr>
      </w:pPr>
    </w:p>
    <w:p>
      <w:pPr>
        <w:ind w:left="420" w:right="180" w:hanging="212"/>
        <w:spacing w:after="0" w:line="262"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Breakthrough therapy designation. </w:t>
      </w:r>
      <w:r>
        <w:rPr>
          <w:rFonts w:ascii="Arial" w:cs="Arial" w:eastAsia="Arial" w:hAnsi="Arial"/>
          <w:sz w:val="12"/>
          <w:szCs w:val="12"/>
          <w:color w:val="auto"/>
        </w:rPr>
        <w:t>To qualify for the breakthrough therapy program, product candidates must be intended to treat a serious or life-threatening disease or condition and preliminary clinical</w:t>
      </w:r>
      <w:r>
        <w:rPr>
          <w:rFonts w:ascii="Arial" w:cs="Arial" w:eastAsia="Arial" w:hAnsi="Arial"/>
          <w:sz w:val="12"/>
          <w:szCs w:val="12"/>
          <w:i w:val="1"/>
          <w:iCs w:val="1"/>
          <w:color w:val="auto"/>
        </w:rPr>
        <w:t xml:space="preserve"> </w:t>
      </w:r>
      <w:r>
        <w:rPr>
          <w:rFonts w:ascii="Arial" w:cs="Arial" w:eastAsia="Arial" w:hAnsi="Arial"/>
          <w:sz w:val="12"/>
          <w:szCs w:val="12"/>
          <w:color w:val="auto"/>
        </w:rPr>
        <w:t>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intensive involvement of senior managers and experienced staff on a proactive, collaborative and cross-disciplinary review and rolling review.</w:t>
      </w:r>
    </w:p>
    <w:p>
      <w:pPr>
        <w:spacing w:after="0" w:line="45"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Priority review. </w:t>
      </w:r>
      <w:r>
        <w:rPr>
          <w:rFonts w:ascii="Arial" w:cs="Arial" w:eastAsia="Arial" w:hAnsi="Arial"/>
          <w:sz w:val="12"/>
          <w:szCs w:val="12"/>
          <w:color w:val="auto"/>
        </w:rPr>
        <w:t>A product candidate is eligible for priority review if it treats a serious condition and, if approved, it would be a significant improvement in the safety or effectiveness of the treatment, diagnosis</w:t>
      </w:r>
      <w:r>
        <w:rPr>
          <w:rFonts w:ascii="Arial" w:cs="Arial" w:eastAsia="Arial" w:hAnsi="Arial"/>
          <w:sz w:val="12"/>
          <w:szCs w:val="12"/>
          <w:i w:val="1"/>
          <w:iCs w:val="1"/>
          <w:color w:val="auto"/>
        </w:rPr>
        <w:t xml:space="preserve"> </w:t>
      </w:r>
      <w:r>
        <w:rPr>
          <w:rFonts w:ascii="Arial" w:cs="Arial" w:eastAsia="Arial" w:hAnsi="Arial"/>
          <w:sz w:val="12"/>
          <w:szCs w:val="12"/>
          <w:color w:val="auto"/>
        </w:rPr>
        <w:t>or prevention compared to marketed products. FDA aims to complete its review of priority review applications within six months as opposed to 10 months for standard review.</w:t>
      </w:r>
    </w:p>
    <w:p>
      <w:pPr>
        <w:spacing w:after="0" w:line="31" w:lineRule="exact"/>
        <w:rPr>
          <w:rFonts w:ascii="Arial" w:cs="Arial" w:eastAsia="Arial" w:hAnsi="Arial"/>
          <w:sz w:val="12"/>
          <w:szCs w:val="12"/>
          <w:color w:val="auto"/>
        </w:rPr>
      </w:pPr>
    </w:p>
    <w:p>
      <w:pPr>
        <w:ind w:left="420" w:right="20" w:hanging="212"/>
        <w:spacing w:after="0" w:line="259" w:lineRule="auto"/>
        <w:tabs>
          <w:tab w:leader="none" w:pos="417"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Accelerated approval. </w:t>
      </w:r>
      <w:r>
        <w:rPr>
          <w:rFonts w:ascii="Arial" w:cs="Arial" w:eastAsia="Arial" w:hAnsi="Arial"/>
          <w:sz w:val="12"/>
          <w:szCs w:val="12"/>
          <w:color w:val="auto"/>
        </w:rPr>
        <w:t>Drug products studied for their safety and effectiveness in treating serious or life-threatening illnesses and that provide meaningful therapeutic benefit over existing treatments may</w:t>
      </w:r>
      <w:r>
        <w:rPr>
          <w:rFonts w:ascii="Arial" w:cs="Arial" w:eastAsia="Arial" w:hAnsi="Arial"/>
          <w:sz w:val="12"/>
          <w:szCs w:val="12"/>
          <w:i w:val="1"/>
          <w:iCs w:val="1"/>
          <w:color w:val="auto"/>
        </w:rPr>
        <w:t xml:space="preserve"> </w:t>
      </w:r>
      <w:r>
        <w:rPr>
          <w:rFonts w:ascii="Arial" w:cs="Arial" w:eastAsia="Arial" w:hAnsi="Arial"/>
          <w:sz w:val="12"/>
          <w:szCs w:val="12"/>
          <w:color w:val="auto"/>
        </w:rPr>
        <w:t>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product candidate receiving accelerated approval perform adequate and well controlled post-marketing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57" w:name="page58"/>
    <w:bookmarkEnd w:id="57"/>
    <w:p>
      <w:pPr>
        <w:ind w:left="420"/>
        <w:spacing w:after="0"/>
        <w:rPr>
          <w:sz w:val="20"/>
          <w:szCs w:val="20"/>
          <w:color w:val="auto"/>
        </w:rPr>
      </w:pPr>
      <w:r>
        <w:rPr>
          <w:rFonts w:ascii="Arial" w:cs="Arial" w:eastAsia="Arial" w:hAnsi="Arial"/>
          <w:sz w:val="12"/>
          <w:szCs w:val="12"/>
          <w:color w:val="auto"/>
        </w:rPr>
        <w:t>clinical trials. In addition, the FDA currently requires as a condition for accelerated approval pre-approval of promotional materials.</w:t>
      </w:r>
    </w:p>
    <w:p>
      <w:pPr>
        <w:spacing w:after="0" w:line="78" w:lineRule="exact"/>
        <w:rPr>
          <w:sz w:val="20"/>
          <w:szCs w:val="20"/>
          <w:color w:val="auto"/>
        </w:rPr>
      </w:pPr>
    </w:p>
    <w:p>
      <w:pPr>
        <w:ind w:left="420" w:hanging="212"/>
        <w:spacing w:after="0" w:line="259"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an NDA or biologics license application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47" w:lineRule="exact"/>
        <w:rPr>
          <w:rFonts w:ascii="Arial" w:cs="Arial" w:eastAsia="Arial" w:hAnsi="Arial"/>
          <w:sz w:val="12"/>
          <w:szCs w:val="12"/>
          <w:color w:val="auto"/>
        </w:rPr>
      </w:pPr>
    </w:p>
    <w:p>
      <w:pPr>
        <w:ind w:left="420" w:hanging="212"/>
        <w:spacing w:after="0" w:line="257"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March 2023, the FDA issued draft guidance that outlines its current thinking and approach to accelerated approval. The agency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the FDA issued additional draft guidance relating to accelerated approval. While these guidance documents are currently only in draft form and will ultimately not be legally binding even when finalized, sponsors typically observe the FDA’s guidance closely to ensure that their investigational products qualify for accelerated approval and comport with FDA’s current thinking.</w:t>
      </w:r>
    </w:p>
    <w:p>
      <w:pPr>
        <w:spacing w:after="0" w:line="49" w:lineRule="exact"/>
        <w:rPr>
          <w:rFonts w:ascii="Arial" w:cs="Arial" w:eastAsia="Arial" w:hAnsi="Arial"/>
          <w:sz w:val="12"/>
          <w:szCs w:val="12"/>
          <w:color w:val="auto"/>
        </w:rPr>
      </w:pPr>
    </w:p>
    <w:p>
      <w:pPr>
        <w:ind w:left="420" w:right="80" w:hanging="212"/>
        <w:spacing w:after="0" w:line="259" w:lineRule="auto"/>
        <w:tabs>
          <w:tab w:leader="none" w:pos="417"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Regenerative advanced therapy. </w:t>
      </w:r>
      <w:r>
        <w:rPr>
          <w:rFonts w:ascii="Arial" w:cs="Arial" w:eastAsia="Arial" w:hAnsi="Arial"/>
          <w:sz w:val="12"/>
          <w:szCs w:val="12"/>
          <w:color w:val="auto"/>
        </w:rPr>
        <w:t>With passage of the 21st Century Cures Act, or the Cures Act, in December 2016, Congress authorized the FDA to accelerate review and approval of products designated</w:t>
      </w:r>
      <w:r>
        <w:rPr>
          <w:rFonts w:ascii="Arial" w:cs="Arial" w:eastAsia="Arial" w:hAnsi="Arial"/>
          <w:sz w:val="12"/>
          <w:szCs w:val="12"/>
          <w:i w:val="1"/>
          <w:iCs w:val="1"/>
          <w:color w:val="auto"/>
        </w:rPr>
        <w:t xml:space="preserve"> </w:t>
      </w:r>
      <w:r>
        <w:rPr>
          <w:rFonts w:ascii="Arial" w:cs="Arial" w:eastAsia="Arial" w:hAnsi="Arial"/>
          <w:sz w:val="12"/>
          <w:szCs w:val="12"/>
          <w:color w:val="auto"/>
        </w:rPr>
        <w:t>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1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None of these expedited programs changes the standards for approval but they may help expedite the development or approval process of product candidates.</w:t>
      </w:r>
    </w:p>
    <w:p>
      <w:pPr>
        <w:spacing w:after="0" w:line="222"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color w:val="auto"/>
        </w:rPr>
        <w:t>Review and Approval of an NDA</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order to obtain approval to market a drug product in the United States, an NDA must be submitted to the FDA that provides sufficient data establishing the safety and efficacy of the proposed drug product for its intended indication. The application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efficacy of the drug product to the satisfaction of the FDA.</w:t>
      </w:r>
    </w:p>
    <w:p>
      <w:pPr>
        <w:spacing w:after="0" w:line="1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NDA is a vehicle through which sponsors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2025 is $4,310,002 million for an application requiring clinical data. The sponsor of an approved NDA is also subject to an annual prescription drug product program fee, which for federal fiscal year 2025 is approximately $403,889.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58" w:name="page59"/>
    <w:bookmarkEnd w:id="58"/>
    <w:p>
      <w:pPr>
        <w:ind w:firstLine="432"/>
        <w:spacing w:after="0" w:line="262" w:lineRule="auto"/>
        <w:rPr>
          <w:sz w:val="20"/>
          <w:szCs w:val="20"/>
          <w:color w:val="auto"/>
        </w:rPr>
      </w:pPr>
      <w:r>
        <w:rPr>
          <w:rFonts w:ascii="Arial" w:cs="Arial" w:eastAsia="Arial" w:hAnsi="Arial"/>
          <w:sz w:val="12"/>
          <w:szCs w:val="12"/>
          <w:color w:val="auto"/>
        </w:rPr>
        <w:t>Following submission of an NDA, the FDA conducts a preliminary review of the application within 60 calendar days of its receipt and it must inform the sponsor by that time or before whether the application is sufficiently complete to permit substantive review. In the event that FDA determines that an application does not satisfy this standard, it will issue a Refuse to File determination to the sponsor. The FDA may request additional information rather than accept the application for filing. In this event, the application must be resubmitted with the additional information. The resubmitted application is also subject to review before the FDA accepts it for filing.</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PDUFA target action date may be extended by the FDA for three additional months to consider new information or clarification provided by the sponsor to address an outstanding deficiency identified by the FDA following the original submission.</w:t>
      </w:r>
    </w:p>
    <w:p>
      <w:pPr>
        <w:spacing w:after="0" w:line="119" w:lineRule="exact"/>
        <w:rPr>
          <w:sz w:val="20"/>
          <w:szCs w:val="20"/>
          <w:color w:val="auto"/>
        </w:rPr>
      </w:pPr>
    </w:p>
    <w:p>
      <w:pPr>
        <w:jc w:val="both"/>
        <w:ind w:right="300" w:firstLine="432"/>
        <w:spacing w:after="0" w:line="268" w:lineRule="auto"/>
        <w:rPr>
          <w:sz w:val="20"/>
          <w:szCs w:val="20"/>
          <w:color w:val="auto"/>
        </w:rPr>
      </w:pPr>
      <w:r>
        <w:rPr>
          <w:rFonts w:ascii="Arial" w:cs="Arial" w:eastAsia="Arial" w:hAnsi="Arial"/>
          <w:sz w:val="12"/>
          <w:szCs w:val="12"/>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 Moreover,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14" w:lineRule="exact"/>
        <w:rPr>
          <w:sz w:val="20"/>
          <w:szCs w:val="20"/>
          <w:color w:val="auto"/>
        </w:rPr>
      </w:pPr>
    </w:p>
    <w:p>
      <w:pPr>
        <w:ind w:right="240" w:firstLine="432"/>
        <w:spacing w:after="0" w:line="268" w:lineRule="auto"/>
        <w:rPr>
          <w:sz w:val="20"/>
          <w:szCs w:val="20"/>
          <w:color w:val="auto"/>
        </w:rPr>
      </w:pPr>
      <w:r>
        <w:rPr>
          <w:rFonts w:ascii="Arial" w:cs="Arial" w:eastAsia="Arial" w:hAnsi="Arial"/>
          <w:sz w:val="12"/>
          <w:szCs w:val="12"/>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The FDA’s Decision on an NDA</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After evaluating the application and all related information, including the advisory committee recommendations, if any, and inspection reports of manufacturing facilities and clinical trial sites, the FDA will</w:t>
      </w:r>
    </w:p>
    <w:p>
      <w:pPr>
        <w:spacing w:after="0" w:line="33"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issue either a Complete Response Letter, or CRL, or an approval letter. To reach this determination, the FDA must determine that the drug is safe and effective and that its expected benefits outweigh its potential risks to patients. This “benefit-risk” assessment is informed by the extensive body of evidence about the product’s safety and efficacy in the NDA. This assessment is also informed by other factors, including: the severity of the underlying condition and how well patients’ medical needs are addressed by currently available therapies; uncertainty about how the premarket clinical trial evidence will extrapolate to real-world use</w:t>
      </w:r>
    </w:p>
    <w:p>
      <w:pPr>
        <w:ind w:right="100"/>
        <w:spacing w:after="0" w:line="286" w:lineRule="auto"/>
        <w:rPr>
          <w:sz w:val="20"/>
          <w:szCs w:val="20"/>
          <w:color w:val="auto"/>
        </w:rPr>
      </w:pPr>
      <w:r>
        <w:rPr>
          <w:rFonts w:ascii="Arial" w:cs="Arial" w:eastAsia="Arial" w:hAnsi="Arial"/>
          <w:sz w:val="12"/>
          <w:szCs w:val="12"/>
          <w:color w:val="auto"/>
        </w:rPr>
        <w:t>of the product in the post-market setting; and whether risk management tools are necessary to manage specific risks. In connection with this assessment, the FDA review team will assemble all individual reviews and other documents into an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59" w:name="page60"/>
    <w:bookmarkEnd w:id="59"/>
    <w:p>
      <w:pPr>
        <w:spacing w:after="0"/>
        <w:rPr>
          <w:sz w:val="20"/>
          <w:szCs w:val="20"/>
          <w:color w:val="auto"/>
        </w:rPr>
      </w:pPr>
      <w:r>
        <w:rPr>
          <w:rFonts w:ascii="Arial" w:cs="Arial" w:eastAsia="Arial" w:hAnsi="Arial"/>
          <w:sz w:val="12"/>
          <w:szCs w:val="12"/>
          <w:color w:val="auto"/>
        </w:rPr>
        <w:t>“action package,” which becomes the record for FDA review. The review team then issues a recommendation, and a senior FDA official makes a decision.</w:t>
      </w:r>
    </w:p>
    <w:p>
      <w:pPr>
        <w:spacing w:after="0" w:line="150"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w:t>
      </w:r>
    </w:p>
    <w:p>
      <w:pPr>
        <w:ind w:right="60"/>
        <w:spacing w:after="0" w:line="262" w:lineRule="auto"/>
        <w:rPr>
          <w:sz w:val="20"/>
          <w:szCs w:val="20"/>
          <w:color w:val="auto"/>
        </w:rPr>
      </w:pPr>
      <w:r>
        <w:rPr>
          <w:rFonts w:ascii="Arial" w:cs="Arial" w:eastAsia="Arial" w:hAnsi="Arial"/>
          <w:sz w:val="12"/>
          <w:szCs w:val="12"/>
          <w:color w:val="auto"/>
        </w:rPr>
        <w:t>the FDA can deem the application withdrawn or, in its discretion, grant the sponsor an additional six month extension to respond. The FDA has committed to reviewing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 For those seeking to challenge the FDA’s CRL decision, the agency has indicated that sponsors may request a formal hearing on the CRL or they may file a request for reconsideration or a request for a formal dispute resolution. The FDA has taken the position that a CRL is not final agency action making the determination subject to judicial review.</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Post-Approval Regulation</w:t>
      </w:r>
    </w:p>
    <w:p>
      <w:pPr>
        <w:spacing w:after="0" w:line="7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22"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45" w:lineRule="exact"/>
        <w:rPr>
          <w:sz w:val="20"/>
          <w:szCs w:val="20"/>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0" w:name="page61"/>
    <w:bookmarkEnd w:id="60"/>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refusal of the FDA to approve pending applications or supplements to approved applications, or withdrawal of product approvals;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or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an approved drug product for any off-label uses. In September 2021, the FDA published final regulations which describe the types of evidence that the agency will consider in determining the intended use of a drug product.</w:t>
      </w:r>
    </w:p>
    <w:p>
      <w:pPr>
        <w:spacing w:after="0" w:line="121"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1"/>
          <w:szCs w:val="11"/>
          <w:color w:val="auto"/>
        </w:rPr>
        <w:t>It may be permissible, under very specific, narrow conditions, for a manufacturer to engage in nonpromotional, non-misleading communication regarding off-label information, such as distributing scientific or medical journal information.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October 2023, the FDA published draft guidance</w:t>
      </w:r>
    </w:p>
    <w:p>
      <w:pPr>
        <w:ind w:right="260"/>
        <w:spacing w:after="0" w:line="286" w:lineRule="auto"/>
        <w:rPr>
          <w:sz w:val="20"/>
          <w:szCs w:val="20"/>
          <w:color w:val="auto"/>
        </w:rPr>
      </w:pPr>
      <w:r>
        <w:rPr>
          <w:rFonts w:ascii="Arial" w:cs="Arial" w:eastAsia="Arial" w:hAnsi="Arial"/>
          <w:sz w:val="12"/>
          <w:szCs w:val="12"/>
          <w:color w:val="auto"/>
        </w:rPr>
        <w:t>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103"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If a company is found to have promoted off-label uses, it may become subject to adverse public relations and administrative and judicial enforcement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enacted the Drug Supply Chain Security Act, or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61" w:name="page62"/>
    <w:bookmarkEnd w:id="61"/>
    <w:p>
      <w:pPr>
        <w:ind w:left="420"/>
        <w:spacing w:after="0"/>
        <w:rPr>
          <w:sz w:val="20"/>
          <w:szCs w:val="20"/>
          <w:color w:val="auto"/>
        </w:rPr>
      </w:pPr>
      <w:r>
        <w:rPr>
          <w:rFonts w:ascii="Arial" w:cs="Arial" w:eastAsia="Arial" w:hAnsi="Arial"/>
          <w:sz w:val="12"/>
          <w:szCs w:val="12"/>
          <w:b w:val="1"/>
          <w:bCs w:val="1"/>
          <w:color w:val="auto"/>
        </w:rPr>
        <w:t>Section 505(b)(2) NDAs</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NDAs for most new drug products are based on two full clinical studies which must contain substantial evidence of the safety and efficacy of the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19"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Section 505(b)(2)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Section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Abbreviated New Drug Applications for Generic Drugs</w:t>
      </w:r>
    </w:p>
    <w:p>
      <w:pPr>
        <w:spacing w:after="0" w:line="78" w:lineRule="exact"/>
        <w:rPr>
          <w:sz w:val="20"/>
          <w:szCs w:val="20"/>
          <w:color w:val="auto"/>
        </w:rPr>
      </w:pPr>
    </w:p>
    <w:p>
      <w:pPr>
        <w:ind w:right="200" w:firstLine="432"/>
        <w:spacing w:after="0" w:line="257" w:lineRule="auto"/>
        <w:rPr>
          <w:sz w:val="20"/>
          <w:szCs w:val="20"/>
          <w:color w:val="auto"/>
        </w:rPr>
      </w:pPr>
      <w:r>
        <w:rPr>
          <w:rFonts w:ascii="Arial" w:cs="Arial" w:eastAsia="Arial" w:hAnsi="Arial"/>
          <w:sz w:val="12"/>
          <w:szCs w:val="12"/>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 sponsor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2"/>
          <w:szCs w:val="12"/>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62" w:name="page63"/>
    <w:bookmarkEnd w:id="62"/>
    <w:p>
      <w:pPr>
        <w:ind w:right="40" w:firstLine="432"/>
        <w:spacing w:after="0" w:line="259" w:lineRule="auto"/>
        <w:rPr>
          <w:sz w:val="20"/>
          <w:szCs w:val="20"/>
          <w:color w:val="auto"/>
        </w:rPr>
      </w:pPr>
      <w:r>
        <w:rPr>
          <w:rFonts w:ascii="Arial" w:cs="Arial" w:eastAsia="Arial" w:hAnsi="Arial"/>
          <w:sz w:val="12"/>
          <w:szCs w:val="12"/>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19"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2"/>
          <w:szCs w:val="12"/>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Hatch-Waxman Patent Certification and the 30-Month Stay</w:t>
      </w:r>
    </w:p>
    <w:p>
      <w:pPr>
        <w:spacing w:after="0" w:line="78"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w:t>
      </w:r>
    </w:p>
    <w:p>
      <w:pPr>
        <w:spacing w:after="0" w:line="114" w:lineRule="exact"/>
        <w:rPr>
          <w:sz w:val="20"/>
          <w:szCs w:val="20"/>
          <w:color w:val="auto"/>
        </w:rPr>
      </w:pPr>
    </w:p>
    <w:p>
      <w:pPr>
        <w:ind w:right="380" w:firstLine="432"/>
        <w:spacing w:after="0" w:line="268" w:lineRule="auto"/>
        <w:rPr>
          <w:sz w:val="20"/>
          <w:szCs w:val="20"/>
          <w:color w:val="auto"/>
        </w:rPr>
      </w:pPr>
      <w:r>
        <w:rPr>
          <w:rFonts w:ascii="Arial" w:cs="Arial" w:eastAsia="Arial" w:hAnsi="Arial"/>
          <w:sz w:val="12"/>
          <w:szCs w:val="12"/>
          <w:color w:val="auto"/>
        </w:rPr>
        <w:t>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Specifically, the sponsor must certify with respect to each patent that:</w:t>
      </w:r>
    </w:p>
    <w:p>
      <w:pPr>
        <w:spacing w:after="0" w:line="78" w:lineRule="exact"/>
        <w:rPr>
          <w:sz w:val="20"/>
          <w:szCs w:val="20"/>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required patent information has not been filed;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listed patent has expired;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listed patent has not expired, but will expire on a particular date and approval is sought after patent expiration; or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listed patent is invalid, unenforceable or will not be infringed by the new product.</w:t>
      </w:r>
    </w:p>
    <w:p>
      <w:pPr>
        <w:spacing w:after="0" w:line="150" w:lineRule="exact"/>
        <w:rPr>
          <w:sz w:val="20"/>
          <w:szCs w:val="20"/>
          <w:color w:val="auto"/>
        </w:rPr>
      </w:pPr>
    </w:p>
    <w:p>
      <w:pPr>
        <w:jc w:val="both"/>
        <w:ind w:right="160" w:firstLine="432"/>
        <w:spacing w:after="0" w:line="268" w:lineRule="auto"/>
        <w:rPr>
          <w:sz w:val="20"/>
          <w:szCs w:val="20"/>
          <w:color w:val="auto"/>
        </w:rPr>
      </w:pPr>
      <w:r>
        <w:rPr>
          <w:rFonts w:ascii="Arial" w:cs="Arial" w:eastAsia="Arial" w:hAnsi="Arial"/>
          <w:sz w:val="12"/>
          <w:szCs w:val="12"/>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sponsor is not seeking approval).</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sponsor.</w:t>
      </w:r>
    </w:p>
    <w:p>
      <w:pPr>
        <w:spacing w:after="0" w:line="117"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2"/>
          <w:szCs w:val="12"/>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63" w:name="page64"/>
    <w:bookmarkEnd w:id="63"/>
    <w:p>
      <w:pPr>
        <w:ind w:right="380"/>
        <w:spacing w:after="0" w:line="286" w:lineRule="auto"/>
        <w:rPr>
          <w:sz w:val="20"/>
          <w:szCs w:val="20"/>
          <w:color w:val="auto"/>
        </w:rPr>
      </w:pPr>
      <w:r>
        <w:rPr>
          <w:rFonts w:ascii="Arial" w:cs="Arial" w:eastAsia="Arial" w:hAnsi="Arial"/>
          <w:sz w:val="12"/>
          <w:szCs w:val="12"/>
          <w:color w:val="auto"/>
        </w:rPr>
        <w:t>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sponsor.</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Pediatric Exclusivity</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Pediatric exclusivity is another type of non-patent marketing exclusivity in the United States and, if granted, provides for the attachment of an additional six months of regulatory exclusivity to the term of any patent or existing regulatory exclusivity, including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Orphan Drug Designation and Exclusivity</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19" w:lineRule="exact"/>
        <w:rPr>
          <w:sz w:val="20"/>
          <w:szCs w:val="20"/>
          <w:color w:val="auto"/>
        </w:rPr>
      </w:pPr>
    </w:p>
    <w:p>
      <w:pPr>
        <w:ind w:right="40" w:firstLine="432"/>
        <w:spacing w:after="0" w:line="288" w:lineRule="auto"/>
        <w:rPr>
          <w:sz w:val="20"/>
          <w:szCs w:val="20"/>
          <w:color w:val="auto"/>
        </w:rPr>
      </w:pPr>
      <w:r>
        <w:rPr>
          <w:rFonts w:ascii="Arial" w:cs="Arial" w:eastAsia="Arial" w:hAnsi="Arial"/>
          <w:sz w:val="11"/>
          <w:szCs w:val="11"/>
          <w:color w:val="auto"/>
        </w:rPr>
        <w:t>The period of market exclusivity begins on the date that the marketing application is approved by the FDA and applies only to the disease or condition for which the product has been designated. Orphan drug exclusivity will not bar approval of another product under certain circumstances, including if the company with orphan drug exclusivity is not able to meet market demand or the subsequent product is shown to be clinically superior to the approved product on the basis of greater efficacy or safety, or providing a major contribution to patient care. This is the case despite an earlier court opinion holding that the Orphan Drug Act unambiguously required the FDA to recognize orphan drug exclusivity regardless of a showing of clinical superiority. Under Omnibus legislation signed by President Trump on December 27, 2020, the requirement for a product to show clinical superiority applies to drug products that received orphan drug designation before enactment of amendments to the FDCA in 2017 but have not yet been approved by FDA.</w:t>
      </w:r>
    </w:p>
    <w:p>
      <w:pPr>
        <w:spacing w:after="0" w:line="123" w:lineRule="exact"/>
        <w:rPr>
          <w:sz w:val="20"/>
          <w:szCs w:val="20"/>
          <w:color w:val="auto"/>
        </w:rPr>
      </w:pPr>
    </w:p>
    <w:p>
      <w:pPr>
        <w:ind w:right="260" w:firstLine="432"/>
        <w:spacing w:after="0" w:line="262" w:lineRule="auto"/>
        <w:rPr>
          <w:sz w:val="20"/>
          <w:szCs w:val="20"/>
          <w:color w:val="auto"/>
        </w:rPr>
      </w:pPr>
      <w:r>
        <w:rPr>
          <w:rFonts w:ascii="Arial" w:cs="Arial" w:eastAsia="Arial" w:hAnsi="Arial"/>
          <w:sz w:val="12"/>
          <w:szCs w:val="12"/>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FDA announced that, in matters beyond the scope of that court order, FDA will continue to apply its existing regulations tying orphan-drug exclusivity to the uses or indications for which the orphan drug was approved.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64" w:name="page65"/>
    <w:bookmarkEnd w:id="64"/>
    <w:p>
      <w:pPr>
        <w:ind w:left="420"/>
        <w:spacing w:after="0"/>
        <w:rPr>
          <w:sz w:val="20"/>
          <w:szCs w:val="20"/>
          <w:color w:val="auto"/>
        </w:rPr>
      </w:pPr>
      <w:r>
        <w:rPr>
          <w:rFonts w:ascii="Arial" w:cs="Arial" w:eastAsia="Arial" w:hAnsi="Arial"/>
          <w:sz w:val="12"/>
          <w:szCs w:val="12"/>
          <w:b w:val="1"/>
          <w:bCs w:val="1"/>
          <w:color w:val="auto"/>
        </w:rPr>
        <w:t>Patent Term Restoration and Extension</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A patent claiming a new drug product, its method of use or its method of manufacture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the IND for the clinical investigation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Federal and State Data Privacy and Security Laws</w:t>
      </w:r>
    </w:p>
    <w:p>
      <w:pPr>
        <w:spacing w:after="0" w:line="7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There are multiple privacy and data security laws that may impact our business activities, in the U.S. and in other countries where we conduct trials or where we may do business in the future. These laws are evolving and may increase both our obligations and our regulatory risks in the future. In the health care industry generally, 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In recent months, HHS has been especially active in enforcing the HIPAA Rules and is looking to amend some of its rules (including those relating to data security), both of create additional compliance risks for our business.</w:t>
      </w:r>
    </w:p>
    <w:p>
      <w:pPr>
        <w:spacing w:after="0" w:line="12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Our clinical trials will be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to potential enforcement by the HHS and state attorneys general, we could also be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be impacted by the change in administration and new leadership. These shifts in enforcement priorities may also impact our business.</w:t>
      </w:r>
    </w:p>
    <w:p>
      <w:pPr>
        <w:spacing w:after="0" w:line="150"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26"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spacing w:after="0" w:line="123"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Health Care Law and Regulation</w:t>
      </w:r>
    </w:p>
    <w:p>
      <w:pPr>
        <w:spacing w:after="0" w:line="78"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state and federal fraud and abuse laws and regulations (including anti-kickback and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42" w:lineRule="exact"/>
        <w:rPr>
          <w:sz w:val="20"/>
          <w:szCs w:val="20"/>
          <w:color w:val="auto"/>
        </w:rPr>
      </w:pPr>
    </w:p>
    <w:p>
      <w:pPr>
        <w:ind w:left="640" w:hanging="216"/>
        <w:spacing w:after="0" w:line="286" w:lineRule="auto"/>
        <w:tabs>
          <w:tab w:leader="none" w:pos="637"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and entities from knowingly and willfully soliciting, offering, paying, or receiving remuneration, directly or indirectly, in cash or in kind, to induce or reward either the referral of an individual for, or the purchasing, ordering, leasing, arranging for, or recommending the purchasing, ordering, or leasing of, any good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66" w:name="page67"/>
    <w:bookmarkEnd w:id="66"/>
    <w:p>
      <w:pPr>
        <w:ind w:left="640"/>
        <w:spacing w:after="0"/>
        <w:rPr>
          <w:sz w:val="20"/>
          <w:szCs w:val="20"/>
          <w:color w:val="auto"/>
        </w:rPr>
      </w:pPr>
      <w:r>
        <w:rPr>
          <w:rFonts w:ascii="Arial" w:cs="Arial" w:eastAsia="Arial" w:hAnsi="Arial"/>
          <w:sz w:val="12"/>
          <w:szCs w:val="12"/>
          <w:color w:val="auto"/>
        </w:rPr>
        <w:t>or service for which payment may be made, in whole or in part, under a federal health care program such as Medicare and Medicaid;</w:t>
      </w:r>
    </w:p>
    <w:p>
      <w:pPr>
        <w:spacing w:after="0" w:line="78" w:lineRule="exact"/>
        <w:rPr>
          <w:sz w:val="20"/>
          <w:szCs w:val="20"/>
          <w:color w:val="auto"/>
        </w:rPr>
      </w:pPr>
    </w:p>
    <w:p>
      <w:pPr>
        <w:ind w:left="640" w:right="80" w:hanging="216"/>
        <w:spacing w:after="0" w:line="268"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civil and criminal false claims laws, including the civil False Claims Act, and Civil Monetary Penalties Law, which prohibit individuals or entities from, among other things, 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w:t>
      </w:r>
    </w:p>
    <w:p>
      <w:pPr>
        <w:spacing w:after="0" w:line="41" w:lineRule="exact"/>
        <w:rPr>
          <w:rFonts w:ascii="Arial" w:cs="Arial" w:eastAsia="Arial" w:hAnsi="Arial"/>
          <w:sz w:val="12"/>
          <w:szCs w:val="12"/>
          <w:color w:val="auto"/>
        </w:rPr>
      </w:pPr>
    </w:p>
    <w:p>
      <w:pPr>
        <w:ind w:left="640" w:right="180" w:hanging="216"/>
        <w:spacing w:after="0" w:line="286"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31" w:lineRule="exact"/>
        <w:rPr>
          <w:rFonts w:ascii="Arial" w:cs="Arial" w:eastAsia="Arial" w:hAnsi="Arial"/>
          <w:sz w:val="12"/>
          <w:szCs w:val="12"/>
          <w:color w:val="auto"/>
        </w:rPr>
      </w:pPr>
    </w:p>
    <w:p>
      <w:pPr>
        <w:ind w:left="640" w:right="260" w:hanging="216"/>
        <w:spacing w:after="0" w:line="286"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and the regulations promulgated thereunder, including 45 C.F.R. Parts 160 and 164, imposing rules regarding privacy, security, and data breach notifications;</w:t>
      </w:r>
    </w:p>
    <w:p>
      <w:pPr>
        <w:spacing w:after="0" w:line="31" w:lineRule="exact"/>
        <w:rPr>
          <w:rFonts w:ascii="Arial" w:cs="Arial" w:eastAsia="Arial" w:hAnsi="Arial"/>
          <w:sz w:val="12"/>
          <w:szCs w:val="12"/>
          <w:color w:val="auto"/>
        </w:rPr>
      </w:pPr>
    </w:p>
    <w:p>
      <w:pPr>
        <w:ind w:left="640" w:right="20" w:hanging="216"/>
        <w:spacing w:after="0" w:line="286"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Arial" w:cs="Arial" w:eastAsia="Arial" w:hAnsi="Arial"/>
          <w:sz w:val="12"/>
          <w:szCs w:val="12"/>
          <w:color w:val="auto"/>
        </w:rPr>
      </w:pPr>
    </w:p>
    <w:p>
      <w:pPr>
        <w:ind w:left="640" w:right="80" w:hanging="216"/>
        <w:spacing w:after="0" w:line="262"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federal physician transparency requirements known as the Physician Payments Sunshine Act, under the Patient Protection and Affordable Care Act, as amended by the Health Care Education Reconciliation Act, or the Affordable Care Act, or the ACA, which requires manufacturers of drugs, medical devices, biological and medical supplies covered by Medicare, Medicaid, or State Children’s Health Insurance Program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45" w:lineRule="exact"/>
        <w:rPr>
          <w:rFonts w:ascii="Arial" w:cs="Arial" w:eastAsia="Arial" w:hAnsi="Arial"/>
          <w:sz w:val="12"/>
          <w:szCs w:val="12"/>
          <w:color w:val="auto"/>
        </w:rPr>
      </w:pPr>
    </w:p>
    <w:p>
      <w:pPr>
        <w:ind w:left="640" w:hanging="216"/>
        <w:spacing w:after="0" w:line="286" w:lineRule="auto"/>
        <w:tabs>
          <w:tab w:leader="none" w:pos="6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03"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Pharmaceutical Insurance Coverage and Health Care Reform</w:t>
      </w:r>
    </w:p>
    <w:p>
      <w:pPr>
        <w:spacing w:after="0" w:line="78"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In the United States and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7" w:name="page68"/>
    <w:bookmarkEnd w:id="67"/>
    <w:p>
      <w:pPr>
        <w:ind w:right="40" w:firstLine="432"/>
        <w:spacing w:after="0" w:line="288" w:lineRule="auto"/>
        <w:rPr>
          <w:sz w:val="20"/>
          <w:szCs w:val="20"/>
          <w:color w:val="auto"/>
        </w:rPr>
      </w:pPr>
      <w:r>
        <w:rPr>
          <w:rFonts w:ascii="Arial" w:cs="Arial" w:eastAsia="Arial" w:hAnsi="Arial"/>
          <w:sz w:val="11"/>
          <w:szCs w:val="11"/>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05"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1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2"/>
          <w:szCs w:val="12"/>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6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In March 2010, former President Obama signed into law the ACA.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of Medicare payments to providers of up to 2% per fiscal year, which went into effect in April 2013 and will remain in effect through 2030 under the Coronavirus Aid, Relief, and Economic Security Act, or the CARES Act.</w:t>
      </w:r>
    </w:p>
    <w:p>
      <w:pPr>
        <w:spacing w:after="0" w:line="119"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103"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 The Consolidated Appropriations Act, which was signed into law by former President Biden in December 2022,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The U.S. Supreme Court, on June 17, 2021, dismissed an action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68" w:name="page69"/>
    <w:bookmarkEnd w:id="68"/>
    <w:p>
      <w:pPr>
        <w:ind w:right="280"/>
        <w:spacing w:after="0" w:line="286" w:lineRule="auto"/>
        <w:rPr>
          <w:sz w:val="20"/>
          <w:szCs w:val="20"/>
          <w:color w:val="auto"/>
        </w:rPr>
      </w:pPr>
      <w:r>
        <w:rPr>
          <w:rFonts w:ascii="Arial" w:cs="Arial" w:eastAsia="Arial" w:hAnsi="Arial"/>
          <w:sz w:val="12"/>
          <w:szCs w:val="12"/>
          <w:color w:val="auto"/>
        </w:rPr>
        <w:t>challenging the constitutionality of the ACA after finding that the plaintiffs do not have standing to bring the action. Litigation and legislation over the ACA are likely to continue, with unpredictable and uncertain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Pharmaceutical Price Reforms</w:t>
      </w:r>
    </w:p>
    <w:p>
      <w:pPr>
        <w:spacing w:after="0" w:line="78"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w:t>
      </w:r>
    </w:p>
    <w:p>
      <w:pPr>
        <w:spacing w:after="0" w:line="1"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color w:val="auto"/>
        </w:rPr>
        <w:t>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09"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addition, in October 2020, HHS and the FDA published a final rule allowing states and other entities to develop a Section 804 Importation Program to import certain prescription products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products from Canada. North Dakota and Virginia have passed legislation establishing workgroups to examine the impact of a state importation program. As of May 2024, five states (Colorado, Florida, Maine, New Hampshire and New Mexico) had submitted Section 804 Importation Program proposals to the FDA.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w:t>
      </w:r>
    </w:p>
    <w:p>
      <w:pPr>
        <w:spacing w:after="0" w:line="122" w:lineRule="exact"/>
        <w:rPr>
          <w:sz w:val="20"/>
          <w:szCs w:val="20"/>
          <w:color w:val="auto"/>
        </w:rPr>
      </w:pPr>
    </w:p>
    <w:p>
      <w:pPr>
        <w:ind w:firstLine="432"/>
        <w:spacing w:after="0" w:line="303" w:lineRule="auto"/>
        <w:rPr>
          <w:sz w:val="20"/>
          <w:szCs w:val="20"/>
          <w:color w:val="auto"/>
        </w:rPr>
      </w:pPr>
      <w:r>
        <w:rPr>
          <w:rFonts w:ascii="Arial" w:cs="Arial" w:eastAsia="Arial" w:hAnsi="Arial"/>
          <w:sz w:val="11"/>
          <w:szCs w:val="11"/>
          <w:color w:val="auto"/>
        </w:rPr>
        <w:t>Further,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IRA, has been delayed by Congress to January 1, 2032.</w:t>
      </w:r>
    </w:p>
    <w:p>
      <w:pPr>
        <w:spacing w:after="0" w:line="124"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On July 9, 2021, former President Biden signed Executive Order 14063, which focuses on, among other things, the price of pharmaceuticals. The Order directs HHS to create a plan within 45 days to combat “excessive pricing of prescription pharmaceuticals and enhance domestic pharmaceutical supply chains, to reduce the prices paid by the federal government for such pharmaceuticals, and to address the</w:t>
      </w:r>
    </w:p>
    <w:p>
      <w:pPr>
        <w:spacing w:after="0" w:line="1" w:lineRule="exact"/>
        <w:rPr>
          <w:sz w:val="20"/>
          <w:szCs w:val="20"/>
          <w:color w:val="auto"/>
        </w:rPr>
      </w:pPr>
    </w:p>
    <w:p>
      <w:pPr>
        <w:ind w:right="380"/>
        <w:spacing w:after="0" w:line="262" w:lineRule="auto"/>
        <w:rPr>
          <w:sz w:val="20"/>
          <w:szCs w:val="20"/>
          <w:color w:val="auto"/>
        </w:rPr>
      </w:pPr>
      <w:r>
        <w:rPr>
          <w:rFonts w:ascii="Arial" w:cs="Arial" w:eastAsia="Arial" w:hAnsi="Arial"/>
          <w:sz w:val="12"/>
          <w:szCs w:val="12"/>
          <w:color w:val="auto"/>
        </w:rPr>
        <w:t>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17"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On August 16, 2022, the IRA was signed into law by former President Biden. The new legislation has implications for Medicare Part D, which is a program available to individuals who are entitled to Medicare Part A or enrolled in Medicare Part B to give them the option of enrolling in a plan providing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38" w:right="339" w:bottom="1440" w:gutter="0" w:footer="0" w:header="0"/>
        </w:sectPr>
      </w:pPr>
    </w:p>
    <w:bookmarkStart w:id="69" w:name="page70"/>
    <w:bookmarkEnd w:id="69"/>
    <w:p>
      <w:pPr>
        <w:ind w:right="400"/>
        <w:spacing w:after="0" w:line="286" w:lineRule="auto"/>
        <w:rPr>
          <w:sz w:val="20"/>
          <w:szCs w:val="20"/>
          <w:color w:val="auto"/>
        </w:rPr>
      </w:pPr>
      <w:r>
        <w:rPr>
          <w:rFonts w:ascii="Arial" w:cs="Arial" w:eastAsia="Arial" w:hAnsi="Arial"/>
          <w:sz w:val="12"/>
          <w:szCs w:val="12"/>
          <w:color w:val="auto"/>
        </w:rPr>
        <w:t>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03"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additional Part D drugs in 2027, 15 additional Part B or Part D drugs in 2028, and 20 additional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beneficiaries' out-of-pocket drug costs at an estimated $4,000 a year in 2024 and, thereafter beginning in 2025, at $2,000 a year.</w:t>
      </w:r>
    </w:p>
    <w:p>
      <w:pPr>
        <w:spacing w:after="0" w:line="122"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On January 17, 2025, CMS announced the selection of 15 additional drugs covered by Part D for the second cycle of negotiations. This second cycle of negotiations with participating drug companies will occur during 2025, and any negotiated prices for this second set of drugs will be effective starting January 1, 2027.</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Astellas Pharma Inc., Novo Nordisk Inc., Janssen Pharmaceuticals, Inc., Novartis AG, AstraZeneca PLC and C.H. Boehringer Sohn AG &amp; Co. KG,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Litigation involving these and other provisions of the IRA will continue with unpredictable and uncertain results.</w:t>
      </w:r>
    </w:p>
    <w:p>
      <w:pPr>
        <w:spacing w:after="0" w:line="121"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 bulk purchasing. A number of states, for example, require drug manufacturers and other entities in the drug supply chain, including health carriers, pharmacy benefit managers, wholesale distributors, to</w:t>
      </w:r>
    </w:p>
    <w:p>
      <w:pPr>
        <w:spacing w:after="0" w:line="33"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disclose information about pricing of pharmaceuticals. 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Review and Approval of Medicinal Products in the European Union</w:t>
      </w:r>
    </w:p>
    <w:p>
      <w:pPr>
        <w:spacing w:after="0" w:line="78" w:lineRule="exact"/>
        <w:rPr>
          <w:sz w:val="20"/>
          <w:szCs w:val="20"/>
          <w:color w:val="auto"/>
        </w:rPr>
      </w:pPr>
    </w:p>
    <w:p>
      <w:pPr>
        <w:jc w:val="both"/>
        <w:ind w:right="40" w:firstLine="432"/>
        <w:spacing w:after="0" w:line="268" w:lineRule="auto"/>
        <w:rPr>
          <w:sz w:val="20"/>
          <w:szCs w:val="20"/>
          <w:color w:val="auto"/>
        </w:rPr>
      </w:pPr>
      <w:r>
        <w:rPr>
          <w:rFonts w:ascii="Arial" w:cs="Arial" w:eastAsia="Arial" w:hAnsi="Arial"/>
          <w:sz w:val="12"/>
          <w:szCs w:val="12"/>
          <w:color w:val="auto"/>
        </w:rPr>
        <w:t>In order to market any product outside of the United States, a sponsor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70" w:name="page71"/>
    <w:bookmarkEnd w:id="70"/>
    <w:p>
      <w:pPr>
        <w:ind w:right="200"/>
        <w:spacing w:after="0" w:line="268" w:lineRule="auto"/>
        <w:rPr>
          <w:sz w:val="20"/>
          <w:szCs w:val="20"/>
          <w:color w:val="auto"/>
        </w:rPr>
      </w:pPr>
      <w:r>
        <w:rPr>
          <w:rFonts w:ascii="Arial" w:cs="Arial" w:eastAsia="Arial" w:hAnsi="Arial"/>
          <w:sz w:val="12"/>
          <w:szCs w:val="12"/>
          <w:color w:val="auto"/>
        </w:rPr>
        <w:t>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w:t>
      </w:r>
    </w:p>
    <w:p>
      <w:pPr>
        <w:spacing w:after="0" w:line="11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1"/>
          <w:szCs w:val="11"/>
          <w:color w:val="auto"/>
        </w:rPr>
        <w:t>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 generally follows the same lines as in the United States, as further detailed below.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Non-clinical Studies</w:t>
      </w:r>
    </w:p>
    <w:p>
      <w:pPr>
        <w:spacing w:after="0" w:line="76"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 xml:space="preserve">Non-clinical studies are performed to demonstrate the health or environmental safety of new chemical or biological substances. Non-clinical (pharmaco-toxicological) studies must be conducted in compliance with the GLP principles as set forth in EU Directive 2004/10/EC (unless otherwise justified for certain particular medicinal products – e.g., radio-pharmaceutical precursors for radio-labeling purposes). In particular, non-clinical studies, both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Clinical Trial Approval</w:t>
      </w:r>
    </w:p>
    <w:p>
      <w:pPr>
        <w:spacing w:after="0" w:line="78"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On January 31, 2022, the Clinical Trials Regulation (EU) No 536/2014, or CTR, became effective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European Union, or EU Member State, is only required to submit a single application for approval. The submission is made through the Clinical Trials Information System, a new clinical trials portal overseen by the EMA and available to clinical trial sponsors, competent authorities of the EU Member States and the public.</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The main characteristics of the regulation include: a streamlined application procedure via a single entry point, the "EU Portal ad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CTR.</w:t>
      </w:r>
    </w:p>
    <w:p>
      <w:pPr>
        <w:spacing w:after="0" w:line="121"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2"/>
          <w:szCs w:val="12"/>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14"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71" w:name="page72"/>
    <w:bookmarkEnd w:id="71"/>
    <w:p>
      <w:pPr>
        <w:spacing w:after="0"/>
        <w:rPr>
          <w:sz w:val="20"/>
          <w:szCs w:val="20"/>
          <w:color w:val="auto"/>
        </w:rPr>
      </w:pPr>
      <w:r>
        <w:rPr>
          <w:rFonts w:ascii="Arial" w:cs="Arial" w:eastAsia="Arial" w:hAnsi="Arial"/>
          <w:sz w:val="12"/>
          <w:szCs w:val="12"/>
          <w:color w:val="auto"/>
        </w:rPr>
        <w:t>January 31, 2025. After this date, all clinical trials (including those which are ongoing) will become subject to the provisions of the CTR.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Parties conducting certain clinical trials must, as in the United States, post clinical trial information in the EU at the EU Clinical Trials Register.</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PRIME Designation in the EU</w:t>
      </w:r>
    </w:p>
    <w:p>
      <w:pPr>
        <w:spacing w:after="0" w:line="7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EMA's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Pediatric Studies</w:t>
      </w:r>
    </w:p>
    <w:p>
      <w:pPr>
        <w:spacing w:after="0" w:line="78"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Prior to obtaining a marketing authorization in the European Union, sponsors must demonstrate compliance with all measures included in an EMA-approved Paediatric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Marketing Authorization</w:t>
      </w:r>
    </w:p>
    <w:p>
      <w:pPr>
        <w:spacing w:after="0" w:line="78" w:lineRule="exact"/>
        <w:rPr>
          <w:sz w:val="20"/>
          <w:szCs w:val="20"/>
          <w:color w:val="auto"/>
        </w:rPr>
      </w:pPr>
    </w:p>
    <w:p>
      <w:pPr>
        <w:ind w:right="280" w:firstLine="432"/>
        <w:spacing w:after="0" w:line="262" w:lineRule="auto"/>
        <w:rPr>
          <w:sz w:val="20"/>
          <w:szCs w:val="20"/>
          <w:color w:val="auto"/>
        </w:rPr>
      </w:pPr>
      <w:r>
        <w:rPr>
          <w:rFonts w:ascii="Arial" w:cs="Arial" w:eastAsia="Arial" w:hAnsi="Arial"/>
          <w:sz w:val="12"/>
          <w:szCs w:val="12"/>
          <w:color w:val="auto"/>
        </w:rPr>
        <w:t>To obtain a marketing authorization for a product under EU regulatory systems, a sponsor must submit an MAA either under a centralized procedure administered by the EMA, or one of the procedures administered by competent authorities in the EU Member States (decentralized procedure or mutual recognition procedure). A marketing authorization may be granted only to a sponsor established in the EU. Regulation (EC) No 1901/2006 provides that prior to obtaining a marketing authorization in the EU, sponsors have to demonstrate compliance with all measures included in an EMA-approved PIP covering all subsets of the pediatric population, unless the EMA has granted (1) a product-specific waiver, (2) a class waiver or (3) a deferral for one or more of the measures included in the PIP.</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72" w:name="page73"/>
    <w:bookmarkEnd w:id="72"/>
    <w:p>
      <w:pPr>
        <w:ind w:right="100" w:firstLine="432"/>
        <w:spacing w:after="0" w:line="254" w:lineRule="auto"/>
        <w:rPr>
          <w:sz w:val="20"/>
          <w:szCs w:val="20"/>
          <w:color w:val="auto"/>
        </w:rPr>
      </w:pPr>
      <w:r>
        <w:rPr>
          <w:rFonts w:ascii="Arial" w:cs="Arial" w:eastAsia="Arial" w:hAnsi="Arial"/>
          <w:sz w:val="12"/>
          <w:szCs w:val="12"/>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w:t>
      </w:r>
    </w:p>
    <w:p>
      <w:pPr>
        <w:spacing w:after="0" w:line="126" w:lineRule="exact"/>
        <w:rPr>
          <w:sz w:val="20"/>
          <w:szCs w:val="20"/>
          <w:color w:val="auto"/>
        </w:rPr>
      </w:pPr>
    </w:p>
    <w:p>
      <w:pPr>
        <w:jc w:val="both"/>
        <w:ind w:right="160" w:firstLine="432"/>
        <w:spacing w:after="0" w:line="268" w:lineRule="auto"/>
        <w:rPr>
          <w:sz w:val="20"/>
          <w:szCs w:val="20"/>
          <w:color w:val="auto"/>
        </w:rPr>
      </w:pPr>
      <w:r>
        <w:rPr>
          <w:rFonts w:ascii="Arial" w:cs="Arial" w:eastAsia="Arial" w:hAnsi="Arial"/>
          <w:sz w:val="12"/>
          <w:szCs w:val="12"/>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19" w:lineRule="exact"/>
        <w:rPr>
          <w:sz w:val="20"/>
          <w:szCs w:val="20"/>
          <w:color w:val="auto"/>
        </w:rPr>
      </w:pPr>
    </w:p>
    <w:p>
      <w:pPr>
        <w:ind w:right="220" w:firstLine="432"/>
        <w:spacing w:after="0" w:line="268" w:lineRule="auto"/>
        <w:rPr>
          <w:sz w:val="20"/>
          <w:szCs w:val="20"/>
          <w:color w:val="auto"/>
        </w:rPr>
      </w:pPr>
      <w:r>
        <w:rPr>
          <w:rFonts w:ascii="Arial" w:cs="Arial" w:eastAsia="Arial" w:hAnsi="Arial"/>
          <w:sz w:val="12"/>
          <w:szCs w:val="12"/>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Marketing Authorization under Exceptional Circumstances</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The European Commission may grant a so-called “marketing authorization under exceptional circumstances” under Article 14(8) of Regulation (EC) No 726/2004. Such authorization is intended for products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47" w:lineRule="exact"/>
        <w:rPr>
          <w:sz w:val="20"/>
          <w:szCs w:val="20"/>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sponsor must complete an identified program of studies within a time period specified by the competent authority, the results of which form the basis of a reassessment of the benefit/risk profile;</w:t>
      </w:r>
    </w:p>
    <w:p>
      <w:pPr>
        <w:spacing w:after="0" w:line="78" w:lineRule="exact"/>
        <w:rPr>
          <w:rFonts w:ascii="Arial" w:cs="Arial" w:eastAsia="Arial" w:hAnsi="Arial"/>
          <w:sz w:val="12"/>
          <w:szCs w:val="12"/>
          <w:color w:val="auto"/>
        </w:rPr>
      </w:pPr>
    </w:p>
    <w:p>
      <w:pPr>
        <w:ind w:left="640" w:hanging="216"/>
        <w:spacing w:after="0" w:line="286" w:lineRule="auto"/>
        <w:tabs>
          <w:tab w:leader="none" w:pos="6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73" w:name="page74"/>
    <w:bookmarkEnd w:id="73"/>
    <w:p>
      <w:pPr>
        <w:ind w:left="640" w:right="340" w:hanging="216"/>
        <w:spacing w:after="0" w:line="286" w:lineRule="auto"/>
        <w:tabs>
          <w:tab w:leader="none" w:pos="6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03"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Conditional Marketing Authorization</w:t>
      </w:r>
    </w:p>
    <w:p>
      <w:pPr>
        <w:spacing w:after="0" w:line="78"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European Commission may also grant a so-called “conditional marketing authorization” prior to obtaining the comprehensive clinical data required for an application for a full marketing authorization under Article 14-a of Regulation (EC) No 726/2004.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Regulatory Data Protection in the EU</w:t>
      </w:r>
    </w:p>
    <w:p>
      <w:pPr>
        <w:spacing w:after="0" w:line="78"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Periods of Authorization and Renewals</w:t>
      </w:r>
    </w:p>
    <w:p>
      <w:pPr>
        <w:spacing w:after="0" w:line="78"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4" w:name="page75"/>
    <w:bookmarkEnd w:id="74"/>
    <w:p>
      <w:pPr>
        <w:ind w:right="40"/>
        <w:spacing w:after="0" w:line="268" w:lineRule="auto"/>
        <w:rPr>
          <w:sz w:val="20"/>
          <w:szCs w:val="20"/>
          <w:color w:val="auto"/>
        </w:rPr>
      </w:pPr>
      <w:r>
        <w:rPr>
          <w:rFonts w:ascii="Arial" w:cs="Arial" w:eastAsia="Arial" w:hAnsi="Arial"/>
          <w:sz w:val="12"/>
          <w:szCs w:val="12"/>
          <w:color w:val="auto"/>
        </w:rPr>
        <w:t>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or if initially placed on the market, is no longer actually present on the market for three consecutive years, ceases to be valid (the so-called sunset clause).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Pediatric Exclusivity</w:t>
      </w:r>
    </w:p>
    <w:p>
      <w:pPr>
        <w:spacing w:after="0" w:line="78"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Orphan Drug Designation and Exclusivity</w:t>
      </w:r>
    </w:p>
    <w:p>
      <w:pPr>
        <w:spacing w:after="0" w:line="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Patent Term Extensions in the European Union and Other Jurisdictions</w:t>
      </w:r>
    </w:p>
    <w:p>
      <w:pPr>
        <w:spacing w:after="0" w:line="78" w:lineRule="exact"/>
        <w:rPr>
          <w:sz w:val="20"/>
          <w:szCs w:val="20"/>
          <w:color w:val="auto"/>
        </w:rPr>
      </w:pPr>
    </w:p>
    <w:p>
      <w:pPr>
        <w:jc w:val="both"/>
        <w:ind w:right="60" w:firstLine="432"/>
        <w:spacing w:after="0" w:line="262" w:lineRule="auto"/>
        <w:rPr>
          <w:sz w:val="20"/>
          <w:szCs w:val="20"/>
          <w:color w:val="auto"/>
        </w:rPr>
      </w:pPr>
      <w:r>
        <w:rPr>
          <w:rFonts w:ascii="Arial" w:cs="Arial" w:eastAsia="Arial" w:hAnsi="Arial"/>
          <w:sz w:val="12"/>
          <w:szCs w:val="12"/>
          <w:color w:val="auto"/>
        </w:rPr>
        <w:t>The European Union also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above. Although SPCs are available throughout the European Union, sponsors must apply on a country-by-country basis, and SPCs are valid. Similar patent term extension rights exist in certain other foreign jurisdictions outside the European Union.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5" w:name="page76"/>
    <w:bookmarkEnd w:id="75"/>
    <w:p>
      <w:pPr>
        <w:ind w:left="420"/>
        <w:spacing w:after="0"/>
        <w:rPr>
          <w:sz w:val="20"/>
          <w:szCs w:val="20"/>
          <w:color w:val="auto"/>
        </w:rPr>
      </w:pPr>
      <w:r>
        <w:rPr>
          <w:rFonts w:ascii="Arial" w:cs="Arial" w:eastAsia="Arial" w:hAnsi="Arial"/>
          <w:sz w:val="12"/>
          <w:szCs w:val="12"/>
          <w:b w:val="1"/>
          <w:bCs w:val="1"/>
          <w:color w:val="auto"/>
        </w:rPr>
        <w:t>Regulatory Requirements after a Marketing Authorization has been Obtained</w:t>
      </w:r>
    </w:p>
    <w:p>
      <w:pPr>
        <w:spacing w:after="0" w:line="78" w:lineRule="exact"/>
        <w:rPr>
          <w:sz w:val="20"/>
          <w:szCs w:val="20"/>
          <w:color w:val="auto"/>
        </w:rPr>
      </w:pPr>
    </w:p>
    <w:p>
      <w:pPr>
        <w:ind w:right="560" w:firstLine="432"/>
        <w:spacing w:after="0" w:line="286" w:lineRule="auto"/>
        <w:rPr>
          <w:sz w:val="20"/>
          <w:szCs w:val="20"/>
          <w:color w:val="auto"/>
        </w:rPr>
      </w:pPr>
      <w:r>
        <w:rPr>
          <w:rFonts w:ascii="Arial" w:cs="Arial" w:eastAsia="Arial" w:hAnsi="Arial"/>
          <w:sz w:val="12"/>
          <w:szCs w:val="12"/>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31"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Compliance with the EU’s stringent pharmacovigilance or safety reporting rules must be ensured. These rules can impose post-authorization studies and additional monitoring obligations.</w:t>
      </w:r>
    </w:p>
    <w:p>
      <w:pPr>
        <w:spacing w:after="0" w:line="78" w:lineRule="exact"/>
        <w:rPr>
          <w:rFonts w:ascii="Arial" w:cs="Arial" w:eastAsia="Arial" w:hAnsi="Arial"/>
          <w:sz w:val="12"/>
          <w:szCs w:val="12"/>
          <w:color w:val="auto"/>
        </w:rPr>
      </w:pPr>
    </w:p>
    <w:p>
      <w:pPr>
        <w:ind w:left="640" w:right="20" w:hanging="216"/>
        <w:spacing w:after="0" w:line="262" w:lineRule="auto"/>
        <w:tabs>
          <w:tab w:leader="none" w:pos="6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45" w:lineRule="exact"/>
        <w:rPr>
          <w:rFonts w:ascii="Arial" w:cs="Arial" w:eastAsia="Arial" w:hAnsi="Arial"/>
          <w:sz w:val="12"/>
          <w:szCs w:val="12"/>
          <w:color w:val="auto"/>
        </w:rPr>
      </w:pPr>
    </w:p>
    <w:p>
      <w:pPr>
        <w:ind w:left="640" w:right="260" w:hanging="216"/>
        <w:spacing w:after="0" w:line="268" w:lineRule="auto"/>
        <w:tabs>
          <w:tab w:leader="none" w:pos="6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Pricing Decisions for Approved Products</w:t>
      </w:r>
    </w:p>
    <w:p>
      <w:pPr>
        <w:spacing w:after="0" w:line="7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Brexit and the Regulatory Framework in the United Kingdom</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United Kingdom’s withdrawal from the EU took place on January 31, 2020. The EU and the United Kingdom reached an agreement on their new partnership in the Trade and Cooperation Agreement, or the Agreement, which was applied provisionally beginning on January 1, 2021 and which entered into force on May 1, 2021. The Agreement focuses primarily on free trade by ensuring no tariffs or quotas on trade in goods, including healthcare products such as medicinal products. Thereafter, the EU and the United Kingdom will form two separate markets governed by two distinct regulatory and legal regimes. As such, the Agreement seeks to minimize barriers to trade in goods while accepting that border checks will become inevitable as a consequence that the United Kingdom is no longer part of the single market.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76" w:name="page77"/>
    <w:bookmarkEnd w:id="76"/>
    <w:p>
      <w:pPr>
        <w:ind w:firstLine="432"/>
        <w:spacing w:after="0" w:line="255" w:lineRule="auto"/>
        <w:rPr>
          <w:sz w:val="20"/>
          <w:szCs w:val="20"/>
          <w:color w:val="auto"/>
        </w:rPr>
      </w:pPr>
      <w:r>
        <w:rPr>
          <w:rFonts w:ascii="Arial" w:cs="Arial" w:eastAsia="Arial" w:hAnsi="Arial"/>
          <w:sz w:val="12"/>
          <w:szCs w:val="12"/>
          <w:color w:val="auto"/>
        </w:rPr>
        <w:t>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Britian and Northern Ireland), and the EMA will no longer have any role in approving medicinal products destined for Northern Ireland. A single United Kingdom -wide marketing authorization will be granted by the MHRA for all medicinal products to be sold in the United Kingdom, enabling products to be sold in a single pack and under a single authorization throughout the UK The Windsor Framework was approved by the EU-UK Joint Committee on March 24, 2023, so the United Kingdom government and the EU enacted legislative measures to bring it into law. On June 9, 2023, the MHRA announced that the medicines aspects of the Windsor Framework applies from January 1, 2025. The Human Medicines Regulations 2012 (SI 2012/1916) (as amended) (HMR) is the primary legal instrument for the regulation of medicines in the UK. The HMR has incorporated into the domestic law the body of EU law instruments governing medicinal products that pre-existed prior to the UK’s withdrawal from the EU.</w:t>
      </w:r>
    </w:p>
    <w:p>
      <w:pPr>
        <w:spacing w:after="0" w:line="123"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EU laws which have been transposed into United Kingdom law through secondary legislation continue to be applicable as “retained EU law”. However, new legislation such as the (EU) Clinical Trials Regulation will not be applicable in the United Kingdom. Since a significant proportion of the regulatory framework for pharmaceutical products in the UK covering the quality, safety, and efficacy of pharmaceutical products, clinical trials, MAs,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MAs from the EMA, and a separate MA will be required to market our product candidates in the United Kingdom. A new international recognition framework has been in place since January 1, 2024, whereby the MHRA will have regard to decisions on the approval of MAs made by the EMA and certain other regulators when determining an application for a new MA in the United Kingdom.</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General Data Protection Regulation</w:t>
      </w:r>
    </w:p>
    <w:p>
      <w:pPr>
        <w:spacing w:after="0" w:line="7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77" w:name="page78"/>
    <w:bookmarkEnd w:id="77"/>
    <w:p>
      <w:pPr>
        <w:ind w:firstLine="432"/>
        <w:spacing w:after="0" w:line="259" w:lineRule="auto"/>
        <w:rPr>
          <w:sz w:val="20"/>
          <w:szCs w:val="20"/>
          <w:color w:val="auto"/>
        </w:rPr>
      </w:pPr>
      <w:r>
        <w:rPr>
          <w:rFonts w:ascii="Arial" w:cs="Arial" w:eastAsia="Arial" w:hAnsi="Arial"/>
          <w:sz w:val="12"/>
          <w:szCs w:val="12"/>
          <w:color w:val="auto"/>
        </w:rPr>
        <w:t>Following the July 2020 Court of Justice of the European Union judgement invalidating the so-called EU-U.S. Privacy Shield,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so-called standard contractual clauses and other data transfer mechanisms. The uncertainty around this issue has the potential to impact our business.</w:t>
      </w:r>
    </w:p>
    <w:p>
      <w:pPr>
        <w:spacing w:after="0" w:line="119"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On June 23, 2016, the electorate in the United Kingdom voted in favor of leaving the EU, commonly referred to as Brexit. Following the withdrawal of the United Kingdom from the EU, the U.K. Data Protection Act 2018 applies to the processing of personal data that takes place in the United Kingdom and includes parallel obligations to those set forth by GDPR. The United Kingdom government has already determined that it considers all European Union 27 and EEA member states to be adequate for the purposes of data protection, ensuring that data flows from the United Kingdom to the EU/EEA remain unaffected. The European Commission decided in June 2021 that the level of data protection in the United Kingdom is “essentially adequate” for purposes of data transfer from the EU to the United Kingdom, although this decision may be re-evaluated in the future, including in light of changes in United Kingdom data protection law likely to occur in 2025. The United Kingdom and the U.S. have also agreed to a U.S.- United Kingdom “Data Bridge,” which functions similarly to the EU-U.S. Data Privacy Framework and provides an additional legal mechanism for companies to transfer personal data from the United Kingdom to the U.S. Switzerland has also taken an adequacy decision in relation to the Swiss-U.S. Data Privacy Framework (which functions similarly to the EU-U.S. Data Privacy Framework and the U.S.-UK Data Bridge in relation to data transfers from Switzerland to the U.S.). Any changes or updates to these developments have the potential to impact our business.</w:t>
      </w:r>
    </w:p>
    <w:p>
      <w:pPr>
        <w:spacing w:after="0" w:line="12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Employees and Human Capital Management</w:t>
      </w:r>
    </w:p>
    <w:p>
      <w:pPr>
        <w:spacing w:after="0" w:line="78" w:lineRule="exact"/>
        <w:rPr>
          <w:sz w:val="20"/>
          <w:szCs w:val="20"/>
          <w:color w:val="auto"/>
        </w:rPr>
      </w:pPr>
    </w:p>
    <w:p>
      <w:pPr>
        <w:ind w:right="240" w:firstLine="432"/>
        <w:spacing w:after="0" w:line="268" w:lineRule="auto"/>
        <w:rPr>
          <w:sz w:val="20"/>
          <w:szCs w:val="20"/>
          <w:color w:val="auto"/>
        </w:rPr>
      </w:pPr>
      <w:r>
        <w:rPr>
          <w:rFonts w:ascii="Arial" w:cs="Arial" w:eastAsia="Arial" w:hAnsi="Arial"/>
          <w:sz w:val="12"/>
          <w:szCs w:val="12"/>
          <w:color w:val="auto"/>
        </w:rPr>
        <w:t>As of December 31, 2024, we had approximately 430 full-time employees. Of these full-time employees, 330 employees were engaged in research and development activities, with over 280 employees possessing advanced degrees, and approximately 100 employees were engaged in general and administrative activities. None of our employees are represented by a labor union or covered by a collective bargaining agreement. We believe that we maintain good relations with our employees.</w:t>
      </w:r>
    </w:p>
    <w:p>
      <w:pPr>
        <w:spacing w:after="0" w:line="114"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We recognize that identifying, attracting, incentivizing, integrating, retaining and promoting talented employees is vital to our success, particularly as we continue to grow. We aim to create an equitable, inclusive and empowering environment in which our employees can grow and advance their careers, with the overall goal of developing, expanding and retaining our workforce to support our current pipeline and future business goals, including becoming a commercial company with a robust pipeline. Our efforts to recruit and retain a talented, passionate and inclusive workforce with different experiences, perspectives, and backgrounds include providing competitive compensation, including equity incentive compensation, and comprehensive benefits that provide resources to help employees and covered dependents manage their health, finances and life outside of work. As of December 31, 2024, and for the last several years, our company turnover rate was and has been significantly lower than the industry market average. Our aspiration and efforts to represent the communities we serve into our efforts also extend to the leadership of the Company, including the Board of Directors and our senior leaders.</w:t>
      </w:r>
    </w:p>
    <w:p>
      <w:pPr>
        <w:spacing w:after="0" w:line="121" w:lineRule="exact"/>
        <w:rPr>
          <w:sz w:val="20"/>
          <w:szCs w:val="20"/>
          <w:color w:val="auto"/>
        </w:rPr>
      </w:pPr>
    </w:p>
    <w:p>
      <w:pPr>
        <w:jc w:val="both"/>
        <w:ind w:right="220" w:firstLine="432"/>
        <w:spacing w:after="0" w:line="262" w:lineRule="auto"/>
        <w:rPr>
          <w:sz w:val="20"/>
          <w:szCs w:val="20"/>
          <w:color w:val="auto"/>
        </w:rPr>
      </w:pPr>
      <w:r>
        <w:rPr>
          <w:rFonts w:ascii="Arial" w:cs="Arial" w:eastAsia="Arial" w:hAnsi="Arial"/>
          <w:sz w:val="12"/>
          <w:szCs w:val="12"/>
          <w:color w:val="auto"/>
        </w:rPr>
        <w:t>Training and educating our employees is key to our organizational success. We endeavor to provide in person and virtual trainings, as well as experiential learning through cross-functional exposure via presentations or shadowing opportunities. In addition, we value our employee's opinions and thoughts and provide virtual and onsite forums where our employees can provide feedback on corporate initiatives, recognize each other’s contributions and accomplishments, and provide other suggestions for improving our evolving workplace. We prioritize employee feedback, and conduct an employee survey to measure employee engagement and to</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78" w:name="page79"/>
    <w:bookmarkEnd w:id="78"/>
    <w:p>
      <w:pPr>
        <w:spacing w:after="0"/>
        <w:rPr>
          <w:sz w:val="20"/>
          <w:szCs w:val="20"/>
          <w:color w:val="auto"/>
        </w:rPr>
      </w:pPr>
      <w:r>
        <w:rPr>
          <w:rFonts w:ascii="Arial" w:cs="Arial" w:eastAsia="Arial" w:hAnsi="Arial"/>
          <w:sz w:val="12"/>
          <w:szCs w:val="12"/>
          <w:color w:val="auto"/>
        </w:rPr>
        <w:t>inform future talent initiatives. Similarly, we have introduced technology that enables employees to provide anonymous real-time feedback.</w:t>
      </w:r>
    </w:p>
    <w:p>
      <w:pPr>
        <w:spacing w:after="0" w:line="150"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In addition, we are committed to our employees’ health, safety and well-being. In March 2020, initially in response to the COVID-19 pandemic, we adjusted our workplace policies to allow employees to work from home and we remodeled our work paradigm to one that is flexible and designed to accommodate a range of work profiles from office based to hybrid to fully remote, allowing us to maximize productivity and performance. We have, and plan to continue to, leverage remote hiring supported by virtual processes through which we provided a high level of interpersonal engagement and continued to expand our robust onboarding program to ensure all new hires are grounded in our business and culture.</w:t>
      </w:r>
    </w:p>
    <w:p>
      <w:pPr>
        <w:spacing w:after="0" w:line="117" w:lineRule="exact"/>
        <w:rPr>
          <w:sz w:val="20"/>
          <w:szCs w:val="20"/>
          <w:color w:val="auto"/>
        </w:rPr>
      </w:pPr>
    </w:p>
    <w:p>
      <w:pPr>
        <w:jc w:val="both"/>
        <w:ind w:right="80" w:firstLine="432"/>
        <w:spacing w:after="0" w:line="268" w:lineRule="auto"/>
        <w:rPr>
          <w:sz w:val="20"/>
          <w:szCs w:val="20"/>
          <w:color w:val="auto"/>
        </w:rPr>
      </w:pPr>
      <w:r>
        <w:rPr>
          <w:rFonts w:ascii="Arial" w:cs="Arial" w:eastAsia="Arial" w:hAnsi="Arial"/>
          <w:sz w:val="12"/>
          <w:szCs w:val="12"/>
          <w:color w:val="auto"/>
        </w:rPr>
        <w:t>With the goal of ensuring every employee is included, supported, and treated equitably, our employees have formed various employee resource groups which help to support and guide us as an inclusive, and culturally intelligent workplace. These groups are comprised of a mix of employees from various functions and positions and have worked to identify areas for growth and education in order for the company to develop processes, systems and actions that will enable us to continue to build an inclusive and welcoming workplace.</w:t>
      </w:r>
    </w:p>
    <w:p>
      <w:pPr>
        <w:spacing w:after="0" w:line="114"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We also believe in the importance of our employees engaging in our community. In 2024, we hosted our third annual IMPACT day, a company-wide community service day benefiting organizations in the Greater New Haven area and beyond. Giving back to the communities in which we work and live is an integral part of our corporate values and over half of our employees participated in person or virtually. The activities selected support important priorities for Arvinas, including science, technology, engineering, and math (STEM) initiatives, and the Greater New Haven and patient communities.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Available Information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principal executive offices are located at 5 Science Park, New Haven, Connecticut 06511. Our telephone number is (203) 535-1456. Our website address is www.arvinas.com.</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make available, through our website and free of charge, our Annual Reports on Form 10-K, Quarterly Reports on Form 10-Q, Current Reports on Form 8-K and any amendments to those reports filed or furnished pursuant to Sections 13(a) and 15(d) of the Exchange Act of 1934, as amended, or the Exchange Act, as soon as reasonably practicable after we electronically file such reports with, or furnish such reports to, the U.S. Securities and Exchange Commission, or the SEC. In addition, we regularly use our website to post information regarding our business, product development programs and governance, and we encourage investors to use our website, particularly the information in the section entitled “Investors and Media,” as a source of information about us. The information on our website is not incorporated by reference into this Annual Report on Form 10-K and should not be considered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color w:val="auto"/>
        </w:rPr>
        <w:t>Item 1A. Risk Factors.</w:t>
      </w:r>
    </w:p>
    <w:p>
      <w:pPr>
        <w:spacing w:after="0" w:line="80" w:lineRule="exact"/>
        <w:rPr>
          <w:sz w:val="20"/>
          <w:szCs w:val="20"/>
          <w:color w:val="auto"/>
        </w:rPr>
      </w:pPr>
    </w:p>
    <w:p>
      <w:pPr>
        <w:ind w:right="20" w:firstLine="432"/>
        <w:spacing w:after="0" w:line="258" w:lineRule="auto"/>
        <w:rPr>
          <w:sz w:val="20"/>
          <w:szCs w:val="20"/>
          <w:color w:val="auto"/>
        </w:rPr>
      </w:pPr>
      <w:r>
        <w:rPr>
          <w:rFonts w:ascii="Arial" w:cs="Arial" w:eastAsia="Arial" w:hAnsi="Arial"/>
          <w:sz w:val="12"/>
          <w:szCs w:val="12"/>
          <w:i w:val="1"/>
          <w:iCs w:val="1"/>
          <w:color w:val="auto"/>
        </w:rPr>
        <w:t>We face a variety of risks and uncertainties in our business and 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before deciding to invest in our common stock. Additional risks and uncertainties not presently known to us or that we currently believe to be immaterial may also become important factors that affect our business.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92"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Risks Related to Our Financial Position and Need For Additional Capital</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losses since our inception. We expect to incur losses over at least the next several years and may never achieve or maintain profitability.</w:t>
      </w:r>
    </w:p>
    <w:p>
      <w:pPr>
        <w:spacing w:after="0" w:line="76"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Our net losses totaled $198.9 million, $367.3 million and $282.5 million for the years ended December 31, 2024, 2023, and 2022, respectively. As of December 31, 2024, we had an accumulated deficit of $1,531.6 million. To date, we have not generated any revenue from product sales and have financed our operations primarily through sales of our equity interests, proceeds from our collaborations, grant funding and debt financing. We are still in the early stages of development of our product candidates, and we have not completed development of any product candidates. We expect to continue to incur significant expenses and increasing operating losses for at least the next several years. We anticipate that our expenses will increase substantially if and as we:</w:t>
      </w:r>
    </w:p>
    <w:p>
      <w:pPr>
        <w:spacing w:after="0" w:line="45" w:lineRule="exact"/>
        <w:rPr>
          <w:sz w:val="20"/>
          <w:szCs w:val="20"/>
          <w:color w:val="auto"/>
        </w:rPr>
      </w:pPr>
    </w:p>
    <w:p>
      <w:pPr>
        <w:ind w:left="640" w:hanging="216"/>
        <w:spacing w:after="0" w:line="268" w:lineRule="auto"/>
        <w:tabs>
          <w:tab w:leader="none" w:pos="6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continue our ongoing and planned clinical trials for vepdegestrant for the treatment of patients with locally advanced or metastatic ER+/HER2- breast cancer; ongoing Phase 1 clinical trials for ARV-393, our PROTAC protein degrader designed to target the BCL6 protein, and ARV-102, our PROTAC degrader designed to target the LRRK2 protein; and our ongoing clinical trials for bavdegalutamide (ARV-110), for the treatment of men with mCRPC;</w:t>
      </w:r>
    </w:p>
    <w:p>
      <w:pPr>
        <w:spacing w:after="0" w:line="41"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progress additional PROTAC protein degrader programs into IND- or CTA-enabling studies and through preclinical development, including our PROTAC KRAS G12D degrader program;</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apply our PROTAC Discovery Engine to advance additional product candidates into preclinical and clinical development;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expand the capabilities of our PROTAC Discovery Engine;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seek marketing approvals for any product candidates that successfully complete clinical trials;</w:t>
      </w:r>
    </w:p>
    <w:p>
      <w:pPr>
        <w:spacing w:after="0" w:line="78" w:lineRule="exact"/>
        <w:rPr>
          <w:rFonts w:ascii="Arial" w:cs="Arial" w:eastAsia="Arial" w:hAnsi="Arial"/>
          <w:sz w:val="12"/>
          <w:szCs w:val="12"/>
          <w:color w:val="auto"/>
        </w:rPr>
      </w:pPr>
    </w:p>
    <w:p>
      <w:pPr>
        <w:ind w:left="640" w:right="600" w:hanging="216"/>
        <w:spacing w:after="0" w:line="286" w:lineRule="auto"/>
        <w:tabs>
          <w:tab w:leader="none" w:pos="6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ultimately establish a sales, marketing, market access, and distribution infrastructure and capabilities and launch commercial sales of our products, if and when approved, whether alone or in collaboration with others;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make or maintain arrangements with third-party manufacturers, or establish manufacturing capabilities, for both clinical and commercial supplies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expand, maintain and protect our intellectual property portfolio;</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hire additional development, including clinical and regulatory, and scientific personnel; and</w:t>
      </w:r>
    </w:p>
    <w:p>
      <w:pPr>
        <w:spacing w:after="0" w:line="78" w:lineRule="exact"/>
        <w:rPr>
          <w:rFonts w:ascii="Arial" w:cs="Arial" w:eastAsia="Arial" w:hAnsi="Arial"/>
          <w:sz w:val="12"/>
          <w:szCs w:val="12"/>
          <w:color w:val="auto"/>
        </w:rPr>
      </w:pPr>
    </w:p>
    <w:p>
      <w:pPr>
        <w:ind w:left="640" w:right="320" w:hanging="216"/>
        <w:spacing w:after="0" w:line="286" w:lineRule="auto"/>
        <w:tabs>
          <w:tab w:leader="none" w:pos="6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add operational, financial and management information systems and personnel to support our research, product development and future commercialization efforts and support our operations as a public company.</w:t>
      </w:r>
    </w:p>
    <w:p>
      <w:pPr>
        <w:spacing w:after="0" w:line="103"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Our expenses could increase beyond our expectations if we are required by the U.S. Food and Drug Administration, or FDA, the European Medicines Agency, or EMA, or other regulatory authorities to perform trials in addition to those that we currently expect or anticipate, or if there are any delays in establishing appropriate manufacturing arrangements for or in completing our clinical trials or the development of any of our current or future product candidates.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80" w:name="page81"/>
    <w:bookmarkEnd w:id="80"/>
    <w:p>
      <w:pPr>
        <w:ind w:right="60" w:firstLine="432"/>
        <w:spacing w:after="0" w:line="262" w:lineRule="auto"/>
        <w:rPr>
          <w:sz w:val="20"/>
          <w:szCs w:val="20"/>
          <w:color w:val="auto"/>
        </w:rPr>
      </w:pPr>
      <w:r>
        <w:rPr>
          <w:rFonts w:ascii="Arial" w:cs="Arial" w:eastAsia="Arial" w:hAnsi="Arial"/>
          <w:sz w:val="12"/>
          <w:szCs w:val="12"/>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our stockholders to lose all or part of their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generated revenue from product sales and may never be profitable.</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have never generated revenue from product sales. Our ability to generate revenue from product sales and achieve profitability depends on our ability, alone or with collaboration partners, to successfully complete the development of, and obtain the regulatory approvals necessary to commercialize, product candidates we may identify for development. We do not anticipate generating revenues from product sales for the next several years, if ever.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product candidates, discovering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w:t>
      </w:r>
    </w:p>
    <w:p>
      <w:pPr>
        <w:spacing w:after="0" w:line="121"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If one or more of the product candidates that we develop is approved for commercial sale,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177"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i w:val="1"/>
          <w:iCs w:val="1"/>
          <w:color w:val="auto"/>
        </w:rPr>
        <w:t>We will need substantial additional funding to continue our operations. If we are unable to raise capital when needed, we may be required to delay, limit, reduce or terminate our research or product development programs or future commercialization efforts.</w:t>
      </w:r>
    </w:p>
    <w:p>
      <w:pPr>
        <w:spacing w:after="0" w:line="21"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expect our expenses to increase substantially in connection with our ongoing activities, particularly as we continue our ongoing and initiate our planned clinical trials of vepdegestrant, ARV-393 and ARV-102, in addition to our ongoing bavdegalutamide (ARV-110) clinical trials, advance our other oncology programs, including our KRAS G12D program, and neurodegenerative programs, and continue research and development and initiate additional clinical trials of and potentially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We continue to incur significant costs associated with operating as a public company. Accordingly, we will need to obtain substantial additional funding in connection with our continuing operations. If we are unable to raise capital when needed or on acceptable terms or not at all,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22" w:lineRule="exact"/>
        <w:rPr>
          <w:sz w:val="20"/>
          <w:szCs w:val="20"/>
          <w:color w:val="auto"/>
        </w:rPr>
      </w:pPr>
    </w:p>
    <w:p>
      <w:pPr>
        <w:ind w:right="40" w:firstLine="432"/>
        <w:spacing w:after="0" w:line="334" w:lineRule="auto"/>
        <w:rPr>
          <w:sz w:val="20"/>
          <w:szCs w:val="20"/>
          <w:color w:val="auto"/>
        </w:rPr>
      </w:pPr>
      <w:r>
        <w:rPr>
          <w:rFonts w:ascii="Arial" w:cs="Arial" w:eastAsia="Arial" w:hAnsi="Arial"/>
          <w:sz w:val="11"/>
          <w:szCs w:val="11"/>
          <w:color w:val="auto"/>
        </w:rPr>
        <w:t>We had cash, cash equivalents and marketable securities of approximately $1.0 billion as of December 31, 2024. We believe that our cash, cash equivalents and marketable securities as of December 31, 2024 will enable us to fund our planned operating expenses and capital expenditure requirements into 2027. We have based this estimate on assumptions that may prove to be wrong, and we could use our capital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resources sooner than we currently expect. Our future capital requirements will depend on many factors, including:</w:t>
      </w:r>
    </w:p>
    <w:p>
      <w:pPr>
        <w:spacing w:after="0" w:line="78" w:lineRule="exact"/>
        <w:rPr>
          <w:sz w:val="20"/>
          <w:szCs w:val="20"/>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progress, costs and results of our ongoing and planned clinical trials for vepdegestrant, ARV-393, ARV-102, and our ongoing clinical trials for bavdegalutamide;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scope, progress, costs and results of preclinical and clinical development for our other product candidates and development programs, including our KRAS G12D program;</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number of, and development requirements for, other product candidates that we pursue, including our other oncology and neurodegenerative research programs;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success of our collaborations, including with Pfizer and Genentech;</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costs and timing of future commercialization activities, including product manufacturing, marketing, sales and distribution, for any of our product candidates for which we receive marketing approval;</w:t>
      </w:r>
    </w:p>
    <w:p>
      <w:pPr>
        <w:spacing w:after="0" w:line="89" w:lineRule="exact"/>
        <w:rPr>
          <w:rFonts w:ascii="Arial" w:cs="Arial" w:eastAsia="Arial" w:hAnsi="Arial"/>
          <w:sz w:val="11"/>
          <w:szCs w:val="11"/>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product candidates for which we receive marketing approval;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 and</w:t>
      </w:r>
    </w:p>
    <w:p>
      <w:pPr>
        <w:spacing w:after="0" w:line="78" w:lineRule="exact"/>
        <w:rPr>
          <w:rFonts w:ascii="Arial" w:cs="Arial" w:eastAsia="Arial" w:hAnsi="Arial"/>
          <w:sz w:val="12"/>
          <w:szCs w:val="12"/>
          <w:color w:val="auto"/>
        </w:rPr>
      </w:pPr>
    </w:p>
    <w:p>
      <w:pPr>
        <w:ind w:left="640" w:right="720" w:hanging="216"/>
        <w:spacing w:after="0" w:line="286" w:lineRule="auto"/>
        <w:tabs>
          <w:tab w:leader="none" w:pos="637" w:val="left"/>
        </w:tabs>
        <w:numPr>
          <w:ilvl w:val="0"/>
          <w:numId w:val="39"/>
        </w:numPr>
        <w:rPr>
          <w:rFonts w:ascii="Arial" w:cs="Arial" w:eastAsia="Arial" w:hAnsi="Arial"/>
          <w:sz w:val="12"/>
          <w:szCs w:val="12"/>
          <w:color w:val="auto"/>
        </w:rPr>
      </w:pPr>
      <w:r>
        <w:rPr>
          <w:rFonts w:ascii="Arial" w:cs="Arial" w:eastAsia="Arial" w:hAnsi="Arial"/>
          <w:sz w:val="12"/>
          <w:szCs w:val="12"/>
          <w:color w:val="auto"/>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spacing w:after="0" w:line="103"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may cause dilution to our stockholders, restrict our operations or require us to relinquish rights to our technologies or product candidates.</w:t>
      </w:r>
    </w:p>
    <w:p>
      <w:pPr>
        <w:spacing w:after="0" w:line="76"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2"/>
          <w:szCs w:val="12"/>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Pfizer and Genentech and our out-license of ARV-766 to Novartis, we do not currently have any committed external source of funds.</w:t>
      </w:r>
    </w:p>
    <w:p>
      <w:pPr>
        <w:spacing w:after="0" w:line="114"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equity financing, if available, may involve agreements that include covenants limiting or restricting our ability to take specific actions, such as incurring additional debt, making acquisitions or capital expenditures or declaring dividends.</w:t>
      </w:r>
    </w:p>
    <w:p>
      <w:pPr>
        <w:spacing w:after="0" w:line="11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2"/>
          <w:szCs w:val="12"/>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acceptable or favorable to us.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11" w:right="35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i w:val="1"/>
          <w:iCs w:val="1"/>
          <w:color w:val="auto"/>
        </w:rPr>
        <w:t>Our limited operating history may make it difficult for our stockholders to evaluate the success of our business to date and to assess our future viability.</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operations to date have been limited to organizing and staffing our company, business planning, raising capital, conducting discovery and research activities, filing patent applications, identifying potential product candidates, undertaking preclinical studies, establishing arrangements with third parties for the manufacture of initial quantities of our product candidates, conducting Phase 1, Phase 2 and Phase 3 clinical trials for our product candidates, and preparing for commercialization, including by building a commercial infrastructure. However, we have not yet demonstrated our ability to successfully complete any clinical trials, obtain marketing approvals, manufacture a commercial scale product, or arrange for a third party to do so on our behalf, or conduct sales, marketing and distribution activities necessary for successful product commercialization. Consequently, any predictions stockholders make about our future success or viability may not be as accurate as they could be if we had a longer operating history.</w:t>
      </w:r>
    </w:p>
    <w:p>
      <w:pPr>
        <w:spacing w:after="0" w:line="119"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In addition, as a business with limited operating experience and no history of revenue-generating commercial activity, we may encounter unforeseen expenses, difficulties, complications, delays and other known and unknown factors. We will need to transition at some point from a company with a research and development focus to a company capable of supporting commercial activities. While we have begun to build such a commercial infrastructure, we may not be successful in such a transition.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our financial condition and operating results to continue to fluctuate significantly from quarter to quarter and year to year due to a variety of factors, many of which are beyond our control.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Accordingly, stockholders should not rely upon the results of any quarterly or annual periods as indications of future operating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tax laws or in their implementation or interpretation may adversely affect our business and financial condition.</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New tax laws or regulations could be enacted at any time, and existing tax laws or regulations could be interpreted, modified or applied in a manner that is adverse to us, which could adversely affect our business and financial condition. For example, the Tax Cuts and Jobs Act of 2017, commonly referred to as the TCJA, as amended by the Coronavirus Aid, Relief, and Economic Security Act, or CARES Act, significantly revised the U.S. Internal Revenue Code of 1986, as amended, or the Code. The TCJA contains, among other things, significant changes to corporate taxation, including a reduction of the corporate tax rate from a top marginal rate of 35% to a flat rate of 21% and the limitation of the deduction for net operating losses to 80% of current-year taxable income for losses arising in taxable years beginning after December 31, 2017 (though any such net operating losses may be carried forward indefinitely). In addition, beginning in 2022, the TCJA eliminated the option to deduct research and development expenditures currently and requires corporations to capitalize and amortize them over five years or 15 years (for expenditures attributable to foreign research).</w:t>
      </w:r>
    </w:p>
    <w:p>
      <w:pPr>
        <w:spacing w:after="0" w:line="12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In addition to the CARES Act, as part of Congress’s response to the COVID-19 pandemic, economic relief legislation was enacted in 2020 and 2021 containing tax provisions. The Inflation Reduction Act, or IRA, was also signed into law in August 2022. The IRA introduced new tax provisions, including a 1% excise tax imposed on certain stock repurchases by publicly traded corporations. The 1% excise tax generally applies to any acquisition by the publicly traded corporation (or certain of its affiliates) of stock of the publicly traded corporation in exchange for money or other property (other than stock of the corporation itself), subject to a de minimis exception. Thus, the excise tax could apply to certain transactions that are not traditional stock repurchases. Regulatory guidance under the TCJA, the IRA, and such additional legislation is and continues to be forthcoming, and such guidance could ultimately increase or lessen the impact of these laws on our business and financial condition. In addition, it is uncertain if and to what extent various states will conform to the TCJA, the IRA, and additional tax legislation.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the future, we might not be able to utilize a significant portion of any net operating loss carryforwards and research and development tax credit carryforwards we may have.</w:t>
      </w:r>
    </w:p>
    <w:p>
      <w:pPr>
        <w:spacing w:after="0" w:line="76" w:lineRule="exact"/>
        <w:rPr>
          <w:sz w:val="20"/>
          <w:szCs w:val="20"/>
          <w:color w:val="auto"/>
        </w:rPr>
      </w:pPr>
    </w:p>
    <w:p>
      <w:pPr>
        <w:jc w:val="both"/>
        <w:ind w:right="60" w:firstLine="432"/>
        <w:spacing w:after="0" w:line="268" w:lineRule="auto"/>
        <w:rPr>
          <w:sz w:val="20"/>
          <w:szCs w:val="20"/>
          <w:color w:val="auto"/>
        </w:rPr>
      </w:pPr>
      <w:r>
        <w:rPr>
          <w:rFonts w:ascii="Arial" w:cs="Arial" w:eastAsia="Arial" w:hAnsi="Arial"/>
          <w:sz w:val="12"/>
          <w:szCs w:val="12"/>
          <w:color w:val="auto"/>
        </w:rPr>
        <w:t>As of December 31, 2024, we had $111.0 million of federal net operating loss carryforwards, $129.0 million of state and local net operating loss carryforwards, $37.7 million federal tax credit carryforwards and $22.4 million of state tax credit carryforwards. To the extent they expire unused, these net operating loss and tax credit carryforwards will not be available to offset our future income tax liabilities. Federal net operating loss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85" w:right="35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carryforwards may be carried forward indefinitely, but the deductibility of such carryforwards is limited to 80% of our taxable income in the year in which carryforwards are used.</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addition, under Sections 382 and 383 of the Code, and corresponding provisions of state law, if a corporation undergoes an “ownership change,” which is generally defined as a greater than 50% change, by value, in its equity ownership by certain stockholders over a three-year period, the corporation’s ability to use its pre-change net operating loss carryforwards and other pre-change tax attributes to offset its post-change income may be limited. We may experience ownership changes in the future as a result of subsequent changes in our stock ownership, some of which may be outside of our control. If we determine that an ownership change has occurred and our ability to use our historical net operating loss and research and development tax credit carryforwards is materially limited, it would harm our future operating results by effectively increasing our future tax obligations.</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There is also a risk that due to regulatory changes, such as suspensions on the use of net operating losses, or other unforeseen reasons, our existing and any future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191" w:lineRule="exact"/>
        <w:rPr>
          <w:sz w:val="20"/>
          <w:szCs w:val="20"/>
          <w:color w:val="auto"/>
        </w:rPr>
      </w:pPr>
    </w:p>
    <w:p>
      <w:pPr>
        <w:ind w:left="3680"/>
        <w:spacing w:after="0"/>
        <w:rPr>
          <w:sz w:val="20"/>
          <w:szCs w:val="20"/>
          <w:color w:val="auto"/>
        </w:rPr>
      </w:pPr>
      <w:r>
        <w:rPr>
          <w:rFonts w:ascii="Arial" w:cs="Arial" w:eastAsia="Arial" w:hAnsi="Arial"/>
          <w:sz w:val="12"/>
          <w:szCs w:val="12"/>
          <w:b w:val="1"/>
          <w:bCs w:val="1"/>
          <w:color w:val="auto"/>
        </w:rPr>
        <w:t>Risks Related to the Discovery and Development of Our Product Candidates</w:t>
      </w:r>
    </w:p>
    <w:p>
      <w:pPr>
        <w:spacing w:after="0" w:line="224" w:lineRule="exact"/>
        <w:rPr>
          <w:sz w:val="20"/>
          <w:szCs w:val="20"/>
          <w:color w:val="auto"/>
        </w:rPr>
      </w:pPr>
    </w:p>
    <w:p>
      <w:pPr>
        <w:ind w:right="100"/>
        <w:spacing w:after="0" w:line="293" w:lineRule="auto"/>
        <w:rPr>
          <w:sz w:val="20"/>
          <w:szCs w:val="20"/>
          <w:color w:val="auto"/>
        </w:rPr>
      </w:pPr>
      <w:r>
        <w:rPr>
          <w:rFonts w:ascii="Arial" w:cs="Arial" w:eastAsia="Arial" w:hAnsi="Arial"/>
          <w:sz w:val="12"/>
          <w:szCs w:val="12"/>
          <w:b w:val="1"/>
          <w:bCs w:val="1"/>
          <w:i w:val="1"/>
          <w:iCs w:val="1"/>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21"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Our PROTAC technology platform is a relatively new technology. Our future success depends on the successful development of this novel therapeutic approach. Prior to the initiation of our Phase 1 clinical trial for bavdegalutamide in 2019, no product candidates that use a chimeric small molecule approach to protein degradation, such as our PROTAC targeted protein degraders, had been tested in humans. No product candidates of this type have been approved in the United States or Europe, and the data underlying the feasibility of developing chimeric small molecule-based therapeutic products is both preliminary and limited. We have not yet succeeded and may not succeed in demonstrating the efficacy and safety of any of our product candidates in clinical trials or in obtaining marketing approval thereafter. We have not yet completed a clinical trial of any product candidate and we have not yet completed assessment of the safety of any product candidate in humans. As such, there may be adverse effects from treatment with any of our current or future product candidates that we cannot predict at this time.</w:t>
      </w:r>
    </w:p>
    <w:p>
      <w:pPr>
        <w:spacing w:after="0" w:line="121"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As a result of these factors, it is more difficult for us to predict the time and cost of product candidate development, and we cannot predict whether the application of our PROTAC Discovery Engine, or any similar or competitive protein degradation platforms, will result in the development, and marketing approval of any products. Any development problems we experience in the future related to our PROTAC Discovery Engine or any of our research programs may cause significant delays or unanticipated costs or may prevent the development of a commercially viable product. Any of these factors may prevent us from completing our current or future preclinical studies or clinical trials or from commercializing any product candidates we may develop on a timely or profitable basis, if at all.</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early in our development efforts. If we are unable to commercialize our product candidates or experience significant delays in doing so, our business will be materially harmed.</w:t>
      </w:r>
    </w:p>
    <w:p>
      <w:pPr>
        <w:spacing w:after="0" w:line="76" w:lineRule="exact"/>
        <w:rPr>
          <w:sz w:val="20"/>
          <w:szCs w:val="20"/>
          <w:color w:val="auto"/>
        </w:rPr>
      </w:pPr>
    </w:p>
    <w:p>
      <w:pPr>
        <w:ind w:right="200" w:firstLine="432"/>
        <w:spacing w:after="0" w:line="268" w:lineRule="auto"/>
        <w:rPr>
          <w:sz w:val="20"/>
          <w:szCs w:val="20"/>
          <w:color w:val="auto"/>
        </w:rPr>
      </w:pPr>
      <w:r>
        <w:rPr>
          <w:rFonts w:ascii="Arial" w:cs="Arial" w:eastAsia="Arial" w:hAnsi="Arial"/>
          <w:sz w:val="12"/>
          <w:szCs w:val="12"/>
          <w:color w:val="auto"/>
        </w:rPr>
        <w:t>All of our product candidates are in clinical or preclinical development. We are developing vepdegestrant for the treatment of patients with locally advanced or metastatic ER+/HER2- breast cancer, ARV-393, an investigational PROTAC designed to degrade BCL6, ARV-102, an investigational PROTAC designed to degrade the LRRK2 protein, and we plan to file an IND for our KRAS G12D program in 2025. Additional product candidates are still in preclinical development. Our ability to generate revenue from product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84" w:name="page85"/>
    <w:bookmarkEnd w:id="84"/>
    <w:p>
      <w:pPr>
        <w:ind w:right="120"/>
        <w:spacing w:after="0" w:line="286" w:lineRule="auto"/>
        <w:rPr>
          <w:sz w:val="20"/>
          <w:szCs w:val="20"/>
          <w:color w:val="auto"/>
        </w:rPr>
      </w:pPr>
      <w:r>
        <w:rPr>
          <w:rFonts w:ascii="Arial" w:cs="Arial" w:eastAsia="Arial" w:hAnsi="Arial"/>
          <w:sz w:val="12"/>
          <w:szCs w:val="12"/>
          <w:color w:val="auto"/>
        </w:rPr>
        <w:t>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w:t>
      </w:r>
    </w:p>
    <w:p>
      <w:pPr>
        <w:spacing w:after="0" w:line="31" w:lineRule="exact"/>
        <w:rPr>
          <w:sz w:val="20"/>
          <w:szCs w:val="20"/>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successfully completing preclinical studies and clinical trials;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receipt and related terms of marketing approvals from applicable regulatory authorities;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making or maintaining arrangements with third-party manufacturers, or establishing manufacturing capabilities, for both clinical and commercial supplies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establishing sales, marketing, market access and distribution capabilities and launching commercial sales of our products, if and when approved, whether alone or in collaboration with others;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acceptance of our products, if and when approved, by patients, the medical community and third-party payors;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obtaining and maintaining third-party coverage and adequate reimbursement;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maintaining a continued acceptable safety profile of the products following approval;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150" w:lineRule="exact"/>
        <w:rPr>
          <w:sz w:val="20"/>
          <w:szCs w:val="20"/>
          <w:color w:val="auto"/>
        </w:rPr>
      </w:pPr>
    </w:p>
    <w:p>
      <w:pPr>
        <w:ind w:right="380" w:firstLine="432"/>
        <w:spacing w:after="0" w:line="286" w:lineRule="auto"/>
        <w:rPr>
          <w:sz w:val="20"/>
          <w:szCs w:val="20"/>
          <w:color w:val="auto"/>
        </w:rPr>
      </w:pPr>
      <w:r>
        <w:rPr>
          <w:rFonts w:ascii="Arial" w:cs="Arial" w:eastAsia="Arial" w:hAnsi="Arial"/>
          <w:sz w:val="12"/>
          <w:szCs w:val="12"/>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77" w:lineRule="exact"/>
        <w:rPr>
          <w:sz w:val="20"/>
          <w:szCs w:val="20"/>
          <w:color w:val="auto"/>
        </w:rPr>
      </w:pPr>
    </w:p>
    <w:p>
      <w:pPr>
        <w:ind w:right="180"/>
        <w:spacing w:after="0" w:line="293" w:lineRule="auto"/>
        <w:rPr>
          <w:sz w:val="20"/>
          <w:szCs w:val="20"/>
          <w:color w:val="auto"/>
        </w:rPr>
      </w:pPr>
      <w:r>
        <w:rPr>
          <w:rFonts w:ascii="Arial" w:cs="Arial" w:eastAsia="Arial" w:hAnsi="Arial"/>
          <w:sz w:val="12"/>
          <w:szCs w:val="12"/>
          <w:b w:val="1"/>
          <w:bCs w:val="1"/>
          <w:i w:val="1"/>
          <w:iCs w:val="1"/>
          <w:color w:val="auto"/>
        </w:rPr>
        <w:t>Drug development involves a lengthy and expensive process, with an uncertain outcome. We may incur unexpected costs or experience delays in completing, or ultimately be unable to complete, the development and commercialization of our product candidates.</w:t>
      </w:r>
    </w:p>
    <w:p>
      <w:pPr>
        <w:spacing w:after="0" w:line="2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have product candidates in clinical development and preclinical development. The risk of failure for each of our product candidates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will ultimately support the further development of our programs.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Clinical testing is expensive, difficult to design and implement, can take many years to complete and is uncertain as to the outcome. A failure of one or more clinical trials can occur at any stage of testing.</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We may experience numerous unforeseen events during, or as a result of, clinical trials that could delay or prevent our ability to receive marketing approval or commercialize our product candidates, including:</w:t>
      </w:r>
    </w:p>
    <w:p>
      <w:pPr>
        <w:spacing w:after="0" w:line="66" w:lineRule="exact"/>
        <w:rPr>
          <w:sz w:val="20"/>
          <w:szCs w:val="20"/>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regulators or institutional review boards may not authorize us or our investigators to commence a clinical trial or conduct a clinical trial at a prospective trial site;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we may experience delays in reaching, or fail to reach, agreement on acceptable clinical trial contracts or clinical trial protocols with prospective trial sites;</w:t>
      </w:r>
    </w:p>
    <w:p>
      <w:pPr>
        <w:spacing w:after="0" w:line="78" w:lineRule="exact"/>
        <w:rPr>
          <w:rFonts w:ascii="Arial" w:cs="Arial" w:eastAsia="Arial" w:hAnsi="Arial"/>
          <w:sz w:val="12"/>
          <w:szCs w:val="12"/>
          <w:color w:val="auto"/>
        </w:rPr>
      </w:pPr>
    </w:p>
    <w:p>
      <w:pPr>
        <w:ind w:left="640" w:right="600" w:hanging="216"/>
        <w:spacing w:after="0" w:line="28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clinical trials of our product candidates may produce negative or inconclusive results, and we may decide, or regulators may require us, to conduct additional clinical trials or abandon product development programs;</w:t>
      </w:r>
    </w:p>
    <w:p>
      <w:pPr>
        <w:spacing w:after="0" w:line="31" w:lineRule="exact"/>
        <w:rPr>
          <w:rFonts w:ascii="Arial" w:cs="Arial" w:eastAsia="Arial" w:hAnsi="Arial"/>
          <w:sz w:val="12"/>
          <w:szCs w:val="12"/>
          <w:color w:val="auto"/>
        </w:rPr>
      </w:pPr>
    </w:p>
    <w:p>
      <w:pPr>
        <w:ind w:left="640" w:right="80" w:hanging="216"/>
        <w:spacing w:after="0" w:line="28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5" w:name="page86"/>
    <w:bookmarkEnd w:id="85"/>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third-party contractors may fail to comply with regulatory requirements or meet their contractual obligations to us in a timely manner, or at all;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we may have to suspend or terminate clinical trials of our product candidates for various reasons, including a finding that the participants are being exposed to unacceptable health risks;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regulators or institutional review boards may require that we or our investigators suspend or terminate clinical trials for various reasons, including noncompliance with regulatory requirements;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product candidates may have undesirable side effects or other unexpected characteristics, causing us or our investigators, regulators or institutional review boards to suspend or terminate the trials;</w:t>
      </w:r>
    </w:p>
    <w:p>
      <w:pPr>
        <w:spacing w:after="0" w:line="78" w:lineRule="exact"/>
        <w:rPr>
          <w:rFonts w:ascii="Arial" w:cs="Arial" w:eastAsia="Arial" w:hAnsi="Arial"/>
          <w:sz w:val="12"/>
          <w:szCs w:val="12"/>
          <w:color w:val="auto"/>
        </w:rPr>
      </w:pPr>
    </w:p>
    <w:p>
      <w:pPr>
        <w:ind w:left="640" w:right="300" w:hanging="216"/>
        <w:spacing w:after="0" w:line="286" w:lineRule="auto"/>
        <w:tabs>
          <w:tab w:leader="none" w:pos="637" w:val="left"/>
        </w:tabs>
        <w:numPr>
          <w:ilvl w:val="0"/>
          <w:numId w:val="42"/>
        </w:numPr>
        <w:rPr>
          <w:rFonts w:ascii="Arial" w:cs="Arial" w:eastAsia="Arial" w:hAnsi="Arial"/>
          <w:sz w:val="12"/>
          <w:szCs w:val="12"/>
          <w:color w:val="auto"/>
        </w:rPr>
      </w:pPr>
      <w:r>
        <w:rPr>
          <w:rFonts w:ascii="Arial" w:cs="Arial" w:eastAsia="Arial" w:hAnsi="Arial"/>
          <w:sz w:val="12"/>
          <w:szCs w:val="12"/>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timing of completion of our clinical trials;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cost of clinical trials of our product candidates may be greater than we anticipate and could be exacerbated by macroeconomic conditions such as inflation; and</w:t>
      </w:r>
    </w:p>
    <w:p>
      <w:pPr>
        <w:spacing w:after="0" w:line="78" w:lineRule="exact"/>
        <w:rPr>
          <w:rFonts w:ascii="Arial" w:cs="Arial" w:eastAsia="Arial" w:hAnsi="Arial"/>
          <w:sz w:val="12"/>
          <w:szCs w:val="12"/>
          <w:color w:val="auto"/>
        </w:rPr>
      </w:pPr>
    </w:p>
    <w:p>
      <w:pPr>
        <w:ind w:left="640" w:right="40" w:hanging="216"/>
        <w:spacing w:after="0" w:line="286" w:lineRule="auto"/>
        <w:tabs>
          <w:tab w:leader="none" w:pos="637"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supply or quality of our product candidates or other materials necessary to conduct clinical trials of our product candidates may be insufficient or inadequate, or their cost could increase dramatically making them financially infeasible.</w:t>
      </w:r>
    </w:p>
    <w:p>
      <w:pPr>
        <w:spacing w:after="0" w:line="103" w:lineRule="exact"/>
        <w:rPr>
          <w:sz w:val="20"/>
          <w:szCs w:val="20"/>
          <w:color w:val="auto"/>
        </w:rPr>
      </w:pPr>
    </w:p>
    <w:p>
      <w:pPr>
        <w:ind w:right="280" w:firstLine="432"/>
        <w:spacing w:after="0" w:line="286" w:lineRule="auto"/>
        <w:rPr>
          <w:sz w:val="20"/>
          <w:szCs w:val="20"/>
          <w:color w:val="auto"/>
        </w:rPr>
      </w:pPr>
      <w:r>
        <w:rPr>
          <w:rFonts w:ascii="Arial" w:cs="Arial" w:eastAsia="Arial" w:hAnsi="Arial"/>
          <w:sz w:val="12"/>
          <w:szCs w:val="12"/>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31" w:lineRule="exact"/>
        <w:rPr>
          <w:sz w:val="20"/>
          <w:szCs w:val="20"/>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or distribution restrictions or safety warnings;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150"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Further, cancer therapies are sometimes characterized as first-line, second-line, or third-line, and the FDA often approves new therapies initially only for third-line use. When cancer is detected early enough, first-line therapy, usually hormone therapy, surgery, radiation therapy or a combination of these, is sometimes adequate to cure the cancer or prolong life without a cure. Second- and third-line therapies are administered to patients when prior therapy is not effective. Our current clinical trials for vepdegestrant, ARV-393, ARV-102, and bavdegalutamide are in both first- and second-line settings.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119" w:lineRule="exact"/>
        <w:rPr>
          <w:sz w:val="20"/>
          <w:szCs w:val="20"/>
          <w:color w:val="auto"/>
        </w:rPr>
      </w:pPr>
    </w:p>
    <w:p>
      <w:pPr>
        <w:ind w:right="400" w:firstLine="432"/>
        <w:spacing w:after="0" w:line="286" w:lineRule="auto"/>
        <w:rPr>
          <w:sz w:val="20"/>
          <w:szCs w:val="20"/>
          <w:color w:val="auto"/>
        </w:rPr>
      </w:pPr>
      <w:r>
        <w:rPr>
          <w:rFonts w:ascii="Arial" w:cs="Arial" w:eastAsia="Arial" w:hAnsi="Arial"/>
          <w:sz w:val="12"/>
          <w:szCs w:val="12"/>
          <w:color w:val="auto"/>
        </w:rPr>
        <w:t>Further, we do not know whether clinical trials will begin as planned, will need to be restructured or will be completed on schedule, or at all. In addition, if we are slow or unable to adapt to changes in existing requirements or the adoption of new requirements or policies governing clinical trials, our development plans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86" w:name="page87"/>
    <w:bookmarkEnd w:id="86"/>
    <w:p>
      <w:pPr>
        <w:spacing w:after="0" w:line="257" w:lineRule="auto"/>
        <w:rPr>
          <w:sz w:val="20"/>
          <w:szCs w:val="20"/>
          <w:color w:val="auto"/>
        </w:rPr>
      </w:pPr>
      <w:r>
        <w:rPr>
          <w:rFonts w:ascii="Arial" w:cs="Arial" w:eastAsia="Arial" w:hAnsi="Arial"/>
          <w:sz w:val="12"/>
          <w:szCs w:val="12"/>
          <w:color w:val="auto"/>
        </w:rPr>
        <w:t>may be impacted. For example, in December 2022, with the passage of FDORA, Congress required sponsors to develop and submit a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This action raises questions about the applicability of statutory obligations to submit DAPs and the agency’s current thinking on best practices for clinical development.</w:t>
      </w:r>
    </w:p>
    <w:p>
      <w:pPr>
        <w:spacing w:after="0" w:line="121" w:lineRule="exact"/>
        <w:rPr>
          <w:sz w:val="20"/>
          <w:szCs w:val="20"/>
          <w:color w:val="auto"/>
        </w:rPr>
      </w:pPr>
    </w:p>
    <w:p>
      <w:pPr>
        <w:ind w:firstLine="294"/>
        <w:spacing w:after="0" w:line="262" w:lineRule="auto"/>
        <w:rPr>
          <w:sz w:val="20"/>
          <w:szCs w:val="20"/>
          <w:color w:val="auto"/>
        </w:rPr>
      </w:pPr>
      <w:r>
        <w:rPr>
          <w:rFonts w:ascii="Arial" w:cs="Arial" w:eastAsia="Arial" w:hAnsi="Arial"/>
          <w:sz w:val="12"/>
          <w:szCs w:val="12"/>
          <w:color w:val="auto"/>
        </w:rPr>
        <w:t>Similarly, the regulatory landscape related to clinical trials in the EU recently evolved. The CTR, which was adopted in April 2014 and repeals the EU Clinical Trials Directive, became applicable on January 31, 2022. While the Clinical Trials Directive required a separate clinical trial application to be submitted in each member state, to both the competent national health authority and an independent ethics committee, the CTR introduces a centralized process and only requires the submission of a single application to all member states concerned. If we are not able to fulfill these new requirements, our ability to conduct clinical trials may be delayed or halted.</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Any of these events could prevent us or our collaborators from achieving or maintaining market acceptance of the affected product candidate, if approved, or could substantially increase costs and expenses of development or commercialization, which could delay or prevent us from generating sufficient revenue from the sale of our products and harm our business and results of operations. Significant clinical trial delays also could shorten any periods during which we may have the exclusive right to commercialize our products, allow our competitors to bring products to market before we do or impair our ability to successfully commercialize our products, which would harm our business and results of operations. In addition, many of the factors that cause, or lead to, clinical trial delays may ultimately lead to the denial of regulatory approval of our product candidates.</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It is impossible to predict when or if any product candidates we may develop will prove safe in humans. There can be no assurance that our PROTAC technology will not cause undesirable side effects.</w:t>
      </w:r>
    </w:p>
    <w:p>
      <w:pPr>
        <w:spacing w:after="0" w:line="119"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PROTAC technology in any of our ongoing, planned or future clinical studies. There is also the potential risk of delayed adverse events following treatment using our PROTAC technology.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87" w:name="page88"/>
    <w:bookmarkEnd w:id="87"/>
    <w:p>
      <w:pPr>
        <w:ind w:right="20"/>
        <w:spacing w:after="0" w:line="271" w:lineRule="auto"/>
        <w:rPr>
          <w:sz w:val="20"/>
          <w:szCs w:val="20"/>
          <w:color w:val="auto"/>
        </w:rPr>
      </w:pPr>
      <w:r>
        <w:rPr>
          <w:rFonts w:ascii="Arial" w:cs="Arial" w:eastAsia="Arial" w:hAnsi="Arial"/>
          <w:sz w:val="12"/>
          <w:szCs w:val="12"/>
          <w:b w:val="1"/>
          <w:bCs w:val="1"/>
          <w:i w:val="1"/>
          <w:iCs w:val="1"/>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35"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results of preclinical studies may not be predictive of the results of clinical trials, and the results of early-stage clinical trials may not be predictive of the results of the later-stage clinical trials. In addition, initial success in clinical trials may not be indicative of results obtained when such trials are completed. In particular, the small number of patients in our ongoing early clinical trials may make the results of these trials less predictive of the outcome of later clinical trials. For example, even if successful, the results of the ongoing and planned clinical trials of vepdegestrant, ARV-393 and ARV-102, and the ongoing clinical trials of bavdegalutamide, may not be predictive of the results of any future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current or future preclinical studies and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From time to time, we have published and may in the future publish interim top-line or preliminary data from our clinical trials. Interim data from clinical trials are subject to the risk that one or more of the clinical outcomes may materially change as patient enrollment continues and more patient data become available. For example, the initial safety, tolerability, pharmacokinetic and efficacy data that we have disclosed in connection with our ongoing clinical trials of vepdegestrant and bavdegalutamide (ARV-110) may not be indicative of the full results of those trials obtained upon completion.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experience delays or difficulties in the enrollment of patients in clinical trials, our receipt of necessary marketing approvals could be delayed or prevented.</w:t>
      </w:r>
    </w:p>
    <w:p>
      <w:pPr>
        <w:spacing w:after="0" w:line="7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conducting and planning several clinical trials of vepdegestrant, ARV-393 and ARV-102. We cannot predict how difficult it will be to enroll patients for trials in these indications. Therefore, our ability to identify and enroll eligible patients for our clinical trials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47" w:lineRule="exact"/>
        <w:rPr>
          <w:sz w:val="20"/>
          <w:szCs w:val="20"/>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prevalence and severity of the disease under investigation;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eligibility criteria for the trial in question;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requirements of the trial protocols;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perceived risks and benefits of the product candidates under study;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efforts to facilitate timely enrollment in clinical trials;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availability of competing therapies;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88" w:name="page89"/>
    <w:bookmarkEnd w:id="88"/>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patient referral practices of physicians;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burden on patients due to inconvenient procedures;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ability to monitor patients adequately during and after treatment;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proximity and availability of clinical trial sites for prospective patients.</w:t>
      </w:r>
    </w:p>
    <w:p>
      <w:pPr>
        <w:spacing w:after="0" w:line="150"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For example, in April 2020, we announced that, as a result of the COVID-19 pandemic, two trial sites for our ongoing Phase 1/2 clinical trial of bavdegalutamide had publicly announced pauses in patient enrollment for clinical trials, including our trials. In addition, one trial site for our ongoing Phase 1/2 clinical trial of vepdegestrant had a pause in patient enrollment for clinical trials, including our trial. We also experienced a short delay in the enrollment for one cohort of one of our vepdegestrant trials as a result of screening slowdowns attributable to COVID-19. In addition, we may engage in conversations with regulators regarding clinical trial protocols, which could result in delays to our anticipated timing to enroll patients in our studies.</w:t>
      </w:r>
    </w:p>
    <w:p>
      <w:pPr>
        <w:spacing w:after="0" w:line="11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2"/>
          <w:szCs w:val="12"/>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177"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though we have since out-licensed luxdegalutamide (ARV-766) to Novartis, in 2023, we announced that we planned to prioritize the initiation of a Phase 3 clinical trial with luxdegalutamide (ARV-766) in mCRPC instead of the previously planned Phase 3 clinical trial for bavdegalutamide.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marketing or other royalty arrangements or similar transactions in cases in which it would have been more advantageous for us to retain sole development and commercialization rights to such product candidate.</w:t>
      </w:r>
    </w:p>
    <w:p>
      <w:pPr>
        <w:spacing w:after="0" w:line="196"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b w:val="1"/>
          <w:bCs w:val="1"/>
          <w:i w:val="1"/>
          <w:iCs w:val="1"/>
          <w:color w:val="auto"/>
        </w:rPr>
        <w:t>We are developing and plan to continue to develop our product candidates in combination with other drugs. If the FDA or similar regulatory authorities outside of the United States do not approve these other drugs, or revoke their approval of such drugs, or if safety, efficacy, manufacturing or supply issues arise with the drugs we choose to evaluate in combination with our product candidates, we may be unable to obtain approval of or market our products.</w:t>
      </w:r>
    </w:p>
    <w:p>
      <w:pPr>
        <w:spacing w:after="0" w:line="35"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We are currently conducting clinical trials of vepdegestrant, ARV-393, ARV-102 and bavdegalutamide (ARV-110) and intend to conduct other clinical trials for each of vepdegestrant, ARV-393, ARV-102 and potentially other product candidates, in combination with other therapies. We did not develop or obtain marketing approval for, nor do we manufacture or sell, any of the currently approved drugs that we are or may study in combination with vepdegestrant, ARV-393 or ARV-102. If the FDA or similar regulatory authorities outside of the United States revoke their approval of the drug or drugs in combination with which we determine to develop vepdegestrant, ARV-393 or ARV-102, we will not be able to market vepdegestrant, ARV-393 or ARV-102 in combination with such revoked drugs.</w:t>
      </w:r>
    </w:p>
    <w:p>
      <w:pPr>
        <w:spacing w:after="0" w:line="117"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If safety or efficacy issues arise with any of these drugs, we could experience significant regulatory delays, and the FDA or similar regulatory authorities outside of the United States may require us to redesign or terminate the applicable clinical trials. If the drugs we use are replaced as the standard of care for the indications we choose for vepdegestrant, ARV-393 or ARV-102, the FDA or similar regulatory authorities outside of the United States may require us to conduct additional clinical trials. In addition, if manufacturing or other issues result in a shortage of supply of the drugs with which we determine to combine with vepdegestrant,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9" w:name="page90"/>
    <w:bookmarkEnd w:id="89"/>
    <w:p>
      <w:pPr>
        <w:spacing w:after="0"/>
        <w:rPr>
          <w:sz w:val="20"/>
          <w:szCs w:val="20"/>
          <w:color w:val="auto"/>
        </w:rPr>
      </w:pPr>
      <w:r>
        <w:rPr>
          <w:rFonts w:ascii="Arial" w:cs="Arial" w:eastAsia="Arial" w:hAnsi="Arial"/>
          <w:sz w:val="12"/>
          <w:szCs w:val="12"/>
          <w:color w:val="auto"/>
        </w:rPr>
        <w:t>ARV-393, ARV-102, we may not be able to complete clinical development of vepdegestrant, ARV-393 or ARV-102 on our current timeline or at all.</w:t>
      </w:r>
    </w:p>
    <w:p>
      <w:pPr>
        <w:spacing w:after="0" w:line="150"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Even if vepdegestrant, ARV-393 or ARV-102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vepdegestrant, ARV-393 or ARV-102 or that safety, efficacy, manufacturing or supply issues could arise with these existing drugs. Combination therapies are commonly used for the treatment of cancer, and we would be subject to similar risks if we develop any of our other product candidates for use in combination with other drugs or for indications other than cancer. This could result in our own products being removed from the market or being less successful commercially.</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plan to conduct clinical trials for our product candidates at sites outside the United States, and the FDA may not accept data from trials conducted in such locations.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plan to conduct clinical trials of our product candidates outside the United States, including our Phase 1 trials for ARV-102 and ARV-393.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there are risks inherent in conducting clinical trials in multiple jurisdictions, inside and outside of the United States, such as:</w:t>
      </w:r>
    </w:p>
    <w:p>
      <w:pPr>
        <w:spacing w:after="0" w:line="78" w:lineRule="exact"/>
        <w:rPr>
          <w:sz w:val="20"/>
          <w:szCs w:val="20"/>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regulatory and administrative requirements of the jurisdiction where the trial is conducted that could burden or limit our ability to conduct our clinical trials;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foreign exchange rate fluctuations;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manufacturing, customs, shipment and storage requirements;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cultural differences in medical practice and clinical research;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risk that the patient populations in such trials are not considered representative as compared to the patient population in the target markets where approval is being sought.</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potential product candidates.</w:t>
      </w:r>
    </w:p>
    <w:p>
      <w:pPr>
        <w:spacing w:after="0" w:line="76"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A key element of our strategy is to apply our PROTAC Discovery Engine to address a broad array of targets and new therapeutic areas.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42" w:lineRule="exact"/>
        <w:rPr>
          <w:sz w:val="20"/>
          <w:szCs w:val="20"/>
          <w:color w:val="auto"/>
        </w:rPr>
      </w:pPr>
    </w:p>
    <w:p>
      <w:pPr>
        <w:ind w:left="640" w:right="200" w:hanging="216"/>
        <w:spacing w:after="0" w:line="286" w:lineRule="auto"/>
        <w:tabs>
          <w:tab w:leader="none" w:pos="637" w:val="left"/>
        </w:tabs>
        <w:numPr>
          <w:ilvl w:val="0"/>
          <w:numId w:val="47"/>
        </w:numPr>
        <w:rPr>
          <w:rFonts w:ascii="Arial" w:cs="Arial" w:eastAsia="Arial" w:hAnsi="Arial"/>
          <w:sz w:val="12"/>
          <w:szCs w:val="12"/>
          <w:color w:val="auto"/>
        </w:rPr>
      </w:pPr>
      <w:r>
        <w:rPr>
          <w:rFonts w:ascii="Arial" w:cs="Arial" w:eastAsia="Arial" w:hAnsi="Arial"/>
          <w:sz w:val="12"/>
          <w:szCs w:val="12"/>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potential product candidates may not be effective in treating their targeted diseases.</w:t>
      </w:r>
    </w:p>
    <w:p>
      <w:pPr>
        <w:spacing w:after="0" w:line="150"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products before or more successfully than we do.</w:t>
      </w:r>
    </w:p>
    <w:p>
      <w:pPr>
        <w:spacing w:after="0" w:line="76"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public and private research institutions.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specific information regarding competition to our assets, see “Item 1. Business—Competition” in this Annual Report on Form 10-K.</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94"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Risks Related to Dependence on Third Parties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collaboration with Pfizer is not successful, we may not be able to capitalize on the market potential of vepdegestrant.</w:t>
      </w:r>
    </w:p>
    <w:p>
      <w:pPr>
        <w:spacing w:after="0" w:line="76"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In July 2021, we entered into a collaboration agreement with Pfizer, or the Vepdegestrant (ARV-471) Collaboration Agreement, pursuant to which we granted Pfizer worldwide co-exclusive rights to develop and commercialize products containing our proprietary compound ARV-471, or the Licensed Products. Although pursuant to the terms of the Vepdegestrant (ARV-471) Collaboration Agreement, we and Pfizer share equally (50/50) all development costs, including costs for conducting clinical trials, for the Licensed Products, subject to certain exceptions, our control over the amount and timing of resources that Pfizer dedicates to the development or commercialization of the Licensed Products is limited, including with respect to oversight and management of CMOs and CROs. Our ability to generate revenues from the Vepdegestrant (ARV-471) Collaboration Agreement will depend, in part, on Pfizer’s ability to successfully perform the functions assigned to it in such agreement. We cannot predict the success of this collaboration with Pfizer, and we cannot guarantee that this collaboration will lead to development or commercialization of the Licensed Products in the most efficient manner or at all.</w:t>
      </w:r>
    </w:p>
    <w:p>
      <w:pPr>
        <w:spacing w:after="0" w:line="121"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If this collaboration with Pfizer does not result in the successful development and commercialization of Licensed Products, or if Pfizer terminates the Vepdegestrant (ARV-471) Collaboration Agreement, which it may do for convenience subject to certain notice periods, we may not receive any of the $1.4 billion in contingent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color w:val="auto"/>
        </w:rPr>
        <w:t>payments based on specified regulatory and sales-based milestones for the Licensed Products under the Vepdegestrant (ARV-471) Collaboration Agreement.</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2"/>
          <w:szCs w:val="12"/>
          <w:b w:val="1"/>
          <w:bCs w:val="1"/>
          <w:i w:val="1"/>
          <w:iCs w:val="1"/>
          <w:color w:val="auto"/>
        </w:rPr>
        <w:t>We currently depend, and expect to continue to depend, on collaborations, license arrangements, and other strategic alliances with third parties for the research, development, and the potential future commercialization of certain of the product candidates we may develop. If any such collaborations are not successful, we may not be able to capitalize on the market potential of those product candidates.</w:t>
      </w:r>
    </w:p>
    <w:p>
      <w:pPr>
        <w:spacing w:after="0" w:line="35" w:lineRule="exact"/>
        <w:rPr>
          <w:sz w:val="20"/>
          <w:szCs w:val="20"/>
          <w:color w:val="auto"/>
        </w:rPr>
      </w:pPr>
    </w:p>
    <w:p>
      <w:pPr>
        <w:ind w:right="40" w:firstLine="432"/>
        <w:spacing w:after="0" w:line="280" w:lineRule="auto"/>
        <w:rPr>
          <w:sz w:val="20"/>
          <w:szCs w:val="20"/>
          <w:color w:val="auto"/>
        </w:rPr>
      </w:pPr>
      <w:r>
        <w:rPr>
          <w:rFonts w:ascii="Arial" w:cs="Arial" w:eastAsia="Arial" w:hAnsi="Arial"/>
          <w:sz w:val="11"/>
          <w:szCs w:val="11"/>
          <w:color w:val="auto"/>
        </w:rPr>
        <w:t>We currently have, and anticipate in the future seeking additional, third-party collaborators for the research, development, and potential future commercialization of some of our PROTAC programs. For example, in September 2015 we entered into a research collaboration with Genentech, which we amended and restated in November 2017; in December 2017 we entered into a research collaboration with Pfizer; in July 2021 we entered into a development and commercialization collaboration with Pfizer; and in April 2024 we entered into an out-license agreement with Novartis. Our likely collaborators for any other collaboration arrangements include large and mid-size pharmaceutical companies and biotechnology companies. Any such arrangements with third parties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are unable to predict when, if ever, we will enter into any additional strategic collaborations because of the numerous risks and uncertainties associated with establishing them, and we cannot predict the success of any collaboration that we enter into. We may enter into strategic collaborations that we subsequently no longer wish to pursue, and we may not be able to negotiate strategic collaborations on acceptable terms, or at all. At the current time, we cannot predict what form any future strategic collaboration might take, and we are likely to face significant competition in seeking appropriate strategic collaborators, and strategic collaborations can be complicated and time consuming to negotiate and document.</w:t>
      </w:r>
    </w:p>
    <w:p>
      <w:pPr>
        <w:spacing w:after="0" w:line="112"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Any collaborations involving our research programs or any product candidates we may develop, including our current collaborations with Pfizer and Genentech and out-license to Novartis pose the following risks to us:</w:t>
      </w:r>
    </w:p>
    <w:p>
      <w:pPr>
        <w:spacing w:after="0" w:line="31" w:lineRule="exact"/>
        <w:rPr>
          <w:sz w:val="20"/>
          <w:szCs w:val="20"/>
          <w:color w:val="auto"/>
        </w:rPr>
      </w:pPr>
    </w:p>
    <w:p>
      <w:pPr>
        <w:ind w:left="640" w:right="100" w:hanging="216"/>
        <w:spacing w:after="0" w:line="262" w:lineRule="auto"/>
        <w:tabs>
          <w:tab w:leader="none" w:pos="6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Collaborators and licensees have significant discretion in determining the efforts and resources that they will apply to these collaborations or licenses. For example, our research collaboration with Pfizer are managed by a joint research committee composed of an equal number of representatives from us and our respective collaborative partners, with the collaborative partner having final decision-making authority. In addition, following our out-license of luxdegalutamide (ARV-766) to Novartis, Novartis is responsible for worldwide clinical development and commercialization of ARV-766 and therefore has full decision-making authority with respect to the luxdegalutamide (ARV-766) program.</w:t>
      </w:r>
    </w:p>
    <w:p>
      <w:pPr>
        <w:spacing w:after="0" w:line="45" w:lineRule="exact"/>
        <w:rPr>
          <w:rFonts w:ascii="Arial" w:cs="Arial" w:eastAsia="Arial" w:hAnsi="Arial"/>
          <w:sz w:val="12"/>
          <w:szCs w:val="12"/>
          <w:color w:val="auto"/>
        </w:rPr>
      </w:pPr>
    </w:p>
    <w:p>
      <w:pPr>
        <w:jc w:val="both"/>
        <w:ind w:left="640" w:right="300" w:hanging="216"/>
        <w:spacing w:after="0" w:line="268" w:lineRule="auto"/>
        <w:tabs>
          <w:tab w:leader="none" w:pos="6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Collaborators or licensees may not pursue development and commercialization of any product candidates we may develop or may elect not to continue or renew development or commercialization programs based on clinical trial results, changes in the collaborator’s or licensee's strategic focus or available funding or external factors such as an acquisition or business combination that diverts resources or creates competing priorities.</w:t>
      </w:r>
    </w:p>
    <w:p>
      <w:pPr>
        <w:spacing w:after="0" w:line="41" w:lineRule="exact"/>
        <w:rPr>
          <w:rFonts w:ascii="Arial" w:cs="Arial" w:eastAsia="Arial" w:hAnsi="Arial"/>
          <w:sz w:val="12"/>
          <w:szCs w:val="12"/>
          <w:color w:val="auto"/>
        </w:rPr>
      </w:pPr>
    </w:p>
    <w:p>
      <w:pPr>
        <w:ind w:left="640" w:right="140" w:hanging="216"/>
        <w:spacing w:after="0" w:line="286" w:lineRule="auto"/>
        <w:tabs>
          <w:tab w:leader="none" w:pos="6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Collaborators have broad rights to select any target for protein degradation development on an exclusive basis, even as to us, so long as not excluded by us under the terms of each collaboration and may select targets we are considering but have not taken sufficient action to exclude under the collaboration.</w:t>
      </w:r>
    </w:p>
    <w:p>
      <w:pPr>
        <w:spacing w:after="0" w:line="31" w:lineRule="exact"/>
        <w:rPr>
          <w:rFonts w:ascii="Arial" w:cs="Arial" w:eastAsia="Arial" w:hAnsi="Arial"/>
          <w:sz w:val="12"/>
          <w:szCs w:val="12"/>
          <w:color w:val="auto"/>
        </w:rPr>
      </w:pPr>
    </w:p>
    <w:p>
      <w:pPr>
        <w:ind w:left="640" w:right="220" w:hanging="216"/>
        <w:spacing w:after="0" w:line="286" w:lineRule="auto"/>
        <w:tabs>
          <w:tab w:leader="none" w:pos="6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Collaborators and licensees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1" w:lineRule="exact"/>
        <w:rPr>
          <w:rFonts w:ascii="Arial" w:cs="Arial" w:eastAsia="Arial" w:hAnsi="Arial"/>
          <w:sz w:val="12"/>
          <w:szCs w:val="12"/>
          <w:color w:val="auto"/>
        </w:rPr>
      </w:pPr>
    </w:p>
    <w:p>
      <w:pPr>
        <w:ind w:left="640" w:right="220" w:hanging="216"/>
        <w:spacing w:after="0" w:line="286" w:lineRule="auto"/>
        <w:tabs>
          <w:tab w:leader="none" w:pos="6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Collaborators and licensees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92" w:name="page93"/>
    <w:bookmarkEnd w:id="92"/>
    <w:p>
      <w:pPr>
        <w:ind w:left="640" w:hanging="216"/>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Collaborators with marketing and distribution rights to one or more products may not commit sufficient resources to the marketing and distribution of such product or products.</w:t>
      </w:r>
    </w:p>
    <w:p>
      <w:pPr>
        <w:spacing w:after="0" w:line="78" w:lineRule="exact"/>
        <w:rPr>
          <w:rFonts w:ascii="Arial" w:cs="Arial" w:eastAsia="Arial" w:hAnsi="Arial"/>
          <w:sz w:val="12"/>
          <w:szCs w:val="12"/>
          <w:color w:val="auto"/>
        </w:rPr>
      </w:pPr>
    </w:p>
    <w:p>
      <w:pPr>
        <w:ind w:left="640" w:hanging="216"/>
        <w:spacing w:after="0" w:line="262" w:lineRule="auto"/>
        <w:tabs>
          <w:tab w:leader="none" w:pos="637"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Collaborators and licensees may not properly obtain, maintain, enforce, or defend our intellectual property or proprietary rights or may use our proprietary information in such a way that could jeopardize or invalidate our proprietary information or expose us to potential litigation. For example, Pfizer, Genentech and Novartis have the first right to enforce or defend certain intellectual property rights under the applicable collaboration arrangement or license agreement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45" w:lineRule="exact"/>
        <w:rPr>
          <w:rFonts w:ascii="Arial" w:cs="Arial" w:eastAsia="Arial" w:hAnsi="Arial"/>
          <w:sz w:val="12"/>
          <w:szCs w:val="12"/>
          <w:color w:val="auto"/>
        </w:rPr>
      </w:pPr>
    </w:p>
    <w:p>
      <w:pPr>
        <w:ind w:left="640" w:right="20" w:hanging="216"/>
        <w:spacing w:after="0" w:line="286" w:lineRule="auto"/>
        <w:tabs>
          <w:tab w:leader="none" w:pos="637" w:val="left"/>
        </w:tabs>
        <w:numPr>
          <w:ilvl w:val="0"/>
          <w:numId w:val="49"/>
        </w:numPr>
        <w:rPr>
          <w:rFonts w:ascii="Arial" w:cs="Arial" w:eastAsia="Arial" w:hAnsi="Arial"/>
          <w:sz w:val="12"/>
          <w:szCs w:val="12"/>
          <w:color w:val="auto"/>
        </w:rPr>
      </w:pPr>
      <w:r>
        <w:rPr>
          <w:rFonts w:ascii="Arial" w:cs="Arial" w:eastAsia="Arial" w:hAnsi="Arial"/>
          <w:sz w:val="12"/>
          <w:szCs w:val="12"/>
          <w:color w:val="auto"/>
        </w:rPr>
        <w:t>Disputes may arise between the collaborators or licensees and us that result in the delay or termination of the research, development, or commercialization of our products or product candidates or that result in costly litigation or arbitration that diverts management attention and resources.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may lose certain valuable rights under circumstances identified in our collaborations and licenses, including if we undergo a change of control.</w:t>
      </w:r>
    </w:p>
    <w:p>
      <w:pPr>
        <w:spacing w:after="0" w:line="78" w:lineRule="exact"/>
        <w:rPr>
          <w:rFonts w:ascii="Arial" w:cs="Arial" w:eastAsia="Arial" w:hAnsi="Arial"/>
          <w:sz w:val="12"/>
          <w:szCs w:val="12"/>
          <w:color w:val="auto"/>
        </w:rPr>
      </w:pPr>
    </w:p>
    <w:p>
      <w:pPr>
        <w:ind w:left="640" w:right="100" w:hanging="216"/>
        <w:spacing w:after="0" w:line="262" w:lineRule="auto"/>
        <w:tabs>
          <w:tab w:leader="none" w:pos="637"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Collaborations and licenses may be terminated and, if terminated, may result in a need for additional capital to pursue further development or commercialization of the applicable product candidates. For example, each of Genentech and Pfizer can terminate its agreement with us in its entirety or with respect to a specific target for convenience subject to specified notice periods, in certain cases as short as 60 days, or in connection with a material breach of the agreement by us that remains uncured for a specified period of time. Novartis may terminate its agreement with us upon our material breach or for convenience or upon a safety or regulatory issue, subject to specified notice periods.</w:t>
      </w:r>
    </w:p>
    <w:p>
      <w:pPr>
        <w:spacing w:after="0" w:line="45" w:lineRule="exact"/>
        <w:rPr>
          <w:rFonts w:ascii="Arial" w:cs="Arial" w:eastAsia="Arial" w:hAnsi="Arial"/>
          <w:sz w:val="12"/>
          <w:szCs w:val="12"/>
          <w:color w:val="auto"/>
        </w:rPr>
      </w:pPr>
    </w:p>
    <w:p>
      <w:pPr>
        <w:ind w:left="640" w:right="80" w:hanging="216"/>
        <w:spacing w:after="0" w:line="268" w:lineRule="auto"/>
        <w:tabs>
          <w:tab w:leader="none" w:pos="637"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Collaboration or license agreements may not lead to development or commercialization of product candidates in the most efficient manner or at all. If a present or future collaborator or licensee of ours were to be involved in a business combination, the continued pursuit and emphasis on our product development or commercialization program under such collaboration or license could be delayed, diminished, or terminated.</w:t>
      </w:r>
    </w:p>
    <w:p>
      <w:pPr>
        <w:spacing w:after="0" w:line="114"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If our collaborations and licenses do not result in the successful development and commercialization of products, or if one of our collaborators or licensees terminates its agreement with us, we may not receive any future research funding or milestone or royalty payments under the collaboration or license, as appropriate. If we do not receive the funding we expect under these agreements, our development of product candidates could be delayed, and we may need additional resources to develop product candidates. In addition, if one of our collaborators or licensees terminates its agreement with us, we may find it more difficult to find a suitable replacement collaborator or licensee or attract new collaborators or licensees, and our development programs may be delayed or the perception of us in the business and financial communities could be adversely affected. All of the risks relating to product development, marketing approval, and commercialization described in this Annual Report on Form 10-K apply to the activities of our collaborators.</w:t>
      </w:r>
    </w:p>
    <w:p>
      <w:pPr>
        <w:spacing w:after="0" w:line="195" w:lineRule="exact"/>
        <w:rPr>
          <w:sz w:val="20"/>
          <w:szCs w:val="20"/>
          <w:color w:val="auto"/>
        </w:rPr>
      </w:pPr>
    </w:p>
    <w:p>
      <w:pPr>
        <w:ind w:right="480"/>
        <w:spacing w:after="0" w:line="293" w:lineRule="auto"/>
        <w:rPr>
          <w:sz w:val="20"/>
          <w:szCs w:val="20"/>
          <w:color w:val="auto"/>
        </w:rPr>
      </w:pPr>
      <w:r>
        <w:rPr>
          <w:rFonts w:ascii="Arial" w:cs="Arial" w:eastAsia="Arial" w:hAnsi="Arial"/>
          <w:sz w:val="12"/>
          <w:szCs w:val="12"/>
          <w:b w:val="1"/>
          <w:bCs w:val="1"/>
          <w:i w:val="1"/>
          <w:iCs w:val="1"/>
          <w:color w:val="auto"/>
        </w:rPr>
        <w:t>We may seek to establish additional collaborations or out-license the development of our product candidates. If we are not able to establish collaborations or enter into these out-licenses on commercially reasonable terms, we may have to alter our business development plans or product development and commercialization plans.</w:t>
      </w:r>
    </w:p>
    <w:p>
      <w:pPr>
        <w:spacing w:after="0" w:line="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2"/>
          <w:szCs w:val="12"/>
          <w:color w:val="auto"/>
        </w:rPr>
        <w:t>To realize the full potential of our PROTAC Discovery Engine and accelerate the development of additional PROTAC programs, we plan to continue to selectively pursue collaborations with leading biopharmaceutical companies with particular experience, including development and commercial expertise and capabilities. We face significant competition in attracting appropriate collaborators to advance the development of any product candidates for which we may seek a collaboration. We also may choose to out-license product candidates at any time. Whether we reach a definitive agreement for a collaboration or out-license will depend, among other things, upon our assessment of the potential collaborator’s or licensee's resources and expertise, the terms and conditions of the proposed collaboration or license, and the proposed collaborator’s or licensee's evaluation of a number of factors. Those factors may include the design or results of clinical trials, the likelihood of approval by the FDA or other regulatory authorities, the potential market for the subject product candidate,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3" w:name="page94"/>
    <w:bookmarkEnd w:id="93"/>
    <w:p>
      <w:pPr>
        <w:ind w:right="160"/>
        <w:spacing w:after="0" w:line="262" w:lineRule="auto"/>
        <w:rPr>
          <w:sz w:val="20"/>
          <w:szCs w:val="20"/>
          <w:color w:val="auto"/>
        </w:rPr>
      </w:pPr>
      <w:r>
        <w:rPr>
          <w:rFonts w:ascii="Arial" w:cs="Arial" w:eastAsia="Arial" w:hAnsi="Arial"/>
          <w:sz w:val="12"/>
          <w:szCs w:val="12"/>
          <w:color w:val="auto"/>
        </w:rPr>
        <w:t>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the terms of any existing collaboration or license agreements, and industry and market conditions generally. The collaborator or licensee may also have the opportunity to collaborate on other product candidates or technologies for similar indications and will have to evaluate whether such a collaboration could be more attractive than one with us.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Collaborations and licenses are complex and time-consuming to negotiate, document and execute. In addition, consolidation among large pharmaceutical companies has reduced the number of potential future collaborators. Our existing collaboration and license agreements limit our ability to enter into future agreements on certain terms with potential collaborators. For example, we have granted exclusive rights to Genentech and Pfizer for the discovery, development and commercialization of PROTAC targeted protein degraders directed to certain protein targets, and during the terms of those agreements, we will be restricted from granting rights to other parties to use our PROTAC technology for those targets. In addition, we granted an exclusive worldwide license for the development, manufacture and commercialization of luxdegalutamide (ARV-766) to Novartis and during the term of the Novartis License Agreement, is restricted from granting rights to other parties related to luxdegalutamide (ARV-766). Any collaboration or license we enter into may limit our ability to enter into future agreements on particular terms or covering similar target indications with other potential collaborators or licensees.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may not be able to negotiate collaborations or licenses on a timely basis, on acceptable terms or at all. If we are unable to do so, we may have to curtail the development of the product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193" w:lineRule="exact"/>
        <w:rPr>
          <w:sz w:val="20"/>
          <w:szCs w:val="20"/>
          <w:color w:val="auto"/>
        </w:rPr>
      </w:pPr>
    </w:p>
    <w:p>
      <w:pPr>
        <w:ind w:right="240"/>
        <w:spacing w:after="0" w:line="293" w:lineRule="auto"/>
        <w:rPr>
          <w:sz w:val="20"/>
          <w:szCs w:val="20"/>
          <w:color w:val="auto"/>
        </w:rPr>
      </w:pPr>
      <w:r>
        <w:rPr>
          <w:rFonts w:ascii="Arial" w:cs="Arial" w:eastAsia="Arial" w:hAnsi="Arial"/>
          <w:sz w:val="12"/>
          <w:szCs w:val="12"/>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21"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We currently rely and expect to continue to rely on third-party CROs to conduct our ongoing and planned clinical trials. We currently do not plan to independently conduct any clinical trials of vepdegestrant, ARV-393 or ARV-102, and have not independently conducted any clinical trials of our product candidates, including bavdegalutamide, to date. Agreements with these third parties might terminate for a variety of reasons, including a failure to perform by the third parties. If we need to enter into alternative arrangements, that would delay our product development activities.</w:t>
      </w:r>
    </w:p>
    <w:p>
      <w:pPr>
        <w:spacing w:after="0" w:line="114"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Our reliance on these third parties for research and development activities reduces our control over these activities but does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w:t>
      </w:r>
    </w:p>
    <w:p>
      <w:pPr>
        <w:spacing w:after="0" w:line="117"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Furthermore, these third parties may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94" w:name="page95"/>
    <w:bookmarkEnd w:id="94"/>
    <w:p>
      <w:pPr>
        <w:ind w:right="120"/>
        <w:spacing w:after="0" w:line="271" w:lineRule="auto"/>
        <w:rPr>
          <w:sz w:val="20"/>
          <w:szCs w:val="20"/>
          <w:color w:val="auto"/>
        </w:rPr>
      </w:pPr>
      <w:r>
        <w:rPr>
          <w:rFonts w:ascii="Arial" w:cs="Arial" w:eastAsia="Arial" w:hAnsi="Arial"/>
          <w:sz w:val="12"/>
          <w:szCs w:val="12"/>
          <w:b w:val="1"/>
          <w:bCs w:val="1"/>
          <w:i w:val="1"/>
          <w:iCs w:val="1"/>
          <w:color w:val="auto"/>
        </w:rPr>
        <w:t>We rely on third-party CMOs for the manufacture and testing of both drug substance and finished drug product for our product candidates for preclinical testing and clinical trials and expect to continue to do so for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35" w:lineRule="exact"/>
        <w:rPr>
          <w:sz w:val="20"/>
          <w:szCs w:val="20"/>
          <w:color w:val="auto"/>
        </w:rPr>
      </w:pPr>
    </w:p>
    <w:p>
      <w:pPr>
        <w:jc w:val="both"/>
        <w:ind w:right="180" w:firstLine="432"/>
        <w:spacing w:after="0" w:line="268" w:lineRule="auto"/>
        <w:rPr>
          <w:sz w:val="20"/>
          <w:szCs w:val="20"/>
          <w:color w:val="auto"/>
        </w:rPr>
      </w:pPr>
      <w:r>
        <w:rPr>
          <w:rFonts w:ascii="Arial" w:cs="Arial" w:eastAsia="Arial" w:hAnsi="Arial"/>
          <w:sz w:val="12"/>
          <w:szCs w:val="12"/>
          <w:color w:val="auto"/>
        </w:rPr>
        <w:t>We do not own or operate, and currently have no plans to establish, any manufacturing facilities. We rely on and expect to continue to rely on third-party CMOs for both drug substance and finished drug product as well as the building blocks used to manufacture drug substance and the testing of the same.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114"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We may be unable to establish agreements with third-party manufacturers or to do so on acceptable terms. Even if we are able to establish agreements with third-party manufacturers, reliance on third-party manufacturers entails additional risks, including:</w:t>
      </w:r>
    </w:p>
    <w:p>
      <w:pPr>
        <w:spacing w:after="0" w:line="31" w:lineRule="exact"/>
        <w:rPr>
          <w:sz w:val="20"/>
          <w:szCs w:val="20"/>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reliance on the third party for regulatory, compliance and quality assurance;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possible breach of the manufacturing agreement by the third party;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possible misappropriation of our proprietary information, including our trade secrets and know-how;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possible termination or nonrenewal of the agreement by the third party at a time that is costly or inconvenient for us.</w:t>
      </w:r>
    </w:p>
    <w:p>
      <w:pPr>
        <w:spacing w:after="0" w:line="150"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We have only limited technology transfer agreements in place with respect to our product candidates, and these arrangements do not extend to commercial supply. We acquire many key materials on a purchase order basis. As a result, we do not have long term committed arrangements with respect to our product candidates and other materials. If we receive marketing approval for any of our product candidates, we will need to establish an agreement for commercial manufacture with a third party.</w:t>
      </w:r>
    </w:p>
    <w:p>
      <w:pPr>
        <w:spacing w:after="0" w:line="114"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17" w:lineRule="exact"/>
        <w:rPr>
          <w:sz w:val="20"/>
          <w:szCs w:val="20"/>
          <w:color w:val="auto"/>
        </w:rPr>
      </w:pPr>
    </w:p>
    <w:p>
      <w:pPr>
        <w:ind w:right="280" w:firstLine="432"/>
        <w:spacing w:after="0" w:line="286" w:lineRule="auto"/>
        <w:rPr>
          <w:sz w:val="20"/>
          <w:szCs w:val="20"/>
          <w:color w:val="auto"/>
        </w:rPr>
      </w:pPr>
      <w:r>
        <w:rPr>
          <w:rFonts w:ascii="Arial" w:cs="Arial" w:eastAsia="Arial" w:hAnsi="Arial"/>
          <w:sz w:val="12"/>
          <w:szCs w:val="12"/>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0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Any performance failure on the part of our existing or future manufacturers could delay clinical development or marketing approval. Some of our manufacturers are based outside of the United States, including the manufacturers of the building blocks for our drug substances which are based in China and India. For example, as a result of the COVID-19 pandemic, in the first quarter of 2020, the production of certain building blocks for the drug substance used in the manufacture of vepdegestrant was delayed at one of our China-based manufacturers. While this production delay did not delay the overall clinical development of our product candidates, other delays in the manufacture of building blocks, drug substance or drug products for our product candidates could arise, which could have a material adverse effect on our clinical development.</w:t>
      </w:r>
    </w:p>
    <w:p>
      <w:pPr>
        <w:spacing w:after="0" w:line="119" w:lineRule="exact"/>
        <w:rPr>
          <w:sz w:val="20"/>
          <w:szCs w:val="20"/>
          <w:color w:val="auto"/>
        </w:rPr>
      </w:pPr>
    </w:p>
    <w:p>
      <w:pPr>
        <w:ind w:firstLine="432"/>
        <w:spacing w:after="0" w:line="334" w:lineRule="auto"/>
        <w:rPr>
          <w:sz w:val="20"/>
          <w:szCs w:val="20"/>
          <w:color w:val="auto"/>
        </w:rPr>
      </w:pPr>
      <w:r>
        <w:rPr>
          <w:rFonts w:ascii="Arial" w:cs="Arial" w:eastAsia="Arial" w:hAnsi="Arial"/>
          <w:sz w:val="11"/>
          <w:szCs w:val="11"/>
          <w:color w:val="auto"/>
        </w:rPr>
        <w:t>If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manufacturer or be unable to reach agreement with any alternative manufacturer.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95" w:name="page96"/>
    <w:bookmarkEnd w:id="95"/>
    <w:p>
      <w:pPr>
        <w:ind w:right="240" w:firstLine="432"/>
        <w:spacing w:after="0" w:line="286" w:lineRule="auto"/>
        <w:rPr>
          <w:sz w:val="20"/>
          <w:szCs w:val="20"/>
          <w:color w:val="auto"/>
        </w:rPr>
      </w:pPr>
      <w:r>
        <w:rPr>
          <w:rFonts w:ascii="Arial" w:cs="Arial" w:eastAsia="Arial" w:hAnsi="Arial"/>
          <w:sz w:val="12"/>
          <w:szCs w:val="12"/>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and international trade policies, particularly with respect to China, may adversely impact our business and operating results.</w:t>
      </w:r>
    </w:p>
    <w:p>
      <w:pPr>
        <w:spacing w:after="0" w:line="7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The U.S. government has recently made statements and taken certain actions that may lead to potential changes to U.S. and international trade policies, including imposing several rounds of tariffs and export control restrictions affecting certain products manufactured in China. In March 2018, the Trump administration announced the imposition of tariffs on steel and aluminum entering the United States and in June 2018, the Trump administration announced further tariffs targeting goods imported from China. Recently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It is unknown whether and to what extent new tariffs, export controls, or other new laws or regulations will be adopted, or the effect that any such actions would have on us or our industry.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Further, some of our manufacturers and suppliers are located in China. Trade tensions and conflicts between the United States and China have been escalating in recent years and, as such, we are</w:t>
      </w:r>
    </w:p>
    <w:p>
      <w:pPr>
        <w:spacing w:after="0" w:line="18" w:lineRule="exact"/>
        <w:rPr>
          <w:sz w:val="20"/>
          <w:szCs w:val="20"/>
          <w:color w:val="auto"/>
        </w:rPr>
      </w:pPr>
    </w:p>
    <w:p>
      <w:pPr>
        <w:jc w:val="both"/>
        <w:ind w:right="20"/>
        <w:spacing w:after="0" w:line="322" w:lineRule="auto"/>
        <w:rPr>
          <w:sz w:val="20"/>
          <w:szCs w:val="20"/>
          <w:color w:val="auto"/>
        </w:rPr>
      </w:pPr>
      <w:r>
        <w:rPr>
          <w:rFonts w:ascii="Arial" w:cs="Arial" w:eastAsia="Arial" w:hAnsi="Arial"/>
          <w:sz w:val="11"/>
          <w:szCs w:val="11"/>
          <w:color w:val="auto"/>
        </w:rPr>
        <w:t>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2"/>
          <w:szCs w:val="12"/>
          <w:color w:val="auto"/>
        </w:rPr>
        <w:t>investigations into and the imposition of possible economic sanctions against Chinese biotechnology companies WuXi AppTec and WuXi Biologics, or collectively WuXi, over alleged ties to the Chinese military. In addition, the recently proposed BIOSECURE Act introduced in the House of Representatives, as well as a substantially similar bill in the Senate, targets certain Chinese biotechnology companies. If these bills become law, or similar laws are passed, they would have the potential to severely restrict the ability of companies to contract with certain Chinese biotechnology companies of concern without losing the ability to</w:t>
      </w:r>
    </w:p>
    <w:p>
      <w:pPr>
        <w:spacing w:after="0"/>
        <w:rPr>
          <w:sz w:val="20"/>
          <w:szCs w:val="20"/>
          <w:color w:val="auto"/>
        </w:rPr>
      </w:pPr>
      <w:r>
        <w:rPr>
          <w:rFonts w:ascii="Arial" w:cs="Arial" w:eastAsia="Arial" w:hAnsi="Arial"/>
          <w:sz w:val="12"/>
          <w:szCs w:val="12"/>
          <w:color w:val="auto"/>
        </w:rPr>
        <w:t>contract with, or otherwise received funding from, the U.S. government. Such disruptions could have adverse effects on the development of our product candidates and our business operations.</w:t>
      </w:r>
    </w:p>
    <w:p>
      <w:pPr>
        <w:spacing w:after="0" w:line="15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import or export of raw materials and finished product candidate used in our and our collaborators’ preclinical studies and clinical trials, particularly with respect to any product candidates and materials that we import from China, including pursuant to our manufacturing service arrangements with WuXi.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spacing w:after="0" w:line="191"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Risks Related to the Commercialization of Our Product Candidates</w:t>
      </w:r>
    </w:p>
    <w:p>
      <w:pPr>
        <w:spacing w:after="0" w:line="224" w:lineRule="exact"/>
        <w:rPr>
          <w:sz w:val="20"/>
          <w:szCs w:val="20"/>
          <w:color w:val="auto"/>
        </w:rPr>
      </w:pPr>
    </w:p>
    <w:p>
      <w:pPr>
        <w:ind w:right="440"/>
        <w:spacing w:after="0" w:line="293" w:lineRule="auto"/>
        <w:rPr>
          <w:sz w:val="20"/>
          <w:szCs w:val="20"/>
          <w:color w:val="auto"/>
        </w:rPr>
      </w:pPr>
      <w:r>
        <w:rPr>
          <w:rFonts w:ascii="Arial" w:cs="Arial" w:eastAsia="Arial" w:hAnsi="Arial"/>
          <w:sz w:val="12"/>
          <w:szCs w:val="12"/>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1"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 established in the medical community, and doctors may continue to rely on these treatments. If our product candidates do not achieve an adequate level of acceptance, we may not generate significant revenue from product sales and we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may not become profitable. The degree of market acceptance of our product candidates, if approved for commercial sale, will depend on a number of factors, including, but not limited to:</w:t>
      </w:r>
    </w:p>
    <w:p>
      <w:pPr>
        <w:spacing w:after="0" w:line="78" w:lineRule="exact"/>
        <w:rPr>
          <w:sz w:val="20"/>
          <w:szCs w:val="20"/>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efficacy and potential advantages as compared to alternative treatments;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prevalence and severity of any side effects of our product candidates, in particular as compared to alternative treatments;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our ability to offer our products for sale at competitive prices;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convenience and ease of administration compared to alternative treatments;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strength of marketing, sales and distribution support;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availability of third-party coverage and adequate reimbursement;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timing of any marketing approval in relation to other product approvals;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support from patient advocacy groups;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any restrictions on the use of our products together with other medications.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we may not be successful in commercializing our product candidates if and when they are approved.</w:t>
      </w:r>
    </w:p>
    <w:p>
      <w:pPr>
        <w:spacing w:after="0" w:line="76"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Though we are working to build, we do not currently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currently expect that we would continue to build our own focused, specialized sales, marketing and market access organization to support the commercialization of our product candidates in the United States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Factors that may inhibit our efforts to commercialize our products on our own include:</w:t>
      </w:r>
    </w:p>
    <w:p>
      <w:pPr>
        <w:spacing w:after="0" w:line="78" w:lineRule="exact"/>
        <w:rPr>
          <w:sz w:val="20"/>
          <w:szCs w:val="20"/>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our inability to recruit, train and retain adequate numbers of effective, knowledgeable and experienced sales and marketing personnel;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inability of such sales personnel to obtain access to physicians or persuade adequate numbers of physicians to prescribe any future products;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to companies with more extensive product lines;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w:t>
      </w:r>
    </w:p>
    <w:p>
      <w:pPr>
        <w:spacing w:after="0" w:line="1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If we are unable to establish our own sales and marketing capabilities or enter into arrangements with third parties to perform these services, our revenue from product sales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97" w:name="page98"/>
    <w:bookmarkEnd w:id="97"/>
    <w:p>
      <w:pPr>
        <w:ind w:right="540"/>
        <w:spacing w:after="0" w:line="293" w:lineRule="auto"/>
        <w:rPr>
          <w:sz w:val="20"/>
          <w:szCs w:val="20"/>
          <w:color w:val="auto"/>
        </w:rPr>
      </w:pPr>
      <w:r>
        <w:rPr>
          <w:rFonts w:ascii="Arial" w:cs="Arial" w:eastAsia="Arial" w:hAnsi="Arial"/>
          <w:sz w:val="12"/>
          <w:szCs w:val="12"/>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21"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122"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2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There may be significant delays in obtaining coverage and reimbursement for newly approved drugs, and coverage may be more limited than the purposes for which the FDA or similar regulatory authorities approve the drug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any products that we may develop.</w:t>
      </w:r>
    </w:p>
    <w:p>
      <w:pPr>
        <w:spacing w:after="0" w:line="76" w:lineRule="exact"/>
        <w:rPr>
          <w:sz w:val="20"/>
          <w:szCs w:val="20"/>
          <w:color w:val="auto"/>
        </w:rPr>
      </w:pPr>
    </w:p>
    <w:p>
      <w:pPr>
        <w:ind w:right="240" w:firstLine="432"/>
        <w:spacing w:after="0" w:line="286" w:lineRule="auto"/>
        <w:rPr>
          <w:sz w:val="20"/>
          <w:szCs w:val="20"/>
          <w:color w:val="auto"/>
        </w:rPr>
      </w:pPr>
      <w:r>
        <w:rPr>
          <w:rFonts w:ascii="Arial" w:cs="Arial" w:eastAsia="Arial" w:hAnsi="Arial"/>
          <w:sz w:val="12"/>
          <w:szCs w:val="12"/>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98" w:name="page99"/>
    <w:bookmarkEnd w:id="98"/>
    <w:p>
      <w:pPr>
        <w:spacing w:after="0"/>
        <w:rPr>
          <w:sz w:val="20"/>
          <w:szCs w:val="20"/>
          <w:color w:val="auto"/>
        </w:rPr>
      </w:pPr>
      <w:r>
        <w:rPr>
          <w:rFonts w:ascii="Arial" w:cs="Arial" w:eastAsia="Arial" w:hAnsi="Arial"/>
          <w:sz w:val="12"/>
          <w:szCs w:val="12"/>
          <w:color w:val="auto"/>
        </w:rPr>
        <w:t>caused injuries, we will incur substantial liabilities. Regardless of merit or eventual outcome, liability claims may result in:</w:t>
      </w:r>
    </w:p>
    <w:p>
      <w:pPr>
        <w:spacing w:after="0" w:line="78" w:lineRule="exact"/>
        <w:rPr>
          <w:sz w:val="20"/>
          <w:szCs w:val="20"/>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decreased demand for any product candidates or products that we may develop;</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termination of clinical trials;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withdrawal of any marketing approval, recall, restriction on the approval or a “black box” warning or contraindication for an approved drug;</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failure to enroll clinical trial participants or withdrawal of clinical trial participants;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reduced resources of our management to pursue our business strategy;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w:t>
      </w:r>
    </w:p>
    <w:p>
      <w:pPr>
        <w:spacing w:after="0" w:line="15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Although we maintain product liability insurance coverage, it may not be adequate to cover all liabilities that we may incur. We may need to increase product liability insurance coverage as we expand our clinical trials and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 and we may not be able to compete effectively in our market.</w:t>
      </w:r>
    </w:p>
    <w:p>
      <w:pPr>
        <w:spacing w:after="0" w:line="35"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Our commercial success depends in part on our ability to obtain and maintain patent and other proprietary protection in the United States and other countries with respect to our proprietary technology and products. We seek to protect our proprietary position by filing patent applications in the United States and other jurisdictions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17" w:lineRule="exact"/>
        <w:rPr>
          <w:sz w:val="20"/>
          <w:szCs w:val="20"/>
          <w:color w:val="auto"/>
        </w:rPr>
      </w:pPr>
    </w:p>
    <w:p>
      <w:pPr>
        <w:jc w:val="both"/>
        <w:ind w:right="40" w:firstLine="432"/>
        <w:spacing w:after="0" w:line="262" w:lineRule="auto"/>
        <w:rPr>
          <w:sz w:val="20"/>
          <w:szCs w:val="20"/>
          <w:color w:val="auto"/>
        </w:rPr>
      </w:pPr>
      <w:r>
        <w:rPr>
          <w:rFonts w:ascii="Arial" w:cs="Arial" w:eastAsia="Arial" w:hAnsi="Arial"/>
          <w:sz w:val="12"/>
          <w:szCs w:val="12"/>
          <w:color w:val="auto"/>
        </w:rPr>
        <w:t>The patent prosecution process is expensive and time-consuming, and we may not be able to file and prosecute all necessary or desirable patent applications at a reasonable cost or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99" w:name="page100"/>
    <w:bookmarkEnd w:id="99"/>
    <w:p>
      <w:pPr>
        <w:ind w:right="180"/>
        <w:spacing w:after="0" w:line="262" w:lineRule="auto"/>
        <w:rPr>
          <w:sz w:val="20"/>
          <w:szCs w:val="20"/>
          <w:color w:val="auto"/>
        </w:rPr>
      </w:pPr>
      <w:r>
        <w:rPr>
          <w:rFonts w:ascii="Arial" w:cs="Arial" w:eastAsia="Arial" w:hAnsi="Arial"/>
          <w:sz w:val="12"/>
          <w:szCs w:val="12"/>
          <w:color w:val="auto"/>
        </w:rPr>
        <w:t>pending patent applications, or that we were the first inventors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Moreover, we may be subject to a third-party preissuance submission of prior art to the United States Patent and Trademark Office, or the USPTO, or in addition to interference proceedings, may become involved in opposition, derivation, reexamination,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post-grant review or other post-grant proceedings challenging our or our licensors’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19"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2"/>
          <w:szCs w:val="12"/>
          <w:color w:val="auto"/>
        </w:rPr>
        <w:t>Our owned, co-owned and licensed patent estate includes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or products in a non-infringing manner.</w:t>
      </w:r>
    </w:p>
    <w:p>
      <w:pPr>
        <w:spacing w:after="0" w:line="11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issuance of a patent is not conclusive as to its inventorship, scope, validity or enforceability, and our owned, co-owned and licensed patents may be challenged in the courts or patent offices in the United States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co-owned and licensed patent portfolio may not provide us with sufficient rights to exclude others from commercializing products similar or identical to ours.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patent laws or patent jurisprudence could diminish the value of our patents in general, thereby impairing our ability to protect our product candidates.</w:t>
      </w:r>
    </w:p>
    <w:p>
      <w:pPr>
        <w:spacing w:after="0" w:line="7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changes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first-inventor-to-file provisions,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Furthermore, for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w:t>
      </w:r>
    </w:p>
    <w:p>
      <w:pPr>
        <w:spacing w:after="0" w:line="123" w:lineRule="exact"/>
        <w:rPr>
          <w:sz w:val="20"/>
          <w:szCs w:val="20"/>
          <w:color w:val="auto"/>
        </w:rPr>
      </w:pPr>
    </w:p>
    <w:p>
      <w:pPr>
        <w:ind w:right="220" w:firstLine="432"/>
        <w:spacing w:after="0" w:line="268" w:lineRule="auto"/>
        <w:rPr>
          <w:sz w:val="20"/>
          <w:szCs w:val="20"/>
          <w:color w:val="auto"/>
        </w:rPr>
      </w:pPr>
      <w:r>
        <w:rPr>
          <w:rFonts w:ascii="Arial" w:cs="Arial" w:eastAsia="Arial" w:hAnsi="Arial"/>
          <w:sz w:val="12"/>
          <w:szCs w:val="12"/>
          <w:color w:val="auto"/>
        </w:rPr>
        <w:t>Additionally, the U.S. Supreme Court has ruled on several patent cases in recent years limiting where a patentee may file a patent infringement suit, narrowing the scope of patent protection available in certain circumstances or weakening the rights of patent owners in certain situations, and there are other open questions under patent law that courts have yet to decisively address. In addition to increasing uncertainty with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regard to our ability to obtain patents in the future, this combination of events has created uncertainty with respect to the value of patents, once obtained.</w:t>
      </w:r>
    </w:p>
    <w:p>
      <w:pPr>
        <w:spacing w:after="0" w:line="15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Competitors may infringe our issued patents, the patents of our licensors,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Even if we successfully assert our patents, a court may not award remedies that sufficiently compensate us for our losses.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license intellectual property from third parties, and such licenses may not be available or may not be available on commercially reasonable terms or at all.</w:t>
      </w:r>
    </w:p>
    <w:p>
      <w:pPr>
        <w:spacing w:after="0" w:line="76"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A third party may hold intellectual property, including patent rights, that are important or necessary to the development of our products. It may be necessary for us to use the patented or proprietary technology of a third party to commercialize our own technology or products,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14" w:lineRule="exact"/>
        <w:rPr>
          <w:sz w:val="20"/>
          <w:szCs w:val="20"/>
          <w:color w:val="auto"/>
        </w:rPr>
      </w:pPr>
    </w:p>
    <w:p>
      <w:pPr>
        <w:ind w:right="140" w:firstLine="432"/>
        <w:spacing w:after="0" w:line="262" w:lineRule="auto"/>
        <w:rPr>
          <w:sz w:val="20"/>
          <w:szCs w:val="20"/>
          <w:color w:val="auto"/>
        </w:rPr>
      </w:pPr>
      <w:r>
        <w:rPr>
          <w:rFonts w:ascii="Arial" w:cs="Arial" w:eastAsia="Arial" w:hAnsi="Arial"/>
          <w:sz w:val="12"/>
          <w:szCs w:val="12"/>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191"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1"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as well as administrative proceedings for challenging patents, including interference, reexamination, and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proceedings before the USPTO and oppositions and other comparable proceedings in foreign jurisdictions.</w:t>
      </w:r>
    </w:p>
    <w:p>
      <w:pPr>
        <w:spacing w:after="0" w:line="114"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 xml:space="preserve">We may become party to, or threatened with, future adversarial proceedings or litigation regarding intellectual property rights with respect to our products and technology, including interference, derivation, reexamination or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proceedings before the USPTO. Third parties may assert infringement claims against us based on existing patents or patents that may be granted in the future. As the biotechnology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1" w:name="page102"/>
    <w:bookmarkEnd w:id="101"/>
    <w:p>
      <w:pPr>
        <w:ind w:right="80"/>
        <w:spacing w:after="0" w:line="262" w:lineRule="auto"/>
        <w:rPr>
          <w:sz w:val="20"/>
          <w:szCs w:val="20"/>
          <w:color w:val="auto"/>
        </w:rPr>
      </w:pPr>
      <w:r>
        <w:rPr>
          <w:rFonts w:ascii="Arial" w:cs="Arial" w:eastAsia="Arial" w:hAnsi="Arial"/>
          <w:sz w:val="12"/>
          <w:szCs w:val="12"/>
          <w:color w:val="auto"/>
        </w:rPr>
        <w:t>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If we are found by a court of competent jurisdiction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In addition,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our obligations in our current and future intellectual property licenses and funding arrangements with third parties, we could lose rights that are important to our business.</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party to an amended and restated license agreement with Yale that provides us with the foundational intellectual property rights for our PROTAC targeted protein degradation technology. This license agreement imposes diligence, development and commercialization timelines and milestone payment, royalty, insurance and other obligations on us. If we fail to comply with our obligations, including achieving specified milestone events, Yale may have the right to terminate this license, in which event we might not be able to develop, manufacture or market any product that is covered by the intellectual property we in-license from Yale and may face other penalties. Such an occurrence would materially adversely affect our business prospects. For a variety of purposes, we will likely enter into additional licensing and funding arrangements with third parties that may also impose similar obligations on us.</w:t>
      </w:r>
    </w:p>
    <w:p>
      <w:pPr>
        <w:spacing w:after="0" w:line="119" w:lineRule="exact"/>
        <w:rPr>
          <w:sz w:val="20"/>
          <w:szCs w:val="20"/>
          <w:color w:val="auto"/>
        </w:rPr>
      </w:pPr>
    </w:p>
    <w:p>
      <w:pPr>
        <w:ind w:right="260" w:firstLine="432"/>
        <w:spacing w:after="0" w:line="268" w:lineRule="auto"/>
        <w:rPr>
          <w:sz w:val="20"/>
          <w:szCs w:val="20"/>
          <w:color w:val="auto"/>
        </w:rPr>
      </w:pPr>
      <w:r>
        <w:rPr>
          <w:rFonts w:ascii="Arial" w:cs="Arial" w:eastAsia="Arial" w:hAnsi="Arial"/>
          <w:sz w:val="12"/>
          <w:szCs w:val="12"/>
          <w:color w:val="auto"/>
        </w:rPr>
        <w:t>Termination of any of our current or future in-licenses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14"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17" w:lineRule="exact"/>
        <w:rPr>
          <w:sz w:val="20"/>
          <w:szCs w:val="20"/>
          <w:color w:val="auto"/>
        </w:rPr>
      </w:pPr>
    </w:p>
    <w:p>
      <w:pPr>
        <w:ind w:right="220" w:firstLine="432"/>
        <w:spacing w:after="0" w:line="262" w:lineRule="auto"/>
        <w:rPr>
          <w:sz w:val="20"/>
          <w:szCs w:val="20"/>
          <w:color w:val="auto"/>
        </w:rPr>
      </w:pPr>
      <w:r>
        <w:rPr>
          <w:rFonts w:ascii="Arial" w:cs="Arial" w:eastAsia="Arial" w:hAnsi="Arial"/>
          <w:sz w:val="12"/>
          <w:szCs w:val="12"/>
          <w:color w:val="auto"/>
        </w:rPr>
        <w:t>Further, we do not have the right to control the prosecution, maintenance and enforcement of all of our licensed and sublicensed intellectual property, and even when we do have such rights, we may require the cooperation of our licensors and upstream licensors, which may not be forthcoming. For example, under the Yale license, any patent applications and issued patents under the agreement remain the property of Yale, and Yale has the right to choose patent counsel. Our business could be adversely affected if we or our licensors are unable to prosecute, maintain and enforce our licensed and sublicensed intellectual property effectively.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2" w:name="page103"/>
    <w:bookmarkEnd w:id="102"/>
    <w:p>
      <w:pPr>
        <w:ind w:right="100"/>
        <w:spacing w:after="0" w:line="293" w:lineRule="auto"/>
        <w:rPr>
          <w:sz w:val="20"/>
          <w:szCs w:val="20"/>
          <w:color w:val="auto"/>
        </w:rPr>
      </w:pPr>
      <w:r>
        <w:rPr>
          <w:rFonts w:ascii="Arial" w:cs="Arial" w:eastAsia="Arial" w:hAnsi="Arial"/>
          <w:sz w:val="12"/>
          <w:szCs w:val="12"/>
          <w:b w:val="1"/>
          <w:bCs w:val="1"/>
          <w:i w:val="1"/>
          <w:iCs w:val="1"/>
          <w:color w:val="auto"/>
        </w:rPr>
        <w:t>We may be subject to claims by third parties asserting that our employees, consultants, contractors or we have misappropriated their intellectual property, or claiming ownership of what we regard as our own intellectual property.</w:t>
      </w:r>
    </w:p>
    <w:p>
      <w:pPr>
        <w:spacing w:after="0" w:line="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121" w:lineRule="exact"/>
        <w:rPr>
          <w:sz w:val="20"/>
          <w:szCs w:val="20"/>
          <w:color w:val="auto"/>
        </w:rPr>
      </w:pPr>
    </w:p>
    <w:p>
      <w:pPr>
        <w:ind w:right="220" w:firstLine="432"/>
        <w:spacing w:after="0" w:line="303" w:lineRule="auto"/>
        <w:rPr>
          <w:sz w:val="20"/>
          <w:szCs w:val="20"/>
          <w:color w:val="auto"/>
        </w:rPr>
      </w:pPr>
      <w:r>
        <w:rPr>
          <w:rFonts w:ascii="Arial" w:cs="Arial" w:eastAsia="Arial" w:hAnsi="Arial"/>
          <w:sz w:val="11"/>
          <w:szCs w:val="11"/>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Such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litigation could cause us to spend substantial resources and distract our personnel from their normal responsibilities.</w:t>
      </w:r>
    </w:p>
    <w:p>
      <w:pPr>
        <w:spacing w:after="0" w:line="76"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5" w:lineRule="exact"/>
        <w:rPr>
          <w:sz w:val="20"/>
          <w:szCs w:val="20"/>
          <w:color w:val="auto"/>
        </w:rPr>
      </w:pPr>
    </w:p>
    <w:p>
      <w:pPr>
        <w:ind w:right="180"/>
        <w:spacing w:after="0" w:line="293"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our business and competitive position would be harmed.</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7" w:lineRule="exact"/>
        <w:rPr>
          <w:sz w:val="20"/>
          <w:szCs w:val="20"/>
          <w:color w:val="auto"/>
        </w:rPr>
      </w:pPr>
    </w:p>
    <w:p>
      <w:pPr>
        <w:ind w:right="160"/>
        <w:spacing w:after="0" w:line="293" w:lineRule="auto"/>
        <w:rPr>
          <w:sz w:val="20"/>
          <w:szCs w:val="20"/>
          <w:color w:val="auto"/>
        </w:rPr>
      </w:pPr>
      <w:r>
        <w:rPr>
          <w:rFonts w:ascii="Arial" w:cs="Arial" w:eastAsia="Arial" w:hAnsi="Arial"/>
          <w:sz w:val="12"/>
          <w:szCs w:val="12"/>
          <w:b w:val="1"/>
          <w:bCs w:val="1"/>
          <w:i w:val="1"/>
          <w:iCs w:val="1"/>
          <w:color w:val="auto"/>
        </w:rPr>
        <w:t>If we are not able to obtain patent term extensions in the United States under the Hatch-Waxman Act and in foreign countries under similar legislation, thereby potentially extending the term of our marketing exclusivity for our product candidates, our business may be impaired.</w:t>
      </w:r>
    </w:p>
    <w:p>
      <w:pPr>
        <w:spacing w:after="0" w:line="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Depending upon the timing, duration and specifics of FDA marketing approval of our product candidates, one of the U.S. patents covering each of such product candidates or the use thereof may be eligible for a patent term extension under the Drug Price Competition and Patent Term Restoration Act of 1984, or Hatch-Waxman Act. The period of extension may be up to five years beyond the expiration date of a patent but cannot extend the remaining term of a patent beyond a total of 14 years from the date of product approval. The Hatch-Waxman Act allows a maximum of one patent to be extended per FDA-approved product. Similar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21"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only have limited geographical protection with respect to certain patents and we may not be able to protect our intellectual property rights throughout the world.</w:t>
      </w:r>
    </w:p>
    <w:p>
      <w:pPr>
        <w:spacing w:after="0" w:line="76"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 And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we may decide to abandon national and regional patent applications while they are still pending. The grant proceeding of each national or regional patent is an independent proceeding which</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104" w:name="page105"/>
    <w:bookmarkEnd w:id="104"/>
    <w:p>
      <w:pPr>
        <w:ind w:right="40"/>
        <w:spacing w:after="0" w:line="262" w:lineRule="auto"/>
        <w:rPr>
          <w:sz w:val="20"/>
          <w:szCs w:val="20"/>
          <w:color w:val="auto"/>
        </w:rPr>
      </w:pPr>
      <w:r>
        <w:rPr>
          <w:rFonts w:ascii="Arial" w:cs="Arial" w:eastAsia="Arial" w:hAnsi="Arial"/>
          <w:sz w:val="12"/>
          <w:szCs w:val="12"/>
          <w:color w:val="auto"/>
        </w:rPr>
        <w:t>lead to situations in which applications may be rejected by the relevant patent office, while substantively similar applications are granted by others. For example, relative to other countries, China has a heightened detailed description requirement for patentability.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17"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117"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Proceedings to enforce our patent rights in foreign jurisdictions, whether or not successful, are likely to result in substantial costs and divert our efforts and attention from other aspects of our business, and additionally could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26" w:lineRule="exact"/>
        <w:rPr>
          <w:sz w:val="20"/>
          <w:szCs w:val="20"/>
          <w:color w:val="auto"/>
        </w:rPr>
      </w:pPr>
    </w:p>
    <w:p>
      <w:pPr>
        <w:ind w:right="140" w:firstLine="432"/>
        <w:spacing w:after="0" w:line="303" w:lineRule="auto"/>
        <w:rPr>
          <w:sz w:val="20"/>
          <w:szCs w:val="20"/>
          <w:color w:val="auto"/>
        </w:rPr>
      </w:pPr>
      <w:r>
        <w:rPr>
          <w:rFonts w:ascii="Arial" w:cs="Arial" w:eastAsia="Arial" w:hAnsi="Arial"/>
          <w:sz w:val="11"/>
          <w:szCs w:val="11"/>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Regulatory Approval and Marketing of Our Product Candidates, Our Industry and Other Legal and Compliance Matters</w:t>
      </w:r>
    </w:p>
    <w:p>
      <w:pPr>
        <w:spacing w:after="0" w:line="224" w:lineRule="exact"/>
        <w:rPr>
          <w:sz w:val="20"/>
          <w:szCs w:val="20"/>
          <w:color w:val="auto"/>
        </w:rPr>
      </w:pPr>
    </w:p>
    <w:p>
      <w:pPr>
        <w:ind w:right="240"/>
        <w:spacing w:after="0" w:line="293" w:lineRule="auto"/>
        <w:rPr>
          <w:sz w:val="20"/>
          <w:szCs w:val="20"/>
          <w:color w:val="auto"/>
        </w:rPr>
      </w:pPr>
      <w:r>
        <w:rPr>
          <w:rFonts w:ascii="Arial" w:cs="Arial" w:eastAsia="Arial" w:hAnsi="Arial"/>
          <w:sz w:val="12"/>
          <w:szCs w:val="12"/>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21"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to date and it is possible that none of our existing product candidates, or any product candidates we may seek to develop in the future, will ever obtain marketing approval.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05" w:name="page106"/>
    <w:bookmarkEnd w:id="105"/>
    <w:p>
      <w:pPr>
        <w:ind w:left="420"/>
        <w:spacing w:after="0"/>
        <w:rPr>
          <w:sz w:val="20"/>
          <w:szCs w:val="20"/>
          <w:color w:val="auto"/>
        </w:rPr>
      </w:pPr>
      <w:r>
        <w:rPr>
          <w:rFonts w:ascii="Arial" w:cs="Arial" w:eastAsia="Arial" w:hAnsi="Arial"/>
          <w:sz w:val="12"/>
          <w:szCs w:val="12"/>
          <w:color w:val="auto"/>
        </w:rPr>
        <w:t>Our product candidates could fail to receive marketing approval for many reasons, including the following:</w:t>
      </w:r>
    </w:p>
    <w:p>
      <w:pPr>
        <w:spacing w:after="0" w:line="78" w:lineRule="exact"/>
        <w:rPr>
          <w:sz w:val="20"/>
          <w:szCs w:val="20"/>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FDA may disagree with the design or implementation of our clinical trials;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may be unable to demonstrate to the satisfaction of the FDA that a product candidate is safe and effective for its proposed indication;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results of clinical trials may not meet the level of statistical significance required by the FDA for approval;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may be unable to demonstrate that a product candidate’s clinical and other benefits outweigh its safety risks;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FDA may disagree with our interpretation of data from preclinical studies or clinical trials;</w:t>
      </w:r>
    </w:p>
    <w:p>
      <w:pPr>
        <w:spacing w:after="0" w:line="78" w:lineRule="exact"/>
        <w:rPr>
          <w:rFonts w:ascii="Arial" w:cs="Arial" w:eastAsia="Arial" w:hAnsi="Arial"/>
          <w:sz w:val="12"/>
          <w:szCs w:val="12"/>
          <w:color w:val="auto"/>
        </w:rPr>
      </w:pPr>
    </w:p>
    <w:p>
      <w:pPr>
        <w:ind w:left="640" w:right="240" w:hanging="216"/>
        <w:spacing w:after="0" w:line="286" w:lineRule="auto"/>
        <w:tabs>
          <w:tab w:leader="none" w:pos="637" w:val="left"/>
        </w:tabs>
        <w:numPr>
          <w:ilvl w:val="0"/>
          <w:numId w:val="54"/>
        </w:numPr>
        <w:rPr>
          <w:rFonts w:ascii="Arial" w:cs="Arial" w:eastAsia="Arial" w:hAnsi="Arial"/>
          <w:sz w:val="12"/>
          <w:szCs w:val="12"/>
          <w:color w:val="auto"/>
        </w:rPr>
      </w:pPr>
      <w:r>
        <w:rPr>
          <w:rFonts w:ascii="Arial" w:cs="Arial" w:eastAsia="Arial" w:hAnsi="Arial"/>
          <w:sz w:val="12"/>
          <w:szCs w:val="12"/>
          <w:color w:val="auto"/>
        </w:rPr>
        <w:t>data collected from clinical trials of our product candidates may not be sufficient to support the submission of a New Drug Application, or NDA, to the FDA or other submission or to obtain marketing approval in the United States;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FDA may find deficiencies with or fail to approve the manufacturing processes or facilities of third-party manufacturers with which we contract for clinical and commercial supplies;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approval policies or regulations of the FDA may significantly change in a manner rendering our clinical data insufficient for approval.</w:t>
      </w:r>
    </w:p>
    <w:p>
      <w:pPr>
        <w:spacing w:after="0" w:line="150"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The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14"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jc w:val="both"/>
        <w:ind w:right="140"/>
        <w:spacing w:after="0" w:line="271" w:lineRule="auto"/>
        <w:rPr>
          <w:sz w:val="20"/>
          <w:szCs w:val="20"/>
          <w:color w:val="auto"/>
        </w:rPr>
      </w:pPr>
      <w:r>
        <w:rPr>
          <w:rFonts w:ascii="Arial" w:cs="Arial" w:eastAsia="Arial" w:hAnsi="Arial"/>
          <w:sz w:val="12"/>
          <w:szCs w:val="12"/>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35"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similar regulatory authorities outside of the United States. Failure to obtain marketing approval for a product candidate will prevent us from commercializing the product candidate. We have not submitted an application for or received marketing approval for any of our product candidates in the United States or in any other jurisdiction.</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a company, we do not have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6" w:name="page107"/>
    <w:bookmarkEnd w:id="106"/>
    <w:p>
      <w:pPr>
        <w:ind w:right="400"/>
        <w:spacing w:after="0" w:line="286" w:lineRule="auto"/>
        <w:rPr>
          <w:sz w:val="20"/>
          <w:szCs w:val="20"/>
          <w:color w:val="auto"/>
        </w:rPr>
      </w:pPr>
      <w:r>
        <w:rPr>
          <w:rFonts w:ascii="Arial" w:cs="Arial" w:eastAsia="Arial" w:hAnsi="Arial"/>
          <w:sz w:val="12"/>
          <w:szCs w:val="12"/>
          <w:color w:val="auto"/>
        </w:rPr>
        <w:t>preclude our obtaining marketing approval or prevent or limit commercial use. New oncology drugs frequently are indicated only for patient populations that have not responded to an existing therapy or have relapsed.</w:t>
      </w:r>
    </w:p>
    <w:p>
      <w:pPr>
        <w:spacing w:after="0" w:line="103"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increase costs or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19"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Further, under the Pediatric Research Equity Act, or PREA, an NDA, or supplement to an NDA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2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Securities and Exchange Commission v. Jarkesy,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Centers for Medicare &amp; Medicaid Services, or the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07" w:name="page108"/>
    <w:bookmarkEnd w:id="107"/>
    <w:p>
      <w:pPr>
        <w:ind w:right="20" w:firstLine="294"/>
        <w:spacing w:after="0" w:line="283" w:lineRule="auto"/>
        <w:rPr>
          <w:sz w:val="20"/>
          <w:szCs w:val="20"/>
          <w:color w:val="auto"/>
        </w:rPr>
      </w:pPr>
      <w:r>
        <w:rPr>
          <w:rFonts w:ascii="Arial" w:cs="Arial" w:eastAsia="Arial" w:hAnsi="Arial"/>
          <w:sz w:val="11"/>
          <w:szCs w:val="11"/>
          <w:color w:val="auto"/>
        </w:rPr>
        <w:t>Finally,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w:t>
      </w:r>
    </w:p>
    <w:p>
      <w:pPr>
        <w:spacing w:after="0" w:line="1"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the district court in Texas challenging FDA’s actions. On January 16, 2025, the district court agreed to allow these states to file an amended complaint and continue to pursue this challenge. Depending on the outcome of this litigation, our ability to develop new drug product candidates and to maintain approval of existing drug products could be delayed, undermined or subject to protracted litigation.</w:t>
      </w:r>
    </w:p>
    <w:p>
      <w:pPr>
        <w:spacing w:after="0" w:line="103" w:lineRule="exact"/>
        <w:rPr>
          <w:sz w:val="20"/>
          <w:szCs w:val="20"/>
          <w:color w:val="auto"/>
        </w:rPr>
      </w:pPr>
    </w:p>
    <w:p>
      <w:pPr>
        <w:jc w:val="both"/>
        <w:ind w:right="240" w:firstLine="432"/>
        <w:spacing w:after="0" w:line="268" w:lineRule="auto"/>
        <w:rPr>
          <w:sz w:val="20"/>
          <w:szCs w:val="20"/>
          <w:color w:val="auto"/>
        </w:rPr>
      </w:pPr>
      <w:r>
        <w:rPr>
          <w:rFonts w:ascii="Arial" w:cs="Arial" w:eastAsia="Arial" w:hAnsi="Arial"/>
          <w:sz w:val="12"/>
          <w:szCs w:val="12"/>
          <w:color w:val="auto"/>
        </w:rPr>
        <w:t>Finally,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14"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7" w:lineRule="exact"/>
        <w:rPr>
          <w:sz w:val="20"/>
          <w:szCs w:val="20"/>
          <w:color w:val="auto"/>
        </w:rPr>
      </w:pPr>
    </w:p>
    <w:p>
      <w:pPr>
        <w:ind w:right="260"/>
        <w:spacing w:after="0" w:line="293" w:lineRule="auto"/>
        <w:rPr>
          <w:sz w:val="20"/>
          <w:szCs w:val="20"/>
          <w:color w:val="auto"/>
        </w:rPr>
      </w:pPr>
      <w:r>
        <w:rPr>
          <w:rFonts w:ascii="Arial" w:cs="Arial" w:eastAsia="Arial" w:hAnsi="Arial"/>
          <w:sz w:val="12"/>
          <w:szCs w:val="12"/>
          <w:b w:val="1"/>
          <w:bCs w:val="1"/>
          <w:i w:val="1"/>
          <w:iCs w:val="1"/>
          <w:color w:val="auto"/>
        </w:rPr>
        <w:t>Failure to obtain marketing approval in foreign jurisdictions would prevent our product candidates from being marketed outside of the United States and may limit our ability to generate revenue from product sales.</w:t>
      </w:r>
    </w:p>
    <w:p>
      <w:pPr>
        <w:spacing w:after="0" w:line="2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order to market and sell our products in the European Union and in other jurisdictions outside of the United States, we, and any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and any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w:t>
      </w:r>
    </w:p>
    <w:p>
      <w:pPr>
        <w:spacing w:after="0" w:line="1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any collaborators and could delay or prevent the introduction of our product candidates in certain countries. In addition, if we or any collaborators fail to obtain the non-U.S. approvals required to market our product candidates outside the United States or if we or any collaborators fail to comply with applicable non-U.S. regulatory requirements, our target market will be reduced and our ability to realize the full market potential of our product candidates will be harmed and our business, financial condition, results of operations and prospects may be adversely affected.</w:t>
      </w:r>
    </w:p>
    <w:p>
      <w:pPr>
        <w:spacing w:after="0" w:line="119" w:lineRule="exact"/>
        <w:rPr>
          <w:sz w:val="20"/>
          <w:szCs w:val="20"/>
          <w:color w:val="auto"/>
        </w:rPr>
      </w:pPr>
    </w:p>
    <w:p>
      <w:pPr>
        <w:ind w:right="140" w:firstLine="432"/>
        <w:spacing w:after="0" w:line="262" w:lineRule="auto"/>
        <w:rPr>
          <w:sz w:val="20"/>
          <w:szCs w:val="20"/>
          <w:color w:val="auto"/>
        </w:rPr>
      </w:pPr>
      <w:r>
        <w:rPr>
          <w:rFonts w:ascii="Arial" w:cs="Arial" w:eastAsia="Arial" w:hAnsi="Arial"/>
          <w:sz w:val="12"/>
          <w:szCs w:val="12"/>
          <w:color w:val="auto"/>
        </w:rPr>
        <w:t>In addition, the United Kingdom is no longer part of the European Single Market and EU Customs Union. As of January 1, 2021, the Medicines and Healthcare products Regulatory Agency, or the MHRA, became responsible for supervising medicines and medical devices in Great Britain, comprising England, Scotland and Wales under domestic law, whereas under the terms of the Northern Ireland Protocol, Northern Ireland is currently subject to EU rules. The United Kingdom and EU have however agreed to the Windsor Framework which fundamentally changes the existing system under the Northern Ireland Protocol, including with respect to the regulation of medicinal products in the United Kingdom. From January 1, 2025 on,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8" w:name="page109"/>
    <w:bookmarkEnd w:id="108"/>
    <w:p>
      <w:pPr>
        <w:ind w:right="260"/>
        <w:spacing w:after="0" w:line="286" w:lineRule="auto"/>
        <w:rPr>
          <w:sz w:val="20"/>
          <w:szCs w:val="20"/>
          <w:color w:val="auto"/>
        </w:rPr>
      </w:pPr>
      <w:r>
        <w:rPr>
          <w:rFonts w:ascii="Arial" w:cs="Arial" w:eastAsia="Arial" w:hAnsi="Arial"/>
          <w:sz w:val="12"/>
          <w:szCs w:val="12"/>
          <w:color w:val="auto"/>
        </w:rPr>
        <w:t>changes introduced by the Windsor Framework will see the MHRA be responsible for approving all medicinal products destined for the United Kingdom market (i.e., Great Britain and Northern Ireland), and the EMA will no longer have any role in approving medicinal products destined for Northern Ireland.</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of January 1, 2025,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as a result of Brexit or otherwise, may force us or our collaborators to restrict or delay efforts to seek regulatory approval in the UK for our product candidates, which could significantly and materially harm our business.</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and the European Parliament requested several amendments in April 2024.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19" w:lineRule="exact"/>
        <w:rPr>
          <w:sz w:val="20"/>
          <w:szCs w:val="20"/>
          <w:color w:val="auto"/>
        </w:rPr>
      </w:pPr>
    </w:p>
    <w:p>
      <w:pPr>
        <w:ind w:right="200" w:firstLine="432"/>
        <w:spacing w:after="0" w:line="262" w:lineRule="auto"/>
        <w:rPr>
          <w:sz w:val="20"/>
          <w:szCs w:val="20"/>
          <w:color w:val="auto"/>
        </w:rPr>
      </w:pPr>
      <w:r>
        <w:rPr>
          <w:rFonts w:ascii="Arial" w:cs="Arial" w:eastAsia="Arial" w:hAnsi="Arial"/>
          <w:sz w:val="12"/>
          <w:szCs w:val="12"/>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outside of the United States;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91" w:lineRule="exact"/>
        <w:rPr>
          <w:sz w:val="20"/>
          <w:szCs w:val="20"/>
          <w:color w:val="auto"/>
        </w:rPr>
      </w:pPr>
    </w:p>
    <w:p>
      <w:pPr>
        <w:jc w:val="both"/>
        <w:ind w:right="240"/>
        <w:spacing w:after="0" w:line="264" w:lineRule="auto"/>
        <w:rPr>
          <w:sz w:val="20"/>
          <w:szCs w:val="20"/>
          <w:color w:val="auto"/>
        </w:rPr>
      </w:pPr>
      <w:r>
        <w:rPr>
          <w:rFonts w:ascii="Arial" w:cs="Arial" w:eastAsia="Arial" w:hAnsi="Arial"/>
          <w:sz w:val="12"/>
          <w:szCs w:val="12"/>
          <w:b w:val="1"/>
          <w:bCs w:val="1"/>
          <w:i w:val="1"/>
          <w:iCs w:val="1"/>
          <w:color w:val="auto"/>
        </w:rPr>
        <w:t>Government shut downs, or other disruptions to the FDA, the SEC, department of health and human services, and other government agencies or departments, including as a result of inadequate funding or other decisions impacting these agencies’ operations, could hinder their ability to hire and retain key leadership and other personnel, or otherwise prevent new products and services from being developed or commercialized in a timely manner or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layoffs,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In addition, disruptions may result also events similar to the COVID-19 pandemic. During the COVID-19 pandemic, a number of companies announced receipt of complete response</w:t>
      </w:r>
    </w:p>
    <w:p>
      <w:pPr>
        <w:ind w:right="340"/>
        <w:spacing w:after="0" w:line="286" w:lineRule="auto"/>
        <w:rPr>
          <w:sz w:val="20"/>
          <w:szCs w:val="20"/>
          <w:color w:val="auto"/>
        </w:rPr>
      </w:pPr>
      <w:r>
        <w:rPr>
          <w:rFonts w:ascii="Arial" w:cs="Arial" w:eastAsia="Arial" w:hAnsi="Arial"/>
          <w:sz w:val="12"/>
          <w:szCs w:val="12"/>
          <w:color w:val="auto"/>
        </w:rPr>
        <w:t>letters due to the FDA’s inability to complete required inspections for their applications. In the event of a similar public health emergency in the future, the FDA may not be able to continue its current pace and review timelines could be extended.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9" w:name="page110"/>
    <w:bookmarkEnd w:id="109"/>
    <w:p>
      <w:pPr>
        <w:ind w:right="340"/>
        <w:spacing w:after="0" w:line="286" w:lineRule="auto"/>
        <w:rPr>
          <w:sz w:val="20"/>
          <w:szCs w:val="20"/>
          <w:color w:val="auto"/>
        </w:rPr>
      </w:pPr>
      <w:r>
        <w:rPr>
          <w:rFonts w:ascii="Arial" w:cs="Arial" w:eastAsia="Arial" w:hAnsi="Arial"/>
          <w:sz w:val="12"/>
          <w:szCs w:val="12"/>
          <w:color w:val="auto"/>
        </w:rPr>
        <w:t>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2"/>
          <w:szCs w:val="12"/>
          <w:b w:val="1"/>
          <w:bCs w:val="1"/>
          <w:i w:val="1"/>
          <w:iCs w:val="1"/>
          <w:color w:val="auto"/>
        </w:rPr>
        <w:t>We may seek certain designations for our product candidates, including Breakthrough Therapy, Fast Track and Priority Review designations in the United States, but we might not receive such designations, and even if we do, such designations may not lead to a faster development or regulatory review or approval process.</w:t>
      </w:r>
    </w:p>
    <w:p>
      <w:pPr>
        <w:spacing w:after="0" w:line="2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In the first quarter of 2024, the FDA granted Fast Track designation for the investigation of vepdegestrant for monotherapy in the treatment of adults with ER+/HER- locally advanced or metastatic breast cancer previously treated with endocrine based therapy.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1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color w:val="auto"/>
        </w:rPr>
        <w:t>We may also seek a priority review designation for one or more of our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w:t>
      </w:r>
    </w:p>
    <w:p>
      <w:pPr>
        <w:spacing w:after="0" w:line="114" w:lineRule="exact"/>
        <w:rPr>
          <w:sz w:val="20"/>
          <w:szCs w:val="20"/>
          <w:color w:val="auto"/>
        </w:rPr>
      </w:pPr>
    </w:p>
    <w:p>
      <w:pPr>
        <w:ind w:right="40" w:firstLine="432"/>
        <w:spacing w:after="0" w:line="266" w:lineRule="auto"/>
        <w:rPr>
          <w:sz w:val="20"/>
          <w:szCs w:val="20"/>
          <w:color w:val="auto"/>
        </w:rPr>
      </w:pPr>
      <w:r>
        <w:rPr>
          <w:rFonts w:ascii="Arial" w:cs="Arial" w:eastAsia="Arial" w:hAnsi="Arial"/>
          <w:sz w:val="12"/>
          <w:szCs w:val="12"/>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as we have with the investigation of vepdegestrant for monotherapy in the treatment of adults with ER+/HER- locally advanced or metastatic breast cancer previously treated with endocrine based therapy, the receipt of such designation for a product candidate may not result in a faster development or regulatory review or approval process</w:t>
      </w:r>
    </w:p>
    <w:p>
      <w:pPr>
        <w:ind w:right="120"/>
        <w:spacing w:after="0" w:line="286" w:lineRule="auto"/>
        <w:rPr>
          <w:sz w:val="20"/>
          <w:szCs w:val="20"/>
          <w:color w:val="auto"/>
        </w:rPr>
      </w:pPr>
      <w:r>
        <w:rPr>
          <w:rFonts w:ascii="Arial" w:cs="Arial" w:eastAsia="Arial" w:hAnsi="Arial"/>
          <w:sz w:val="12"/>
          <w:szCs w:val="12"/>
          <w:color w:val="auto"/>
        </w:rPr>
        <w:t>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obtain regulatory approval for a product candidate, our products will remain subject to regulatory oversight.</w:t>
      </w:r>
    </w:p>
    <w:p>
      <w:pPr>
        <w:spacing w:after="0" w:line="76" w:lineRule="exact"/>
        <w:rPr>
          <w:sz w:val="20"/>
          <w:szCs w:val="20"/>
          <w:color w:val="auto"/>
        </w:rPr>
      </w:pPr>
    </w:p>
    <w:p>
      <w:pPr>
        <w:jc w:val="both"/>
        <w:ind w:firstLine="432"/>
        <w:spacing w:after="0" w:line="147" w:lineRule="exact"/>
        <w:rPr>
          <w:sz w:val="20"/>
          <w:szCs w:val="20"/>
          <w:color w:val="auto"/>
        </w:rPr>
      </w:pPr>
      <w:r>
        <w:rPr>
          <w:rFonts w:ascii="Arial" w:cs="Arial" w:eastAsia="Arial" w:hAnsi="Arial"/>
          <w:sz w:val="12"/>
          <w:szCs w:val="12"/>
          <w:color w:val="auto"/>
        </w:rPr>
        <w:t>Even if we obtain any regulatory approval for our product candidates, they will be subject to ongoing regulatory requirements for manufacturing, labeling, packaging, storing, advertising, promoting, sampling, record</w:t>
      </w:r>
      <w:r>
        <w:rPr>
          <w:rFonts w:ascii="MS PGothic" w:cs="MS PGothic" w:eastAsia="MS PGothic" w:hAnsi="MS PGothic"/>
          <w:sz w:val="12"/>
          <w:szCs w:val="12"/>
          <w:color w:val="auto"/>
        </w:rPr>
        <w:t>‑</w:t>
      </w:r>
      <w:r>
        <w:rPr>
          <w:rFonts w:ascii="Arial" w:cs="Arial" w:eastAsia="Arial" w:hAnsi="Arial"/>
          <w:sz w:val="12"/>
          <w:szCs w:val="12"/>
          <w:color w:val="auto"/>
        </w:rPr>
        <w:t>keeping and submitting safety and other post</w:t>
      </w:r>
      <w:r>
        <w:rPr>
          <w:rFonts w:ascii="MS PGothic" w:cs="MS PGothic" w:eastAsia="MS PGothic" w:hAnsi="MS PGothic"/>
          <w:sz w:val="12"/>
          <w:szCs w:val="12"/>
          <w:color w:val="auto"/>
        </w:rPr>
        <w:t>‑</w:t>
      </w:r>
      <w:r>
        <w:rPr>
          <w:rFonts w:ascii="Arial" w:cs="Arial" w:eastAsia="Arial" w:hAnsi="Arial"/>
          <w:sz w:val="12"/>
          <w:szCs w:val="12"/>
          <w:color w:val="auto"/>
        </w:rPr>
        <w:t>market information. Any regulatory approvals that we receive for our product candidates also may be subject to a Risk Evaluation and Mitigation Strategy, or REMS, limitations on the approved indicated uses for which the product may be marketed or to the conditions of approval or contain requirements for potentially costly post</w:t>
      </w:r>
      <w:r>
        <w:rPr>
          <w:rFonts w:ascii="MS PGothic" w:cs="MS PGothic" w:eastAsia="MS PGothic" w:hAnsi="MS PGothic"/>
          <w:sz w:val="12"/>
          <w:szCs w:val="12"/>
          <w:color w:val="auto"/>
        </w:rPr>
        <w:t>‑</w:t>
      </w:r>
      <w:r>
        <w:rPr>
          <w:rFonts w:ascii="Arial" w:cs="Arial" w:eastAsia="Arial" w:hAnsi="Arial"/>
          <w:sz w:val="12"/>
          <w:szCs w:val="12"/>
          <w:color w:val="auto"/>
        </w:rPr>
        <w:t>marketing testing, including post-marketing clinical trials, and surveillance to monitor the quality, safety and efficacy of the product. For example, the holder of an approved NDA is obligated to monitor and report adverse events and any failure of a product to meet the specifications in the NDA. FDA guidance advises that patients treated with some types of gene therapy undergo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10" w:name="page111"/>
    <w:bookmarkEnd w:id="110"/>
    <w:p>
      <w:pPr>
        <w:jc w:val="both"/>
        <w:spacing w:after="0" w:line="158" w:lineRule="exact"/>
        <w:rPr>
          <w:sz w:val="20"/>
          <w:szCs w:val="20"/>
          <w:color w:val="auto"/>
        </w:rPr>
      </w:pPr>
      <w:r>
        <w:rPr>
          <w:rFonts w:ascii="Arial" w:cs="Arial" w:eastAsia="Arial" w:hAnsi="Arial"/>
          <w:sz w:val="12"/>
          <w:szCs w:val="12"/>
          <w:color w:val="auto"/>
        </w:rPr>
        <w:t>follow</w:t>
      </w:r>
      <w:r>
        <w:rPr>
          <w:rFonts w:ascii="MS PGothic" w:cs="MS PGothic" w:eastAsia="MS PGothic" w:hAnsi="MS PGothic"/>
          <w:sz w:val="12"/>
          <w:szCs w:val="12"/>
          <w:color w:val="auto"/>
        </w:rPr>
        <w:t>‑</w:t>
      </w:r>
      <w:r>
        <w:rPr>
          <w:rFonts w:ascii="Arial" w:cs="Arial" w:eastAsia="Arial" w:hAnsi="Arial"/>
          <w:sz w:val="12"/>
          <w:szCs w:val="12"/>
          <w:color w:val="auto"/>
        </w:rPr>
        <w:t>up observations for potential adverse events for as long as 15 years. The holder of an approved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3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product, such as adverse events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we fail to comply with applicable regulatory requirements following approval of any of our product candidates, a regulatory authority may:</w:t>
      </w:r>
    </w:p>
    <w:p>
      <w:pPr>
        <w:spacing w:after="0" w:line="103" w:lineRule="exact"/>
        <w:rPr>
          <w:sz w:val="20"/>
          <w:szCs w:val="20"/>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issue a warning letter asserting that we are in violation of the law;</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seek an injunction or impose administrative, civil or criminal penalties or monetary fines;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suspend or withdraw regulatory approval;</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suspend any ongoing clinical trials;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refuse to approve a pending NDA or comparable foreign marketing application, or any supplements thereto, submitted by us or our collaboration partners;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restrict the marketing or manufacturing of the product;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seize or detain the product or otherwise require the withdrawal of the product from the market;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refuse to permit the import or export of products; or</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2"/>
          <w:szCs w:val="12"/>
          <w:color w:val="auto"/>
        </w:rPr>
        <w:t>refuse to allow us to enter into supply contracts, including government contracts.</w:t>
      </w:r>
    </w:p>
    <w:p>
      <w:pPr>
        <w:spacing w:after="0" w:line="29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2"/>
          <w:szCs w:val="12"/>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0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FDA, EMA and other regulatory authorities actively enforce the laws and regulations prohibiting the promotion of off-label uses.</w:t>
      </w:r>
    </w:p>
    <w:p>
      <w:pPr>
        <w:spacing w:after="0" w:line="76"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We must also comply with requirements concerning advertising and promotion for any of our product candidates for which we obtain marketing approval. The FDA and comparable foreign regulatory authorities may also impose requirements for costly surveillance to monitor the safety or efficacy of an approved drug. Thus, we will not be able to promote any products we develop for indications or uses for which they are not approved. The FDA and other U.S. or foreign agencies, including the DOJ, closely regulate and monitor the post-approval marketing and promotion of drugs to ensure that they are manufactured, marketed and distributed only for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2" w:right="299" w:bottom="1440" w:gutter="0" w:footer="0" w:header="0"/>
        </w:sectPr>
      </w:pPr>
    </w:p>
    <w:bookmarkStart w:id="111" w:name="page112"/>
    <w:bookmarkEnd w:id="111"/>
    <w:p>
      <w:pPr>
        <w:ind w:right="20"/>
        <w:spacing w:after="0" w:line="262" w:lineRule="auto"/>
        <w:rPr>
          <w:sz w:val="20"/>
          <w:szCs w:val="20"/>
          <w:color w:val="auto"/>
        </w:rPr>
      </w:pPr>
      <w:r>
        <w:rPr>
          <w:rFonts w:ascii="Arial" w:cs="Arial" w:eastAsia="Arial" w:hAnsi="Arial"/>
          <w:sz w:val="12"/>
          <w:szCs w:val="12"/>
          <w:color w:val="auto"/>
        </w:rPr>
        <w:t>approved indications and in accordance with the provisions of the approved labeling. The FDA imposes stringent restrictions on manufacturers’ communications regarding off-label use, and if we, or our collaborators communicate about any of our product candidates for which we, or they, receive marketing approval in a way that regulators assert goes beyond their approved indications, we, or they, may be subject to warnings or enforcement action for off-label marketing. Alleged violations of the FDCA or other statutes, including the False Claims Act, or the FCA, relating to the promotion and advertising of prescription drugs may lead to investigations or allegations of violations of federal and state health care fraud and abuse laws and state consumer protection laws.</w:t>
      </w:r>
    </w:p>
    <w:p>
      <w:pPr>
        <w:spacing w:after="0" w:line="117"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We will need to carefully navigate the FDA’s various regulations, guidance and policies, along with recently enacted legislation, to ensure compliance with restrictions governing promotion of our products. In September 2021, the FDA published final regulations which describe the types of evidence that the agency will consider in determining the intended use of a drug or biologic. Moreover, with passage of the Pre-Approval Information Exchange Act in December 2022, sponsors of products that have not been approved may proactively communicate to payors certain information about products in development to help expedite patient access upon product approval. In addition, in October 2023, the FDA published draft guidance outlining the agency’s non-binding policies governing the distribution of scientific information on</w:t>
      </w:r>
    </w:p>
    <w:p>
      <w:pPr>
        <w:ind w:right="180"/>
        <w:spacing w:after="0" w:line="286" w:lineRule="auto"/>
        <w:rPr>
          <w:sz w:val="20"/>
          <w:szCs w:val="20"/>
          <w:color w:val="auto"/>
        </w:rPr>
      </w:pPr>
      <w:r>
        <w:rPr>
          <w:rFonts w:ascii="Arial" w:cs="Arial" w:eastAsia="Arial" w:hAnsi="Arial"/>
          <w:sz w:val="12"/>
          <w:szCs w:val="12"/>
          <w:color w:val="auto"/>
        </w:rPr>
        <w:t>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This guidance was finalized in January 2025.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Violations of the Federal Food, Drug, and Cosmetic Act, or the FDCA, and other statutes, including the False Claims Act, relating to the promotion and advertising of prescription products may lead to</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investigations and enforcement actions alleging violations of federal and state health care fraud and abuse laws, as well as state consumer protection laws. Failure to comply with regulatory requirements, may yield various results, including:</w:t>
      </w:r>
    </w:p>
    <w:p>
      <w:pPr>
        <w:spacing w:after="0" w:line="56" w:lineRule="exact"/>
        <w:rPr>
          <w:sz w:val="20"/>
          <w:szCs w:val="20"/>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restrictions on such products, manufacturers or manufacturing processes;</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restrictions or warnings on the labeling or marketing of a product;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restrictions on product distribution or use of a product;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requirements to conduct post-marketing studies or clinical trials;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warning letters or untitled letters;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withdrawal of the products from the market;</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refusal to approve pending applications or supplements to approved applications that we submit;</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recall of products;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fines, restitution or disgorgement of profits or revenues;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suspension or withdrawal of marketing approvals;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refusal to permit the import or export of our products;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product seizure or detention;</w:t>
      </w:r>
    </w:p>
    <w:p>
      <w:pPr>
        <w:spacing w:after="0" w:line="91"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injunctions or the imposition of civil or criminal penalties;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damage to relationships with any potential collaborators;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unfavorable press coverage and damage to our reputation; or</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litigation involving patients using our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12" w:name="page113"/>
    <w:bookmarkEnd w:id="112"/>
    <w:p>
      <w:pPr>
        <w:ind w:firstLine="432"/>
        <w:spacing w:after="0" w:line="286" w:lineRule="auto"/>
        <w:rPr>
          <w:sz w:val="20"/>
          <w:szCs w:val="20"/>
          <w:color w:val="auto"/>
        </w:rPr>
      </w:pPr>
      <w:r>
        <w:rPr>
          <w:rFonts w:ascii="Arial" w:cs="Arial" w:eastAsia="Arial" w:hAnsi="Arial"/>
          <w:sz w:val="12"/>
          <w:szCs w:val="12"/>
          <w:color w:val="auto"/>
        </w:rPr>
        <w:t>Similar restrictions apply to the approval of our products in the European Union. The holder of the marketing authorization is required to comply with a range of requirements applicable to the manufacturing, marketing, promotion and sale of medicinal products.</w:t>
      </w:r>
    </w:p>
    <w:p>
      <w:pPr>
        <w:spacing w:after="0" w:line="103" w:lineRule="exact"/>
        <w:rPr>
          <w:sz w:val="20"/>
          <w:szCs w:val="20"/>
          <w:color w:val="auto"/>
        </w:rPr>
      </w:pPr>
    </w:p>
    <w:p>
      <w:pPr>
        <w:jc w:val="both"/>
        <w:ind w:right="260" w:firstLine="432"/>
        <w:spacing w:after="0" w:line="262" w:lineRule="auto"/>
        <w:rPr>
          <w:sz w:val="20"/>
          <w:szCs w:val="20"/>
          <w:color w:val="auto"/>
        </w:rPr>
      </w:pPr>
      <w:r>
        <w:rPr>
          <w:rFonts w:ascii="Arial" w:cs="Arial" w:eastAsia="Arial" w:hAnsi="Arial"/>
          <w:sz w:val="12"/>
          <w:szCs w:val="12"/>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2"/>
          <w:szCs w:val="12"/>
          <w:b w:val="1"/>
          <w:bCs w:val="1"/>
          <w:i w:val="1"/>
          <w:iCs w:val="1"/>
          <w:color w:val="auto"/>
        </w:rPr>
        <w:t>Our relationships with health care providers, physicians and third-party payors will be subject to applicable anti-kickback, fraud and abuse and other health care laws and regulations, which could expose us to civil, criminal and administrative sanctions, contractual damages, reputational harm and diminished future profits and earnings.</w:t>
      </w:r>
    </w:p>
    <w:p>
      <w:pPr>
        <w:spacing w:after="0" w:line="21"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Health care providers, physicians and third-party payors will play a primary role in the recommendation and prescription of any drugs for which we obtain marketing approval. Our future arrangements with third-party payors, health care providers and physicians may expose us to broadly applicable state and federal fraud and abuse and other health care laws and regulations that may constrain the business or financial arrangements and relationships through which we market, sell and distribute any drugs for which we obtain marketing approval. These include the following:</w:t>
      </w:r>
    </w:p>
    <w:p>
      <w:pPr>
        <w:spacing w:after="0" w:line="42" w:lineRule="exact"/>
        <w:rPr>
          <w:sz w:val="20"/>
          <w:szCs w:val="20"/>
          <w:color w:val="auto"/>
        </w:rPr>
      </w:pPr>
    </w:p>
    <w:p>
      <w:pPr>
        <w:ind w:left="640" w:right="60" w:hanging="216"/>
        <w:spacing w:after="0" w:line="268" w:lineRule="auto"/>
        <w:tabs>
          <w:tab w:leader="none" w:pos="637"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Anti-Kickback Statute, </w:t>
      </w:r>
      <w:r>
        <w:rPr>
          <w:rFonts w:ascii="Arial" w:cs="Arial" w:eastAsia="Arial" w:hAnsi="Arial"/>
          <w:sz w:val="12"/>
          <w:szCs w:val="12"/>
          <w:color w:val="auto"/>
        </w:rPr>
        <w:t>which prohibits, among other things, persons and entities from knowingly and willfully soliciting, offering, paying, or receiving remuneration, directly or indirectly, in cash or in kind,</w:t>
      </w:r>
      <w:r>
        <w:rPr>
          <w:rFonts w:ascii="Arial" w:cs="Arial" w:eastAsia="Arial" w:hAnsi="Arial"/>
          <w:sz w:val="12"/>
          <w:szCs w:val="12"/>
          <w:i w:val="1"/>
          <w:iCs w:val="1"/>
          <w:color w:val="auto"/>
        </w:rPr>
        <w:t xml:space="preserve"> </w:t>
      </w:r>
      <w:r>
        <w:rPr>
          <w:rFonts w:ascii="Arial" w:cs="Arial" w:eastAsia="Arial" w:hAnsi="Arial"/>
          <w:sz w:val="12"/>
          <w:szCs w:val="12"/>
          <w:color w:val="auto"/>
        </w:rPr>
        <w:t>to induce or reward either the referral of an individual for, or the purchasing, ordering, leasing, arranging for, or recommending the purchasing, ordering, or leasing of, any good or service for which payment may be made, in whole or in part, under a federal health care program such as Medicare or Medicaid;</w:t>
      </w:r>
    </w:p>
    <w:p>
      <w:pPr>
        <w:spacing w:after="0" w:line="41" w:lineRule="exact"/>
        <w:rPr>
          <w:rFonts w:ascii="Arial" w:cs="Arial" w:eastAsia="Arial" w:hAnsi="Arial"/>
          <w:sz w:val="12"/>
          <w:szCs w:val="12"/>
          <w:color w:val="auto"/>
        </w:rPr>
      </w:pPr>
    </w:p>
    <w:p>
      <w:pPr>
        <w:ind w:left="640" w:right="140" w:hanging="216"/>
        <w:spacing w:after="0" w:line="262" w:lineRule="auto"/>
        <w:tabs>
          <w:tab w:leader="none" w:pos="637"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False Claims Act </w:t>
      </w:r>
      <w:r>
        <w:rPr>
          <w:rFonts w:ascii="Arial" w:cs="Arial" w:eastAsia="Arial" w:hAnsi="Arial"/>
          <w:sz w:val="12"/>
          <w:szCs w:val="12"/>
          <w:color w:val="auto"/>
        </w:rPr>
        <w:t>- the federal civil and criminal false claims laws, including the civil False Claims Act, and Civil Monetary Penalties Law, which prohibit individuals or entities from, among other things,</w:t>
      </w:r>
      <w:r>
        <w:rPr>
          <w:rFonts w:ascii="Arial" w:cs="Arial" w:eastAsia="Arial" w:hAnsi="Arial"/>
          <w:sz w:val="12"/>
          <w:szCs w:val="12"/>
          <w:i w:val="1"/>
          <w:iCs w:val="1"/>
          <w:color w:val="auto"/>
        </w:rPr>
        <w:t xml:space="preserve"> </w:t>
      </w:r>
      <w:r>
        <w:rPr>
          <w:rFonts w:ascii="Arial" w:cs="Arial" w:eastAsia="Arial" w:hAnsi="Arial"/>
          <w:sz w:val="12"/>
          <w:szCs w:val="12"/>
          <w:color w:val="auto"/>
        </w:rPr>
        <w:t>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 or knowingly concealing or knowingly and improperly avoiding or decreasing an obligation to pay money to the federal government;</w:t>
      </w:r>
    </w:p>
    <w:p>
      <w:pPr>
        <w:spacing w:after="0" w:line="45" w:lineRule="exact"/>
        <w:rPr>
          <w:rFonts w:ascii="Arial" w:cs="Arial" w:eastAsia="Arial" w:hAnsi="Arial"/>
          <w:sz w:val="12"/>
          <w:szCs w:val="12"/>
          <w:color w:val="auto"/>
        </w:rPr>
      </w:pPr>
    </w:p>
    <w:p>
      <w:pPr>
        <w:ind w:left="640" w:right="260" w:hanging="216"/>
        <w:spacing w:after="0" w:line="286" w:lineRule="auto"/>
        <w:tabs>
          <w:tab w:leader="none" w:pos="637"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HIPAA - </w:t>
      </w:r>
      <w:r>
        <w:rPr>
          <w:rFonts w:ascii="Arial" w:cs="Arial" w:eastAsia="Arial" w:hAnsi="Arial"/>
          <w:sz w:val="12"/>
          <w:szCs w:val="12"/>
          <w:color w:val="auto"/>
        </w:rPr>
        <w:t>the federal Health Insurance Portability and Accountability Act of 1996, or HIPAA, which created additional federal criminal statutes that prohibit, among other things, executing a scheme to</w:t>
      </w:r>
      <w:r>
        <w:rPr>
          <w:rFonts w:ascii="Arial" w:cs="Arial" w:eastAsia="Arial" w:hAnsi="Arial"/>
          <w:sz w:val="12"/>
          <w:szCs w:val="12"/>
          <w:i w:val="1"/>
          <w:iCs w:val="1"/>
          <w:color w:val="auto"/>
        </w:rPr>
        <w:t xml:space="preserve"> </w:t>
      </w:r>
      <w:r>
        <w:rPr>
          <w:rFonts w:ascii="Arial" w:cs="Arial" w:eastAsia="Arial" w:hAnsi="Arial"/>
          <w:sz w:val="12"/>
          <w:szCs w:val="12"/>
          <w:color w:val="auto"/>
        </w:rPr>
        <w:t>defraud any health care benefit program or making false statements relating to health care matters, and apply regardless of the payor (e.g., public or private);</w:t>
      </w:r>
    </w:p>
    <w:p>
      <w:pPr>
        <w:spacing w:after="0" w:line="31" w:lineRule="exact"/>
        <w:rPr>
          <w:rFonts w:ascii="Arial" w:cs="Arial" w:eastAsia="Arial" w:hAnsi="Arial"/>
          <w:sz w:val="12"/>
          <w:szCs w:val="12"/>
          <w:color w:val="auto"/>
        </w:rPr>
      </w:pPr>
    </w:p>
    <w:p>
      <w:pPr>
        <w:ind w:left="640" w:right="180" w:hanging="216"/>
        <w:spacing w:after="0" w:line="268" w:lineRule="auto"/>
        <w:tabs>
          <w:tab w:leader="none" w:pos="637"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HIPAA and HITECH - </w:t>
      </w:r>
      <w:r>
        <w:rPr>
          <w:rFonts w:ascii="Arial" w:cs="Arial" w:eastAsia="Arial" w:hAnsi="Arial"/>
          <w:sz w:val="12"/>
          <w:szCs w:val="12"/>
          <w:color w:val="auto"/>
        </w:rPr>
        <w:t>HIPAA, as amended by the Health Information Technology for Economic and Clinical Health Act, or HITECH, and their implementing regulations, which impose obligations on</w:t>
      </w:r>
      <w:r>
        <w:rPr>
          <w:rFonts w:ascii="Arial" w:cs="Arial" w:eastAsia="Arial" w:hAnsi="Arial"/>
          <w:sz w:val="12"/>
          <w:szCs w:val="12"/>
          <w:i w:val="1"/>
          <w:iCs w:val="1"/>
          <w:color w:val="auto"/>
        </w:rPr>
        <w:t xml:space="preserve"> </w:t>
      </w:r>
      <w:r>
        <w:rPr>
          <w:rFonts w:ascii="Arial" w:cs="Arial" w:eastAsia="Arial" w:hAnsi="Arial"/>
          <w:sz w:val="12"/>
          <w:szCs w:val="12"/>
          <w:color w:val="auto"/>
        </w:rPr>
        <w:t>HIPAA covered entities and their business associates, including mandatory contractual terms and required implementation of administrative, physical and technical safeguards to maintain the privacy and security of individually identifiable health information;</w:t>
      </w:r>
    </w:p>
    <w:p>
      <w:pPr>
        <w:spacing w:after="0" w:line="41" w:lineRule="exact"/>
        <w:rPr>
          <w:rFonts w:ascii="Arial" w:cs="Arial" w:eastAsia="Arial" w:hAnsi="Arial"/>
          <w:sz w:val="12"/>
          <w:szCs w:val="12"/>
          <w:color w:val="auto"/>
        </w:rPr>
      </w:pPr>
    </w:p>
    <w:p>
      <w:pPr>
        <w:jc w:val="both"/>
        <w:ind w:left="640" w:right="80" w:hanging="216"/>
        <w:spacing w:after="0" w:line="262" w:lineRule="auto"/>
        <w:tabs>
          <w:tab w:leader="none" w:pos="637"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Transparency Requirements </w:t>
      </w:r>
      <w:r>
        <w:rPr>
          <w:rFonts w:ascii="Arial" w:cs="Arial" w:eastAsia="Arial" w:hAnsi="Arial"/>
          <w:sz w:val="12"/>
          <w:szCs w:val="12"/>
          <w:color w:val="auto"/>
        </w:rPr>
        <w:t>- the federal physician transparency requirements known as the Physician Payments Sunshine Act, under the Patient Protection and Affordable Care Act, as amended by</w:t>
      </w:r>
      <w:r>
        <w:rPr>
          <w:rFonts w:ascii="Arial" w:cs="Arial" w:eastAsia="Arial" w:hAnsi="Arial"/>
          <w:sz w:val="12"/>
          <w:szCs w:val="12"/>
          <w:i w:val="1"/>
          <w:iCs w:val="1"/>
          <w:color w:val="auto"/>
        </w:rPr>
        <w:t xml:space="preserve"> </w:t>
      </w:r>
      <w:r>
        <w:rPr>
          <w:rFonts w:ascii="Arial" w:cs="Arial" w:eastAsia="Arial" w:hAnsi="Arial"/>
          <w:sz w:val="12"/>
          <w:szCs w:val="12"/>
          <w:color w:val="auto"/>
        </w:rPr>
        <w:t>the Health Care Education Reconciliation Act, or the ACA, which requires manufacturers of drugs, medical devices, biological and medical supplies covered by Medicare, Medicaid, or State Children’s Health Insurance Program to report annually to the CMS within the United States Department of Health and Human Services,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13" w:name="page114"/>
    <w:bookmarkEnd w:id="113"/>
    <w:p>
      <w:pPr>
        <w:ind w:left="640" w:right="240" w:hanging="216"/>
        <w:spacing w:after="0" w:line="334" w:lineRule="auto"/>
        <w:tabs>
          <w:tab w:leader="none" w:pos="637" w:val="left"/>
        </w:tabs>
        <w:numPr>
          <w:ilvl w:val="0"/>
          <w:numId w:val="58"/>
        </w:numPr>
        <w:rPr>
          <w:rFonts w:ascii="Arial" w:cs="Arial" w:eastAsia="Arial" w:hAnsi="Arial"/>
          <w:sz w:val="11"/>
          <w:szCs w:val="11"/>
          <w:color w:val="auto"/>
        </w:rPr>
      </w:pPr>
      <w:r>
        <w:rPr>
          <w:rFonts w:ascii="Arial" w:cs="Arial" w:eastAsia="Arial" w:hAnsi="Arial"/>
          <w:sz w:val="11"/>
          <w:szCs w:val="11"/>
          <w:i w:val="1"/>
          <w:iCs w:val="1"/>
          <w:color w:val="auto"/>
        </w:rPr>
        <w:t xml:space="preserve">Analogous State, Local and Foreign Laws </w:t>
      </w:r>
      <w:r>
        <w:rPr>
          <w:rFonts w:ascii="Arial" w:cs="Arial" w:eastAsia="Arial" w:hAnsi="Arial"/>
          <w:sz w:val="11"/>
          <w:szCs w:val="11"/>
          <w:color w:val="auto"/>
        </w:rPr>
        <w:t>- analogous state, local and foreign fraud and abuse laws and regulations, such as state anti-kickback and false claims laws, which may be broader than</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federal laws, can apply to claims involving health care items or services regardless of payor, and are enforced by many different federal and state agencies as well as through private actions.</w:t>
      </w:r>
    </w:p>
    <w:p>
      <w:pPr>
        <w:spacing w:after="0" w:line="80"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17"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and/or administrative penalties, damages, fines, individual imprisonment, disgorgement, exclusion from government funded health care programs, such as Medicare and Medicaid, contractual damages, reputational harm, administrative burdens, diminished profits and future earnings, additional reporting obligations and oversight if we become subject to a corporate integrity agreement or similar agreement to resolve allegations of non-compliance with these laws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2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In addition,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2"/>
          <w:szCs w:val="12"/>
          <w:b w:val="1"/>
          <w:bCs w:val="1"/>
          <w:i w:val="1"/>
          <w:iCs w:val="1"/>
          <w:color w:val="auto"/>
        </w:rPr>
        <w:t>If the FDA or comparable foreign regulatory authorities approve generic versions of any of our future drug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2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Once an NDA is approved, the product covered thereby becomes a “reference-listed drug” in the FDA’s publication, “Approved Drug Products with Therapeutic Equivalence Evaluations,” commonly known as the Orange Book. Manufacturers may seek approval of generic versions of reference-listed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121"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14" w:name="page115"/>
    <w:bookmarkEnd w:id="114"/>
    <w:p>
      <w:pPr>
        <w:ind w:right="20"/>
        <w:spacing w:after="0" w:line="259" w:lineRule="auto"/>
        <w:rPr>
          <w:sz w:val="20"/>
          <w:szCs w:val="20"/>
          <w:color w:val="auto"/>
        </w:rPr>
      </w:pPr>
      <w:r>
        <w:rPr>
          <w:rFonts w:ascii="Arial" w:cs="Arial" w:eastAsia="Arial" w:hAnsi="Arial"/>
          <w:sz w:val="12"/>
          <w:szCs w:val="12"/>
          <w:color w:val="auto"/>
        </w:rPr>
        <w:t>is a drug that contains an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119"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2"/>
          <w:szCs w:val="12"/>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21" w:lineRule="exact"/>
        <w:rPr>
          <w:sz w:val="20"/>
          <w:szCs w:val="20"/>
          <w:color w:val="auto"/>
        </w:rPr>
      </w:pPr>
    </w:p>
    <w:p>
      <w:pPr>
        <w:ind w:right="220" w:firstLine="432"/>
        <w:spacing w:after="0" w:line="262" w:lineRule="auto"/>
        <w:rPr>
          <w:sz w:val="20"/>
          <w:szCs w:val="20"/>
          <w:color w:val="auto"/>
        </w:rPr>
      </w:pPr>
      <w:r>
        <w:rPr>
          <w:rFonts w:ascii="Arial" w:cs="Arial" w:eastAsia="Arial" w:hAnsi="Arial"/>
          <w:sz w:val="12"/>
          <w:szCs w:val="12"/>
          <w:color w:val="auto"/>
        </w:rPr>
        <w:t>We are subject to international data privacy and protection laws and regulations that apply to our collection, transmission, storage and use of personally identifiable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117" w:lineRule="exact"/>
        <w:rPr>
          <w:sz w:val="20"/>
          <w:szCs w:val="20"/>
          <w:color w:val="auto"/>
        </w:rPr>
      </w:pPr>
    </w:p>
    <w:p>
      <w:pPr>
        <w:jc w:val="both"/>
        <w:ind w:right="220" w:firstLine="432"/>
        <w:spacing w:after="0" w:line="268" w:lineRule="auto"/>
        <w:rPr>
          <w:sz w:val="20"/>
          <w:szCs w:val="20"/>
          <w:color w:val="auto"/>
        </w:rPr>
      </w:pPr>
      <w:r>
        <w:rPr>
          <w:rFonts w:ascii="Arial" w:cs="Arial" w:eastAsia="Arial" w:hAnsi="Arial"/>
          <w:sz w:val="12"/>
          <w:szCs w:val="12"/>
          <w:color w:val="auto"/>
        </w:rPr>
        <w:t>There are numerous U.S. federal and state laws and regulations related to the privacy and security of personal information, including HIPAA.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If we are unable to properly protect the privacy and security of protected health information, we could be found to have breached our contracts. Further, if we fail to comply with applicable privacy laws,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1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2"/>
          <w:szCs w:val="12"/>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color w:val="auto"/>
        </w:rPr>
        <w:t>notice to residents regarding retention of information. The provisions in the CPRA may apply to some of our business activities.</w:t>
      </w:r>
    </w:p>
    <w:p>
      <w:pPr>
        <w:spacing w:after="0" w:line="150"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spacing w:after="0" w:line="123"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114"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Similar to the laws in the U.S., there are significant privacy and data security laws that apply in Europe and other countries. The collection, use, disclosure, transfer, or other processing of personal data, including personal health data, regarding individuals who are located in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The GDPR places restrictions on the cross-border transfer of personal data from the EU to countries that have not been found by the EU to offer adequate data protection legislation, such as the U.S.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121" w:lineRule="exact"/>
        <w:rPr>
          <w:sz w:val="20"/>
          <w:szCs w:val="20"/>
          <w:color w:val="auto"/>
        </w:rPr>
      </w:pPr>
    </w:p>
    <w:p>
      <w:pPr>
        <w:ind w:right="280" w:firstLine="432"/>
        <w:spacing w:after="0" w:line="268" w:lineRule="auto"/>
        <w:rPr>
          <w:sz w:val="20"/>
          <w:szCs w:val="20"/>
          <w:color w:val="auto"/>
        </w:rPr>
      </w:pPr>
      <w:r>
        <w:rPr>
          <w:rFonts w:ascii="Arial" w:cs="Arial" w:eastAsia="Arial" w:hAnsi="Arial"/>
          <w:sz w:val="12"/>
          <w:szCs w:val="12"/>
          <w:color w:val="auto"/>
        </w:rPr>
        <w:t>As a response to the CJEU decision, former President Biden signed an executive order to implement the EU-U.S. Data Privacy Framework, which would serve as a replacement to the EU-U.S. Privacy Shield. The EU initiated the process to adopt an adequacy decision for the EU-U.S. Data Privacy Framework in December 2022. It is unclear if and when the framework will be finalized and whether it will be challenged in court. The uncertainty around this issue may further impact our business operations in the EU.</w:t>
      </w:r>
    </w:p>
    <w:p>
      <w:pPr>
        <w:spacing w:after="0" w:line="114"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color w:val="auto"/>
        </w:rPr>
        <w:t>and the GDPR, respectively. Any changes or updates to these adequacy decisions have the potential to impact our business.</w:t>
      </w:r>
    </w:p>
    <w:p>
      <w:pPr>
        <w:spacing w:after="0" w:line="150" w:lineRule="exact"/>
        <w:rPr>
          <w:sz w:val="20"/>
          <w:szCs w:val="20"/>
          <w:color w:val="auto"/>
        </w:rPr>
      </w:pPr>
    </w:p>
    <w:p>
      <w:pPr>
        <w:ind w:right="320" w:firstLine="432"/>
        <w:spacing w:after="0" w:line="268" w:lineRule="auto"/>
        <w:rPr>
          <w:sz w:val="20"/>
          <w:szCs w:val="20"/>
          <w:color w:val="auto"/>
        </w:rPr>
      </w:pPr>
      <w:r>
        <w:rPr>
          <w:rFonts w:ascii="Arial" w:cs="Arial" w:eastAsia="Arial" w:hAnsi="Arial"/>
          <w:sz w:val="12"/>
          <w:szCs w:val="12"/>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11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21"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17"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the United States, the Medicare Prescription Drug, Improvement, and Modernization Act of 2003, or the MMA, changed the way Medicare covers and pays for pharmaceutical products. The legislation expanded Medicare coverage for prescription drugs purchased through a pharmacy by the elderly and disabled and introduced a new reimbursement methodology based on average sales prices for physician-administered drugs. In addition, this statute provides authority for limiting the number of drugs that will be covered in any therapeutic class, subject to certain exceptions. Cost reduction initiatives and other provisions of this statute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In March 2010, former President Obama signed into law the Patient Protection and Affordable Care Act, as amended by the Health Care and Education Affordability Reconciliation Act, or collectively the ACA.</w:t>
      </w:r>
    </w:p>
    <w:p>
      <w:pPr>
        <w:spacing w:after="0" w:line="122" w:lineRule="exact"/>
        <w:rPr>
          <w:sz w:val="20"/>
          <w:szCs w:val="20"/>
          <w:color w:val="auto"/>
        </w:rPr>
      </w:pPr>
    </w:p>
    <w:p>
      <w:pPr>
        <w:ind w:right="220" w:firstLine="432"/>
        <w:spacing w:after="0" w:line="262" w:lineRule="auto"/>
        <w:rPr>
          <w:sz w:val="20"/>
          <w:szCs w:val="20"/>
          <w:color w:val="auto"/>
        </w:rPr>
      </w:pPr>
      <w:r>
        <w:rPr>
          <w:rFonts w:ascii="Arial" w:cs="Arial" w:eastAsia="Arial" w:hAnsi="Arial"/>
          <w:sz w:val="12"/>
          <w:szCs w:val="12"/>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remain in effect through 2031. Under current legislation, the actual reductions in Medicare payments may vary up to 4%. The Consolidated Appropriations Act, which was signed into law by former President Biden in December 2022, made several changes to sequestration of the Medicare program. Section 1001 of the Consolidated Appropriations Act delays the 4% Statutory Pay-As-You-Go Act of 2010 (PAYGO) sequester for two years, through the end of calendar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17" w:name="page118"/>
    <w:bookmarkEnd w:id="117"/>
    <w:p>
      <w:pPr>
        <w:spacing w:after="0" w:line="334" w:lineRule="auto"/>
        <w:rPr>
          <w:sz w:val="20"/>
          <w:szCs w:val="20"/>
          <w:color w:val="auto"/>
        </w:rPr>
      </w:pPr>
      <w:r>
        <w:rPr>
          <w:rFonts w:ascii="Arial" w:cs="Arial" w:eastAsia="Arial" w:hAnsi="Arial"/>
          <w:sz w:val="11"/>
          <w:szCs w:val="11"/>
          <w:color w:val="auto"/>
        </w:rPr>
        <w:t>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without specifically ruling on the constitutionality of the ACA. Litigation and legislation over the ACA are likely to continue, with unpredictable and uncertain results.</w:t>
      </w:r>
    </w:p>
    <w:p>
      <w:pPr>
        <w:spacing w:after="0" w:line="119"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In the EU, on December 13, 2021, Regulation No 2021/2282 on Health Technology Assessment, or HTA, amending Directive 2011/24/EU, was adopted. While the Regulation entered into force in January 2022, it only began to apply in January 2025 and it has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22"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5" w:lineRule="exact"/>
        <w:rPr>
          <w:sz w:val="20"/>
          <w:szCs w:val="20"/>
          <w:color w:val="auto"/>
        </w:rPr>
      </w:pPr>
    </w:p>
    <w:p>
      <w:pPr>
        <w:ind w:right="140"/>
        <w:spacing w:after="0" w:line="293" w:lineRule="auto"/>
        <w:rPr>
          <w:sz w:val="20"/>
          <w:szCs w:val="20"/>
          <w:color w:val="auto"/>
        </w:rPr>
      </w:pPr>
      <w:r>
        <w:rPr>
          <w:rFonts w:ascii="Arial" w:cs="Arial" w:eastAsia="Arial" w:hAnsi="Arial"/>
          <w:sz w:val="12"/>
          <w:szCs w:val="12"/>
          <w:b w:val="1"/>
          <w:bCs w:val="1"/>
          <w:i w:val="1"/>
          <w:iCs w:val="1"/>
          <w:color w:val="auto"/>
        </w:rPr>
        <w:t>The prices of prescription pharmaceuticals in the United States and foreign jurisdictions are subject to considerable legislative and executive actions and could impact the prices we obtain for our drug products, if and when approved.</w:t>
      </w:r>
    </w:p>
    <w:p>
      <w:pPr>
        <w:spacing w:after="0" w:line="21" w:lineRule="exact"/>
        <w:rPr>
          <w:sz w:val="20"/>
          <w:szCs w:val="20"/>
          <w:color w:val="auto"/>
        </w:rPr>
      </w:pPr>
    </w:p>
    <w:p>
      <w:pPr>
        <w:ind w:right="220" w:firstLine="432"/>
        <w:spacing w:after="0" w:line="298" w:lineRule="auto"/>
        <w:rPr>
          <w:sz w:val="20"/>
          <w:szCs w:val="20"/>
          <w:color w:val="auto"/>
        </w:rPr>
      </w:pPr>
      <w:r>
        <w:rPr>
          <w:rFonts w:ascii="Arial" w:cs="Arial" w:eastAsia="Arial" w:hAnsi="Arial"/>
          <w:sz w:val="11"/>
          <w:szCs w:val="11"/>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reduce the costs of pharmaceuticals under Medicare and Medicaid. In 2020, President Trump issued several executive orders intended to lower the costs of prescription products and certain provisions in these</w:t>
      </w:r>
    </w:p>
    <w:p>
      <w:pPr>
        <w:spacing w:after="0" w:line="33"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18" w:name="page119"/>
    <w:bookmarkEnd w:id="118"/>
    <w:p>
      <w:pPr>
        <w:ind w:right="40" w:firstLine="432"/>
        <w:spacing w:after="0" w:line="256" w:lineRule="auto"/>
        <w:rPr>
          <w:sz w:val="20"/>
          <w:szCs w:val="20"/>
          <w:color w:val="auto"/>
        </w:rPr>
      </w:pPr>
      <w:r>
        <w:rPr>
          <w:rFonts w:ascii="Arial" w:cs="Arial" w:eastAsia="Arial" w:hAnsi="Arial"/>
          <w:sz w:val="12"/>
          <w:szCs w:val="12"/>
          <w:color w:val="auto"/>
        </w:rPr>
        <w:t>In addition, in October 2020, HHS and the FDA published a final rule allowing states and other entities to develop a Section 804 Importation Program to import certain prescription products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October 2024, five states (Colorado, Florida, Maine, New Hampshire and New Mexico) had submitted Section 804 Importation Program proposals to the FDA. Vermont has submitted a concept letter to the HHS.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w:t>
      </w:r>
    </w:p>
    <w:p>
      <w:pPr>
        <w:spacing w:after="0" w:line="122" w:lineRule="exact"/>
        <w:rPr>
          <w:sz w:val="20"/>
          <w:szCs w:val="20"/>
          <w:color w:val="auto"/>
        </w:rPr>
      </w:pPr>
    </w:p>
    <w:p>
      <w:pPr>
        <w:ind w:right="20" w:firstLine="432"/>
        <w:spacing w:after="0" w:line="303" w:lineRule="auto"/>
        <w:rPr>
          <w:sz w:val="20"/>
          <w:szCs w:val="20"/>
          <w:color w:val="auto"/>
        </w:rPr>
      </w:pPr>
      <w:r>
        <w:rPr>
          <w:rFonts w:ascii="Arial" w:cs="Arial" w:eastAsia="Arial" w:hAnsi="Arial"/>
          <w:sz w:val="11"/>
          <w:szCs w:val="11"/>
          <w:color w:val="auto"/>
        </w:rPr>
        <w:t>Further,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IRA, has been delayed by Congress to January 1, 2032.</w:t>
      </w:r>
    </w:p>
    <w:p>
      <w:pPr>
        <w:spacing w:after="0" w:line="9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On August 16, 2022, the IRA was signed into law by former President Biden. The new legislation has implications for Medicare Part D, which is a program available to individuals who are entitled to Medicare Part A or enrolled in Medicare Part B to give them the option of enrolling in a plan providing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119"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additional Part D drugs in 2027, 15 additional Part B or Part D drugs in 2028, and 20 additional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first cycle of negotiations for the Medicare Drug Price Negotiation Program commenced in the summer of 2023. On August 15, 2024, HHS published the results of the first Medicare drug price</w:t>
      </w:r>
    </w:p>
    <w:p>
      <w:pPr>
        <w:spacing w:after="0" w:line="33"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negotiations for ten selected drugs that treat a range of conditions, including diabetes, chronic kidney disease, and rheumatoid arthritis. The prices of these ten drugs will become effective January 1, 2026. On January 17, 2025, CMS announced the selection of 15 additional drugs covered by Part D for the second cycle of negotiations. This second cycle of negotiations with participating drug companies will occur during 2025, and any negotiated prices for this second set of drugs will be effective starting January 1, 2027.</w:t>
      </w:r>
    </w:p>
    <w:p>
      <w:pPr>
        <w:spacing w:after="0" w:line="114" w:lineRule="exact"/>
        <w:rPr>
          <w:sz w:val="20"/>
          <w:szCs w:val="20"/>
          <w:color w:val="auto"/>
        </w:rPr>
      </w:pPr>
    </w:p>
    <w:p>
      <w:pPr>
        <w:jc w:val="both"/>
        <w:ind w:right="340" w:firstLine="432"/>
        <w:spacing w:after="0" w:line="268" w:lineRule="auto"/>
        <w:rPr>
          <w:sz w:val="20"/>
          <w:szCs w:val="20"/>
          <w:color w:val="auto"/>
        </w:rPr>
      </w:pPr>
      <w:r>
        <w:rPr>
          <w:rFonts w:ascii="Arial" w:cs="Arial" w:eastAsia="Arial" w:hAnsi="Arial"/>
          <w:sz w:val="12"/>
          <w:szCs w:val="12"/>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new law also caps Medicare beneficiaries' out-of-pocket drug costs at an estimated $4,000 a year in 2024 and, thereafter beginning in 2025, at $2,000 a year.</w:t>
      </w:r>
    </w:p>
    <w:p>
      <w:pPr>
        <w:spacing w:after="0" w:line="15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2"/>
          <w:szCs w:val="12"/>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Pharma Inc., Novo Nordisk Inc., Janssen Pharmaceuticals, Inc., Novartis AG, AstraZeneca plc and C.H. Boehringer Sohn AG &amp; Co. KG, also filed lawsuits in various courts with similar constitutional claims against HHS and CMS. HHS has generally won the substantive disputes in these cases, and various federal district court judges have expressed skepticism regarding the merits of the legal arguments being pursued by the pharmaceutical industry. Certain of these cases are now on appeal and, on October 30, 2024, the Court of Appeals for the Third Circuit heard oral argument in three of these cases. We expect that litigation involving these and other provisions of the IRA will continue, with unpredictable and uncertain results.</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other jurisdictions, particularly in the European Union, the pricing of prescription pharmaceuticals is subject to governmental control. In these countries, pricing negotiations with governmental authorities can take considerable time after the receipt of marketing approval for a drug.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and in certain instances render commercialization in certain markets infeasible or disadvantageous from a financial perspective.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the commercial launch of our products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197" w:lineRule="exact"/>
        <w:rPr>
          <w:sz w:val="20"/>
          <w:szCs w:val="20"/>
          <w:color w:val="auto"/>
        </w:rPr>
      </w:pPr>
    </w:p>
    <w:p>
      <w:pPr>
        <w:ind w:right="360"/>
        <w:spacing w:after="0" w:line="293" w:lineRule="auto"/>
        <w:rPr>
          <w:sz w:val="20"/>
          <w:szCs w:val="20"/>
          <w:color w:val="auto"/>
        </w:rPr>
      </w:pPr>
      <w:r>
        <w:rPr>
          <w:rFonts w:ascii="Arial" w:cs="Arial" w:eastAsia="Arial" w:hAnsi="Arial"/>
          <w:sz w:val="12"/>
          <w:szCs w:val="12"/>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2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operations are subject to anti-corruption laws, including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811" w:right="379" w:bottom="1440" w:gutter="0" w:footer="0" w:header="0"/>
        </w:sectPr>
      </w:pPr>
    </w:p>
    <w:bookmarkStart w:id="120" w:name="page121"/>
    <w:bookmarkEnd w:id="120"/>
    <w:p>
      <w:pPr>
        <w:ind w:right="60" w:firstLine="432"/>
        <w:spacing w:after="0" w:line="268" w:lineRule="auto"/>
        <w:rPr>
          <w:sz w:val="20"/>
          <w:szCs w:val="20"/>
          <w:color w:val="auto"/>
        </w:rPr>
      </w:pPr>
      <w:r>
        <w:rPr>
          <w:rFonts w:ascii="Arial" w:cs="Arial" w:eastAsia="Arial" w:hAnsi="Arial"/>
          <w:sz w:val="12"/>
          <w:szCs w:val="12"/>
          <w:color w:val="auto"/>
        </w:rPr>
        <w:t>We are also subject to other laws and regulations governing our international operations, including regulations administered by the governments of the United States, United Kingdom, and authorities in the European Union, including applicable export control regulations, economic sanctions on countries and persons, customs requirements and currency exchange regulations, which we collectively refer to as Trade Control Laws.</w:t>
      </w:r>
    </w:p>
    <w:p>
      <w:pPr>
        <w:spacing w:after="0" w:line="114"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including the Nasdaq Stock Market, for violations of the FCPA’s accounting provisions. Likewise, any investigation of any potential violations of the FCPA, the Bribery Act, other anti-corruption laws or Trade Control Laws by U.S., U.K. or other authorities could also have an adverse impact on our reputation,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1"/>
          <w:szCs w:val="11"/>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Social media platforms and Artificial Intelligence, or AI, based platforms present new risks and challenges to our business.</w:t>
      </w:r>
    </w:p>
    <w:p>
      <w:pPr>
        <w:spacing w:after="0" w:line="76"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unauthorized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color w:val="auto"/>
        </w:rPr>
        <w:t>release of such information, which may negatively impact our company, including our ability to realize the benefit of our intellectual property.</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Risks Related to Employee Matters and Managing Growth</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success depends on our ability to retain key employees, consultants and advisors and to attract, train, retain and motivate qualified personnel.</w:t>
      </w:r>
    </w:p>
    <w:p>
      <w:pPr>
        <w:spacing w:after="0" w:line="76"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Our ability to compete in the highly competitive biopharmaceuticals industry depends upon our ability to attract, retain and motivate highly skilled and experienced personnel with scientific, medical, regulatory, manufacturing and management skills and experience. Although we have offer letters or employment agreements with each of our executive officers, each of them may terminate their employment with us at any time. We do not maintain “key person” insurance for any of our executives or other employees.</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Recruiting and retaining qualified scientific, clinical, manufacturing, sales, marketing and market access personnel has been and will continue to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consultants and advisors may be difficult and may take an extended period of time because of the limited number of individuals in our industry with the breadth of skills and experience required to successfully develop, gain marketing approval of and commercialize products.</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While we offer remote and hybrid work arrangements, allowing us to seek talent from outside our New Haven headquarters area, we still may not be able to attract or retain qualified personnel in the future due to the intense competition for a limited number of qualified personnel among biopharmaceutical companies. Many of the other biopharmaceutical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We also experience competition for the hiring of scientific and clinical personnel from universities and research institutions. Any or all of these competing factors may limit our ability to continue to attract and retain high quality personnel, which could negatively affect our ability to successfully develop and commercialize our investigational products and to grow our business and operations as currently contemplated.</w:t>
      </w:r>
    </w:p>
    <w:p>
      <w:pPr>
        <w:spacing w:after="0" w:line="121"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formulating our research and development and commercialization strategies. These consultants and advisors may be employed by employers other than us and may have commitments under consulting or advisory contracts with other entities that may limit their availability to us. If we are unable to continue to attract, train, retain and motivate high quality personnel, our ability to pursue our corporate growth strategy will be limited.</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grow the size of our organization, and we may experience difficulties in managing this growth, which could disrupt our operations.</w:t>
      </w:r>
    </w:p>
    <w:p>
      <w:pPr>
        <w:spacing w:after="0" w:line="76"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We expect to experience significant growth in the number of our employees and the scope of our operations, particularly in the areas of drug development, manufacturing, regulatory and medical affairs and compliance and, if any of our product candidates receives marketing approval, sales, marketing, market access and distribution. To manage our anticipated future growth, we must continue to implement and improve our managerial, operational and financial systems, manage our facilities and continue to recruit and train additional qualified personnel. Any future growth will impose significant added responsibilities on members of management, including, but not limited to:</w:t>
      </w:r>
    </w:p>
    <w:p>
      <w:pPr>
        <w:spacing w:after="0" w:line="45" w:lineRule="exact"/>
        <w:rPr>
          <w:sz w:val="20"/>
          <w:szCs w:val="20"/>
          <w:color w:val="auto"/>
        </w:rPr>
      </w:pPr>
    </w:p>
    <w:p>
      <w:pPr>
        <w:ind w:left="640" w:hanging="216"/>
        <w:spacing w:after="0"/>
        <w:tabs>
          <w:tab w:leader="none" w:pos="6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identifying, recruiting, training, integrating, retaining and motivating additional employees;</w:t>
      </w:r>
    </w:p>
    <w:p>
      <w:pPr>
        <w:spacing w:after="0" w:line="78" w:lineRule="exact"/>
        <w:rPr>
          <w:rFonts w:ascii="Arial" w:cs="Arial" w:eastAsia="Arial" w:hAnsi="Arial"/>
          <w:sz w:val="12"/>
          <w:szCs w:val="12"/>
          <w:color w:val="auto"/>
        </w:rPr>
      </w:pPr>
    </w:p>
    <w:p>
      <w:pPr>
        <w:ind w:left="640" w:right="340" w:hanging="216"/>
        <w:spacing w:after="0" w:line="286" w:lineRule="auto"/>
        <w:tabs>
          <w:tab w:leader="none" w:pos="637"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managing our internal development efforts effectively, including the clinical and FDA review process for vepdegestrant and any product candidate we develop, while complying with our contractual obligations to contractors and other third parties, including our partners and collaborators; and</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improving our managerial, operational and financial controls, reporting systems and procedures.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22" w:name="page123"/>
    <w:bookmarkEnd w:id="122"/>
    <w:p>
      <w:pPr>
        <w:ind w:right="40" w:firstLine="432"/>
        <w:spacing w:after="0" w:line="286" w:lineRule="auto"/>
        <w:rPr>
          <w:sz w:val="20"/>
          <w:szCs w:val="20"/>
          <w:color w:val="auto"/>
        </w:rPr>
      </w:pPr>
      <w:r>
        <w:rPr>
          <w:rFonts w:ascii="Arial" w:cs="Arial" w:eastAsia="Arial" w:hAnsi="Arial"/>
          <w:sz w:val="12"/>
          <w:szCs w:val="12"/>
          <w:color w:val="auto"/>
        </w:rPr>
        <w:t>In addition, we may collaborate with third parties that have direct sales forces and established distribution systems, either to augment our own sales force and distribution systems or in lieu of our own sales force and distribution systems.</w:t>
      </w:r>
    </w:p>
    <w:p>
      <w:pPr>
        <w:spacing w:after="0" w:line="103"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Our future financial performance and our ability to advance the development of and, if approved, commercialize vepdegestrant and any other product candidate we develop will depend, in part, on our ability to effectively manage any future growth and, as needed, collaborate with third parties.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1"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b w:val="1"/>
          <w:bCs w:val="1"/>
          <w:i w:val="1"/>
          <w:iCs w:val="1"/>
          <w:color w:val="auto"/>
        </w:rPr>
        <w:t>Our internal computer systems and those of our collaborators, contractors, consultants and other third parties are vulnerable to cyber attacks, cyber intrusions and security breaches, which could not only materially disrupt our business operations and result in the loss of confidential information, but could also damage the integrity of our clinical trials, impact our regulatory filings, compromise our ability to protect our intellectual property, and subject us to regulatory actions that could result in significant fines or other penalties.</w:t>
      </w:r>
    </w:p>
    <w:p>
      <w:pPr>
        <w:spacing w:after="0" w:line="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Our internal computer systems and those of any collaborators, contractors, consultants or other third parties that we work with,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collaborators and other business partners, or from cyber-attacks by malicious third parties. In recent years, cyber-attacks have increased in their frequency, sophistication and intensity, and have become increasingly difficult, time consuming and costly to detect and we have experienced certain attacks, though minor, related to third-party vendors.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These types of incidents continue to be prevalent and pervasive across industries, including in our industry. In addition, we expect information security risks to continue to increase due to the proliferation of new technologies, including artificial intelligence, and the increased sophistication and activities of organized crime, hackers, terrorists and other external parties, including foreign state actors.</w:t>
      </w:r>
    </w:p>
    <w:p>
      <w:pPr>
        <w:spacing w:after="0" w:line="123" w:lineRule="exact"/>
        <w:rPr>
          <w:sz w:val="20"/>
          <w:szCs w:val="20"/>
          <w:color w:val="auto"/>
        </w:rPr>
      </w:pPr>
    </w:p>
    <w:p>
      <w:pPr>
        <w:ind w:right="160" w:firstLine="432"/>
        <w:spacing w:after="0" w:line="262" w:lineRule="auto"/>
        <w:rPr>
          <w:sz w:val="20"/>
          <w:szCs w:val="20"/>
          <w:color w:val="auto"/>
        </w:rPr>
      </w:pPr>
      <w:r>
        <w:rPr>
          <w:rFonts w:ascii="Arial" w:cs="Arial" w:eastAsia="Arial" w:hAnsi="Arial"/>
          <w:sz w:val="12"/>
          <w:szCs w:val="12"/>
          <w:color w:val="auto"/>
        </w:rPr>
        <w:t>We are increasingly dependent on information technology systems and infrastructure, including mobile technologies, to operate our business. In the ordinary course of our business, we collect, process, store and transmit large amounts of confidential information, including intellectual property, proprietary business information and personal information. It is critical that we do so in a secure manner to maintain the confidentiality and integrity of such information. The size and complexity of our information technology systems, and those of third-party vendors with whom we contract, and the volume of data we retain, make such systems potentially vulnerable to breakdown, malicious intrusion, security breaches, ransomware, phishing, and other cyber-attacks.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While we have not experienced any material system failure, accident or security breach to date, if such an event were to occur, or if we were unable to implement satisfactory remedial measures, it could result in diversion of management's attention and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materially harmed and the further development and commercialization of our product candidates could be delayed.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23" w:name="page124"/>
    <w:bookmarkEnd w:id="123"/>
    <w:p>
      <w:pPr>
        <w:ind w:right="120"/>
        <w:spacing w:after="0" w:line="293" w:lineRule="auto"/>
        <w:rPr>
          <w:sz w:val="20"/>
          <w:szCs w:val="20"/>
          <w:color w:val="auto"/>
        </w:rPr>
      </w:pPr>
      <w:r>
        <w:rPr>
          <w:rFonts w:ascii="Arial" w:cs="Arial" w:eastAsia="Arial" w:hAnsi="Arial"/>
          <w:sz w:val="12"/>
          <w:szCs w:val="12"/>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 which could materially harm our business.</w:t>
      </w:r>
    </w:p>
    <w:p>
      <w:pPr>
        <w:spacing w:after="0" w:line="21"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31" w:lineRule="exact"/>
        <w:rPr>
          <w:sz w:val="20"/>
          <w:szCs w:val="20"/>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intentional, reckless or negligent conduct or disclosure of unauthorized activities to us that violate the regulations of the FDA or similar foreign regulatory authorities;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healthcare fraud and abuse laws and regulations in the United States and in other jurisdictions;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violations of U.S. federal securities laws, including those related to trading in our common stock;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failures to report financial information or data accurately.</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among other things, result in regulatory sanctions and cause serious harm to our reputation. We have adopted a code of conduct and implement other internal controls applicable to all of our employees, but it is not always possible to identify and deter misconduct by employees and other third parties. In addition,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legal, regulatory or administrative actions or proceedings are instituted against us, and we are not successful in defending ourselves or asserting our rights, such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diversion of management attention, general costs of litigation or proceedings, diminished profits and future earnings, and curtailment of our operations, any of which could adversely affect our ability to operate our business and our results of operations.</w:t>
      </w:r>
    </w:p>
    <w:p>
      <w:pPr>
        <w:spacing w:after="0" w:line="196"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Risks Related to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is volatile and may fluctuate substantially, which could result in the loss of all or part of our stockholders’ investment.</w:t>
      </w:r>
    </w:p>
    <w:p>
      <w:pPr>
        <w:spacing w:after="0" w:line="76"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Our stock price has been and likely will continue to be volatile.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31" w:lineRule="exact"/>
        <w:rPr>
          <w:sz w:val="20"/>
          <w:szCs w:val="20"/>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degree of success of any competitive products or technologies;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results of or developments in preclinical studies and clinical trials of our product candidates or those of our competitors;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developments or disputes concerning patent applications, issued patents or other proprietary rights;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level of expenses related to any of our product candidates or clinical development programs;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results of our efforts to discover, develop, acquire or in-license additional technologies or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24" w:name="page125"/>
    <w:bookmarkEnd w:id="124"/>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actual or anticipated changes in estimates as to financial results, development timelines or recommendations by securities analysts;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variations in our financial results or those of companies that are perceived to be similar to us;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 in the United States and other jurisdictions;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general economic, industry and market conditions, including geopolitical conflicts, inflation and high interest rates;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other factors described in this “Risk Factors” section.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any of the foregoing factors were to occur, or if our operating results fall below the expectations of investors or securities analysts, the price of our common stock could decline substantially.</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securities litigation, which is expensive and could divert management attention.</w:t>
      </w:r>
    </w:p>
    <w:p>
      <w:pPr>
        <w:spacing w:after="0" w:line="76"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Our stock price has been and likely will continue to be volatile. In the past, companies that have experienced volatility in the market price of their stock have been subject to securities class action litigation and shareholder derivative litigation. Such litigation, if instituted against us, whether successful or not, could cause us to incur substantial costs to defend such claims and divert management’s attention and resources, which could seriously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executive officers, directors and principal stockholders, if they choose to act together, have the ability to significantly influence or control all matters submitted to stockholders for approval.</w:t>
      </w:r>
    </w:p>
    <w:p>
      <w:pPr>
        <w:spacing w:after="0" w:line="76"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Our executive officers and directors, combined with our stockholders who own more than 5% of our outstanding common stock, in the aggregate, beneficially own shares representing approximately 42% of our capital stock. As a result, if these stockholders were to choose to act together, they would be able to significantly influence or control all matters submitted to our stockholders for approval, as well as our management and affairs. For example, these persons, if they choose to act together, could significantly influence or control the election of directors and approval of any merger, consolidation or sale of all or substantially all of our assets. This concentration of ownership control may:</w:t>
      </w:r>
    </w:p>
    <w:p>
      <w:pPr>
        <w:spacing w:after="0" w:line="45" w:lineRule="exact"/>
        <w:rPr>
          <w:sz w:val="20"/>
          <w:szCs w:val="20"/>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delay, defer or prevent a change in control;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entrench our management and the board of directors; or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impede a merger, consolidation, takeover or other business combination involving us that other stockholders may desire.</w:t>
      </w: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b w:val="1"/>
          <w:bCs w:val="1"/>
          <w:i w:val="1"/>
          <w:iCs w:val="1"/>
          <w:color w:val="auto"/>
        </w:rPr>
        <w:t>Provisions in our organizational documents and under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47" w:lineRule="exact"/>
        <w:rPr>
          <w:sz w:val="20"/>
          <w:szCs w:val="20"/>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provide for a classified board of directors such that only one of three classes of directors is elected each year;</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allow the authorized number of our directors to be changed only by resolution of our board of directors;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limit the manner in which stockholders can remove directors from our board of directors;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5" w:name="page126"/>
    <w:bookmarkEnd w:id="125"/>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provide for advance notice requirements for stockholder proposals that can be acted on at stockholder meetings and nominations to our board of directors;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require that stockholder actions must be effected at a duly called stockholder meeting and prohibit actions by our stockholders by written consent;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limit who may call stockholder meetings;</w:t>
      </w:r>
    </w:p>
    <w:p>
      <w:pPr>
        <w:spacing w:after="0" w:line="78" w:lineRule="exact"/>
        <w:rPr>
          <w:rFonts w:ascii="Arial" w:cs="Arial" w:eastAsia="Arial" w:hAnsi="Arial"/>
          <w:sz w:val="12"/>
          <w:szCs w:val="12"/>
          <w:color w:val="auto"/>
        </w:rPr>
      </w:pPr>
    </w:p>
    <w:p>
      <w:pPr>
        <w:ind w:left="640" w:right="80" w:hanging="216"/>
        <w:spacing w:after="0" w:line="268" w:lineRule="auto"/>
        <w:tabs>
          <w:tab w:leader="none" w:pos="637" w:val="left"/>
        </w:tabs>
        <w:numPr>
          <w:ilvl w:val="0"/>
          <w:numId w:val="65"/>
        </w:numPr>
        <w:rPr>
          <w:rFonts w:ascii="Arial" w:cs="Arial" w:eastAsia="Arial" w:hAnsi="Arial"/>
          <w:sz w:val="12"/>
          <w:szCs w:val="12"/>
          <w:color w:val="auto"/>
        </w:rPr>
      </w:pPr>
      <w:r>
        <w:rPr>
          <w:rFonts w:ascii="Arial" w:cs="Arial" w:eastAsia="Arial" w:hAnsi="Arial"/>
          <w:sz w:val="12"/>
          <w:szCs w:val="12"/>
          <w:color w:val="auto"/>
        </w:rPr>
        <w:t>authorize our board of directors to issue "blank check" preferred stock, which could be issued without stockholder approval, may contain voting, liquidation, dividend and other rights superior to our common stock, and could be used to institute a “poison pill” that would work to dilute the stock ownership of a potential hostile acquirer, effectively preventing acquisitions that have not been approved by our board of directors; and</w:t>
      </w:r>
    </w:p>
    <w:p>
      <w:pPr>
        <w:spacing w:after="0" w:line="41" w:lineRule="exact"/>
        <w:rPr>
          <w:rFonts w:ascii="Arial" w:cs="Arial" w:eastAsia="Arial" w:hAnsi="Arial"/>
          <w:sz w:val="12"/>
          <w:szCs w:val="12"/>
          <w:color w:val="auto"/>
        </w:rPr>
      </w:pPr>
    </w:p>
    <w:p>
      <w:pPr>
        <w:ind w:left="640" w:hanging="216"/>
        <w:spacing w:after="0"/>
        <w:tabs>
          <w:tab w:leader="none" w:pos="6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require the approval of the holders of at least 75% of the votes that all our stockholders would be entitled to cast to amend or repeal specified provisions of our charter or bylaws.</w:t>
      </w:r>
    </w:p>
    <w:p>
      <w:pPr>
        <w:spacing w:after="0" w:line="150"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20"/>
        <w:spacing w:after="0" w:line="293"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21"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trials or operating results fail to meet the expectations of analysts, our stock price will likely decline. If one or more of these analysts cease coverage of us or fail to publish reports on us regularly, we could lose visibility in the financial markets, which in turn could cause our stock price or trading volume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76" w:lineRule="exact"/>
        <w:rPr>
          <w:sz w:val="20"/>
          <w:szCs w:val="20"/>
          <w:color w:val="auto"/>
        </w:rPr>
      </w:pPr>
    </w:p>
    <w:p>
      <w:pPr>
        <w:ind w:right="160" w:firstLine="432"/>
        <w:spacing w:after="0" w:line="262" w:lineRule="auto"/>
        <w:rPr>
          <w:sz w:val="20"/>
          <w:szCs w:val="20"/>
          <w:color w:val="auto"/>
        </w:rPr>
      </w:pPr>
      <w:r>
        <w:rPr>
          <w:rFonts w:ascii="Arial" w:cs="Arial" w:eastAsia="Arial" w:hAnsi="Arial"/>
          <w:sz w:val="12"/>
          <w:szCs w:val="12"/>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shares, could reduce the market price of our common stock. Holders of a significant portion of our common stock have rights, subject to specified conditions, to require us to file registration statements covering their shares or to include their shares in registration statements that we may file for ourselves or other stockholders.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July 2019, we issued 1,346,313 shares of our common stock to Bayer. On October 1, 2019, we filed a registration statement on Form S-3 covering the resale of these shares.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September 2021, we issued 3,457,815 shares of our common stock to Pfizer.</w:t>
      </w:r>
    </w:p>
    <w:p>
      <w:pPr>
        <w:spacing w:after="0" w:line="15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2"/>
          <w:szCs w:val="12"/>
          <w:color w:val="auto"/>
        </w:rPr>
        <w:t>In November 2023, in a private placement with certain institutional accredited investors, we issued an aggregate of 12,963,542 shares of our common stock and, to one investor, pre-funded warrants to purchase 3,422,380 shares of our common stock. On December 8, 2023, we filed a registration statement on Form S-3 covering the resale of these shares.</w:t>
      </w:r>
    </w:p>
    <w:p>
      <w:pPr>
        <w:spacing w:after="0" w:line="103"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We have a significant number of shares that are subject to outstanding options and restricted stock units, and in the future we may issue additional options, restricted stock units, or other derivative securities convertible into our common stock under our equity compensation plans. The exercise or vesting of any such options, restricted stock units, or other derivative securities, and the subsequent sale of the underlying common stock, could cause a further decline in our stock price. These sales also might make it difficult for us to sell equity securities in the future at a time and at a price that we deem appropriate. Such sales of our common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color w:val="auto"/>
        </w:rPr>
        <w:t>stock could result in higher than average trading volume and may cause the market price for our common stock to decline.</w:t>
      </w:r>
    </w:p>
    <w:p>
      <w:pPr>
        <w:spacing w:after="0" w:line="15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We currently have on file with the SEC a universal shelf registration statement on Form S-3 which allows us to offer and sell registered common stock, preferred stock, debt securities, depository shares, units and/or warrants from time to time pursuant to one or more offerings at prices and terms to be determined at the time of sale.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August 2021, we entered into an Equity Distribution Agreement with Piper Sandler &amp; Company, or Piper Sandler, and Cantor Fitzgerald &amp; Co., or Cantor, as agents, pursuant to which we we sold</w:t>
      </w:r>
    </w:p>
    <w:p>
      <w:pPr>
        <w:spacing w:after="0" w:line="33"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1,449,275 shares of common stock in at-the-market offerings, resulting in net proceeds of approximately $36.0 million. In November 2023, we amended and restated the Equity Distribution Agreement with Piper Sandler and Cantor, pursuant to which we may offer and sell from time to time, through the agents, up to an additional approximately $262.8 million of the common stock registered under our universal shelf registration statement pursuant to one or more “at-the-market” offerings. During the year ended December 31, 2024, since the amendment and restatement of the agreement, no shares were issued under this agreement.</w:t>
      </w:r>
    </w:p>
    <w:p>
      <w:pPr>
        <w:spacing w:after="0" w:line="117" w:lineRule="exact"/>
        <w:rPr>
          <w:sz w:val="20"/>
          <w:szCs w:val="20"/>
          <w:color w:val="auto"/>
        </w:rPr>
      </w:pPr>
    </w:p>
    <w:p>
      <w:pPr>
        <w:ind w:right="420" w:firstLine="432"/>
        <w:spacing w:after="0" w:line="286" w:lineRule="auto"/>
        <w:rPr>
          <w:sz w:val="20"/>
          <w:szCs w:val="20"/>
          <w:color w:val="auto"/>
        </w:rPr>
      </w:pPr>
      <w:r>
        <w:rPr>
          <w:rFonts w:ascii="Arial" w:cs="Arial" w:eastAsia="Arial" w:hAnsi="Arial"/>
          <w:sz w:val="12"/>
          <w:szCs w:val="12"/>
          <w:color w:val="auto"/>
        </w:rPr>
        <w:t>Sales of substantial amounts of shares of our common stock or other securities by our stockholders under our universal shelf registration statement, including pursuant to our "at-the-market" offering program, or otherwise could also dilute our stockholders.</w:t>
      </w:r>
    </w:p>
    <w:p>
      <w:pPr>
        <w:spacing w:after="0" w:line="177" w:lineRule="exact"/>
        <w:rPr>
          <w:sz w:val="20"/>
          <w:szCs w:val="20"/>
          <w:color w:val="auto"/>
        </w:rPr>
      </w:pPr>
    </w:p>
    <w:p>
      <w:pPr>
        <w:ind w:right="140"/>
        <w:spacing w:after="0" w:line="293" w:lineRule="auto"/>
        <w:rPr>
          <w:sz w:val="20"/>
          <w:szCs w:val="20"/>
          <w:color w:val="auto"/>
        </w:rPr>
      </w:pPr>
      <w:r>
        <w:rPr>
          <w:rFonts w:ascii="Arial" w:cs="Arial" w:eastAsia="Arial" w:hAnsi="Arial"/>
          <w:sz w:val="12"/>
          <w:szCs w:val="12"/>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a public company, we incur significant legal, accounting and other expenses that we did not incur as a private company. The Sarbanes-Oxley Act of 2002, or Sarbanes-Oxley, the Dodd-Frank Wall Street Reform and Consumer Protection Act, the listing requirements of The Nasdaq Global Select Market and other applicable securities rules and regulations, including those promulgated by the SEC,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19"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Pursuant to Section 404 of Sarbanes-Oxley, or Section 404, we are required to furnish a report by our management on our internal control over financial reporting. To achieve compliance with Section 404, we are engaged in a process to document and evaluate our internal control over financial reporting and internal controls, which is both costly and challenging. In this regard, we will need to continue to dedicate internal resources, potentially engage outside consultants and carry out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If we identify one or more material weaknesses, it could result in harm to our reputation or an adverse reaction in the financial markets and it could restrict our future access to the capital markets due to a loss of confidence in the reliability of our consolidated financial statements which would materially harm our business.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27" w:name="page128"/>
    <w:bookmarkEnd w:id="127"/>
    <w:p>
      <w:pPr>
        <w:spacing w:after="0" w:line="264" w:lineRule="auto"/>
        <w:rPr>
          <w:sz w:val="20"/>
          <w:szCs w:val="20"/>
          <w:color w:val="auto"/>
        </w:rPr>
      </w:pPr>
      <w:r>
        <w:rPr>
          <w:rFonts w:ascii="Arial" w:cs="Arial" w:eastAsia="Arial" w:hAnsi="Arial"/>
          <w:sz w:val="12"/>
          <w:szCs w:val="12"/>
          <w:b w:val="1"/>
          <w:bCs w:val="1"/>
          <w:i w:val="1"/>
          <w:iCs w:val="1"/>
          <w:color w:val="auto"/>
        </w:rPr>
        <w:t>Our certificate of incorporation provides that the Court of Chancery of the State of Delaware will be the exclusive forum for substantially all disputes between us and our stockholders. Our certificate of incorporation further provides that the federal district courts of the United States are the sole and exclusive forum for the resolution of any complaint asserting a cause of action arising under the Securities Act of 1933, as amended. These choice of forum provisions could limit our stockholders’ ability to obtain a favorable judicial forum for disputes with us or our directors, officers, employees or other stockholders.</w:t>
      </w:r>
    </w:p>
    <w:p>
      <w:pPr>
        <w:spacing w:after="0" w:line="39"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Our certificate of incorporation provides that the Court of Chancery of the State of Delaware is the exclusive forum for any derivative action or proceeding brought on our behalf, any action asserting a breach of fiduciary duty owed by our directors, officers, other employees or stockholders to the company or our stockholders, any action asserting a claim against us arising pursuant to the Delaware General Corporation Law or as to which the Delaware General Corporation Law confers jurisdiction on the Court of Chancery of the State of Delaware, or any action asserting a claim arising pursuant to our certificate of incorporation or our bylaws or governed by the internal affairs doctrine. Our certificate of incorporation further provides that,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of 1933, as amended. These choice of forum provisions may limit a stockholder’s ability to bring a claim in a judicial forum that such stockholder finds favorable for disputes with us or our directors, officers, other employees or other stockholders, which may discourage such lawsuits against us and our directors, officers, other employees or other stockholders. Alternatively, if a court were to find this provision in our certificate of incorporation to be inapplicable or unenforceable in an action, we may incur additional costs associated with resolving such action in other jurisdictions, which could adversely affect our business and financial condition.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have never paid and do not anticipate paying any cash dividends on our capital stock in the foreseeable future, capital appreciation, if any, will be our stockholders’ sole source of gain.</w:t>
      </w:r>
    </w:p>
    <w:p>
      <w:pPr>
        <w:spacing w:after="0" w:line="76" w:lineRule="exact"/>
        <w:rPr>
          <w:sz w:val="20"/>
          <w:szCs w:val="20"/>
          <w:color w:val="auto"/>
        </w:rPr>
      </w:pPr>
    </w:p>
    <w:p>
      <w:pPr>
        <w:jc w:val="both"/>
        <w:ind w:right="40" w:firstLine="432"/>
        <w:spacing w:after="0" w:line="262" w:lineRule="auto"/>
        <w:rPr>
          <w:sz w:val="20"/>
          <w:szCs w:val="20"/>
          <w:color w:val="auto"/>
        </w:rPr>
      </w:pPr>
      <w:r>
        <w:rPr>
          <w:rFonts w:ascii="Arial" w:cs="Arial" w:eastAsia="Arial" w:hAnsi="Arial"/>
          <w:sz w:val="12"/>
          <w:szCs w:val="12"/>
          <w:color w:val="auto"/>
        </w:rPr>
        <w:t>We have never declared or paid cash dividends on our capital stock. We currently intend to retain all of our future earnings, if any, to finance the growth and development of our business. We do not intend to pay cash dividends in respect of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 As a result, capital appreciation, if any, of our common stock will be our stockholders’ sole source of gain for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1C. Cybersecurity.</w:t>
      </w:r>
    </w:p>
    <w:p>
      <w:pPr>
        <w:spacing w:after="0" w:line="7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2"/>
          <w:szCs w:val="12"/>
          <w:color w:val="auto"/>
        </w:rPr>
        <w:t>We have processes for assessing, identifying and managing cybersecurity risks, which are built into our information technology function and are designed to provide protection for our information assets and operations from internal and external cyber threats, including protecting employee and patient information from unauthorized access or attack, as well as secure our networks and systems. These processes include physical, procedural and technical safeguards, response plans, regular tests on our systems, incident simulations and routine reviews of our policies and procedures to identify risks and enhance our practices. As part of our overall risk mitigation strategy, we maintain cyber insurance coverage; however, such insurance may not be sufficient in type or amount to cover us against claims related to security breaches, cyber-attacks and other related breaches. We have engaged external parties, including consultants, computer security firms and risk management, and legal and governance experts, to enhance our cybersecurity oversight. We also employ processes to identify material risks from cybersecurity threats associated with our use of third-party service providers.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5" w:right="339" w:bottom="1440" w:gutter="0" w:footer="0" w:header="0"/>
        </w:sectPr>
      </w:pPr>
    </w:p>
    <w:bookmarkStart w:id="128" w:name="page129"/>
    <w:bookmarkEnd w:id="128"/>
    <w:p>
      <w:pPr>
        <w:ind w:firstLine="432"/>
        <w:spacing w:after="0" w:line="259" w:lineRule="auto"/>
        <w:rPr>
          <w:sz w:val="20"/>
          <w:szCs w:val="20"/>
          <w:color w:val="auto"/>
        </w:rPr>
      </w:pPr>
      <w:r>
        <w:rPr>
          <w:rFonts w:ascii="Arial" w:cs="Arial" w:eastAsia="Arial" w:hAnsi="Arial"/>
          <w:sz w:val="12"/>
          <w:szCs w:val="12"/>
          <w:color w:val="auto"/>
        </w:rPr>
        <w:t>Based on an assessment using the previously described risk mitigation strategy, we do not believe there are currently any risks from known cybersecurity threats, including as a result of any prior cybersecurity incidents, that have materially affected or are reasonably likely to materially affect us, including our business strategy, results of operations, or financial condition. See “</w:t>
      </w:r>
      <w:r>
        <w:rPr>
          <w:rFonts w:ascii="Arial" w:cs="Arial" w:eastAsia="Arial" w:hAnsi="Arial"/>
          <w:sz w:val="12"/>
          <w:szCs w:val="12"/>
          <w:i w:val="1"/>
          <w:iCs w:val="1"/>
          <w:color w:val="auto"/>
        </w:rPr>
        <w:t>Our internal computer systems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those of our collaborators, contractors, consultants and other third parties are vulnerable to cyber attacks, cyber intrusions and security breaches, which could not only materially disrupt our business operations and result in the loss of confidential information, but could also damage the integrity of our clinical trials, impact our regulatory filings, compromise our ability to protect our intellectual property, and subject us to regulatory actions that could result in significant fines or other penalties” </w:t>
      </w:r>
      <w:r>
        <w:rPr>
          <w:rFonts w:ascii="Arial" w:cs="Arial" w:eastAsia="Arial" w:hAnsi="Arial"/>
          <w:sz w:val="12"/>
          <w:szCs w:val="12"/>
          <w:color w:val="auto"/>
        </w:rPr>
        <w:t>in Part I, Item 1A. “Risk Factors” for additional information.</w:t>
      </w:r>
    </w:p>
    <w:p>
      <w:pPr>
        <w:spacing w:after="0" w:line="119" w:lineRule="exact"/>
        <w:rPr>
          <w:sz w:val="20"/>
          <w:szCs w:val="20"/>
          <w:color w:val="auto"/>
        </w:rPr>
      </w:pPr>
    </w:p>
    <w:p>
      <w:pPr>
        <w:jc w:val="both"/>
        <w:ind w:right="140" w:firstLine="432"/>
        <w:spacing w:after="0" w:line="268" w:lineRule="auto"/>
        <w:rPr>
          <w:sz w:val="20"/>
          <w:szCs w:val="20"/>
          <w:color w:val="auto"/>
        </w:rPr>
      </w:pPr>
      <w:r>
        <w:rPr>
          <w:rFonts w:ascii="Arial" w:cs="Arial" w:eastAsia="Arial" w:hAnsi="Arial"/>
          <w:sz w:val="12"/>
          <w:szCs w:val="12"/>
          <w:color w:val="auto"/>
        </w:rPr>
        <w:t>Our Audit Committee of our Board of Directors, or the Audit Committee, provides direct cybersecurity risk oversight, and provides regular updates to the Board of Directors regarding such oversight. The Audit Committee receives quarterly updates from management and the Cybersecurity Board, as discussed in further detail below, regarding cybersecurity matters, and is notified between such updates regarding significant new cybersecurity risks, threats or incidents. We also provide updates to the full Board of Directors regarding cybersecurity risks, threat landscape and risks, as appropriate.</w:t>
      </w:r>
    </w:p>
    <w:p>
      <w:pPr>
        <w:spacing w:after="0" w:line="1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We have a cross-functional Cybersecurity Board led by our Senior Vice President, Information Technology Systems &amp; Security serving as the chair and consisting of executive-level and non-executive level leaders, including among others, our Chief Financial Officer and General Counsel. This board is responsible for reviewing, engaging and making decisions related to the execution and continuous improvement of cybersecurity strategy, processes and governance impacting our information systems, employees, partners and patients. Our Senior Vice President, Information Technology Systems &amp; Security leads the operational oversight of company-wide cybersecurity strategy, policy, standards and processes and works across relevant departments to assess and help prepare us and our employees to address cybersecurity risks. Our Senior Vice President, Information Technology Systems &amp; Security is an experienced senior leader with more than 25 years of experience in information technology within the pharmaceutical industry leading a team of employees and consultants with a breadth of experience including security management experience along with CISSP certification.</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an effort to deter and detect cyber threats, we periodically provide our workforce, including all employees and contingent staff, with a privacy, data protection, cybersecurity and incident response, and prevention education and awareness program, which includes annual and supplemental training covering a range of timely and relevant topics. Past topics have included social engineering, phishing, password protection, confidential data protection, asset use, and mobile security. This education and awareness program functions to educate employees on the importance of reporting all incidents immediately. In addition, we perform monthly phishing test campaigns to reinforce identification and reporting training. We automatically assign online reinforcement training upon initial phish test failure and may follow-up one-on-one as needed. We also use technology-based tools to mitigate cybersecurity risks and to bolster our employee-based cybersecurity programs. Lastly, we perform annual penetration tests conducted by independent, third-party cybersecurity firms and ongoing vulnerability assessments conducted by the internal security team.</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78" w:lineRule="exact"/>
        <w:rPr>
          <w:sz w:val="20"/>
          <w:szCs w:val="20"/>
          <w:color w:val="auto"/>
        </w:rPr>
      </w:pPr>
    </w:p>
    <w:p>
      <w:pPr>
        <w:ind w:right="20" w:firstLine="416"/>
        <w:spacing w:after="0" w:line="259" w:lineRule="auto"/>
        <w:rPr>
          <w:sz w:val="20"/>
          <w:szCs w:val="20"/>
          <w:color w:val="auto"/>
        </w:rPr>
      </w:pPr>
      <w:r>
        <w:rPr>
          <w:rFonts w:ascii="Arial" w:cs="Arial" w:eastAsia="Arial" w:hAnsi="Arial"/>
          <w:sz w:val="12"/>
          <w:szCs w:val="12"/>
          <w:color w:val="auto"/>
        </w:rPr>
        <w:t>As of December 31, 2024, we leased approximately 66,000 square feet of office and laboratory space in New Haven, Connecticut. On December 31, 2024 and February 10, 2025, we entered into certain lease amendments, and on January 15, 2025, we entered into a lease termination agreement, with respect to certain of our rented office and laboratory space. As a result of these amendments and termination, we currently lease approximately 70,600 square feet of office and laboratory space in New Haven, Connecticut under leases, as amended, that expire in December 2029. Beginning March 1, 2025, we will lease approximately 73,500 square feet of office and laboratory space in New Haven, Connecticut under leases, as amended, that expire in December 2029. We believe that our facilities are sufficient to meet our current needs and that suitable additional or alternative space will be available as and when needed on commercially reasonable terms for our future growth.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b w:val="1"/>
          <w:bCs w:val="1"/>
          <w:color w:val="auto"/>
        </w:rPr>
        <w:t>Item 3. Legal Proceedings.</w:t>
      </w:r>
    </w:p>
    <w:p>
      <w:pPr>
        <w:spacing w:after="0" w:line="78"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2"/>
          <w:szCs w:val="12"/>
          <w:color w:val="auto"/>
        </w:rPr>
        <w:t>From time to time, we may become involved in litigation or other legal proceedings arising in the ordinary course of business and regardless of outcome, litigation can have an adverse impact on our business, financial condition, results of operations and prospects because of defense and settlement costs, diversion of management resources and other factors. We are not currently a party to any material litigation or legal proceedings.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00"/>
          </w:cols>
          <w:pgMar w:left="300" w:top="883" w:right="69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common stock is publicly traded on the Nasdaq Global Select Market under the symbol “ARVN.”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February 7, 2025, there were approximately 23 holders of record of our common stock. This number does not include beneficial owners whose shares are held by nominees in street name.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78"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We have never declared or paid cash dividends on our common stock. We currently intend to retain all of our future earnings, if any, to finance the growth and development of our business. We do not intend to pay cash dividends in respect of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issue any securities that were not registered under the Securities Act of 1933, as amended, or the Securities Act, during the year ended December 31, 2024.</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purchase any of our registered equity securities during the period covered by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following performance graph shows a comparison of cumulative total shareholder returns on our common stock with the Nasdaq Composite Index and the Nasdaq Biotechnology Index from December 31, 2019 through December 31, 2024. The graph assumes an investment of $100 on December 31, 2019 in our common stock,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83" w:right="3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523240</wp:posOffset>
            </wp:positionV>
            <wp:extent cx="3503295" cy="2171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[Reserved]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0" w:lineRule="exact"/>
        <w:rPr>
          <w:sz w:val="20"/>
          <w:szCs w:val="20"/>
          <w:color w:val="auto"/>
        </w:rPr>
      </w:pPr>
    </w:p>
    <w:p>
      <w:pPr>
        <w:ind w:right="60" w:firstLine="432"/>
        <w:spacing w:after="0" w:line="258" w:lineRule="auto"/>
        <w:rPr>
          <w:sz w:val="20"/>
          <w:szCs w:val="20"/>
          <w:color w:val="auto"/>
        </w:rPr>
      </w:pPr>
      <w:r>
        <w:rPr>
          <w:rFonts w:ascii="Arial" w:cs="Arial" w:eastAsia="Arial" w:hAnsi="Arial"/>
          <w:sz w:val="12"/>
          <w:szCs w:val="12"/>
          <w:i w:val="1"/>
          <w:iCs w:val="1"/>
          <w:color w:val="auto"/>
        </w:rPr>
        <w:t>The following discussion and analysis is meant to provide material information relevant to an assessment of the financial condition and results of operations of our company, including an evaluation of the amount and certainty of cash flows from operations and from outside sources, so as to allow investors to better view our company from management's perspective. You should read the following discussion and analysis of financial condition and results of operations together with our consolidated financial statements and the related notes appearing elsewhere in this Annual Report on Form 10-K. This discussion contains forward-looking statements that involve risks and uncertainties. As a result of many factors, such as those set forth in the section titled “Risk Factors” and elsewhere in this Annual Report on Form 10-K, our actual results may differ materially from those anticipated in or implied by these forward-looking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Overview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Our Business</w:t>
      </w:r>
    </w:p>
    <w:p>
      <w:pPr>
        <w:spacing w:after="0" w:line="7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are a clinical-stage biotechnology company dedicated to improving the lives of patients suffering from debilitating and life-threatening diseases. Through our PROteolysis TArgeting Chimera, or PROTAC, Discovery Engine, our technology platform to engineer proteolysis-targeting chimeras, or PROTAC targeted protein degraders, we are pioneering the development of protein degradation therapies designed to harness the body’s own natural protein disposal system to selectively and efficiently degrade and remove disease-causing proteins. We believe that our targeted protein degradation approach is a therapeutic modality that may provide distinct advantages over existing modalities, including traditional small molecule therapies and gene-based medicines. We have a robust preclinical pipeline of PROTAC protein degraders targeting a broad range of intracellular disease targets, including those representing proteins that currently cannot be addressed by existing small molecule therapies, commonly referred to as “undruggable” targets. We are using our PROTAC Discovery Engine to build an extensive pipeline of protein degradation product candidates to target diseases in areas of unmet need, including oncology (including hematology and immuno-oncology), neuroscience, and other therapeutic areas. We and our collaborators have initiated programs across multiple therapeutic areas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132" w:name="page133"/>
    <w:bookmarkEnd w:id="132"/>
    <w:p>
      <w:pPr>
        <w:ind w:right="240"/>
        <w:spacing w:after="0" w:line="262" w:lineRule="auto"/>
        <w:rPr>
          <w:sz w:val="20"/>
          <w:szCs w:val="20"/>
          <w:color w:val="auto"/>
        </w:rPr>
      </w:pPr>
      <w:r>
        <w:rPr>
          <w:rFonts w:ascii="Arial" w:cs="Arial" w:eastAsia="Arial" w:hAnsi="Arial"/>
          <w:sz w:val="12"/>
          <w:szCs w:val="12"/>
          <w:color w:val="auto"/>
        </w:rPr>
        <w:t>with the goal of developing and delivering life-changing therapies to patients in need. We are currently progressing multiple product candidates through clinical development programs, including vepdegestrant, targeting the estrogen receptor, or ER, for the treatment of locally advanced or metastatic ER positive / human epidermal growth factor receptor 2, or HER2, negative, or ER+/HER2-, breast cancer; ARV-393, targeting the B-cell lymphoma 6, or BCL6, protein for the treatment of relapsed/refractory non-Hodgkin Lymphoma, or NHL; and ARV-102, targeting the leucine-rich repeat kinase 2, or LRRK2, protein for the treatment of neurodegenerative disorders. We also have programs in preclinical development, including our Kirsten rat sarcoma, or KRAS, G12D program.</w:t>
      </w:r>
    </w:p>
    <w:p>
      <w:pPr>
        <w:spacing w:after="0" w:line="117" w:lineRule="exact"/>
        <w:rPr>
          <w:sz w:val="20"/>
          <w:szCs w:val="20"/>
          <w:color w:val="auto"/>
        </w:rPr>
      </w:pPr>
    </w:p>
    <w:p>
      <w:pPr>
        <w:ind w:right="60" w:firstLine="432"/>
        <w:spacing w:after="0" w:line="297" w:lineRule="auto"/>
        <w:rPr>
          <w:sz w:val="20"/>
          <w:szCs w:val="20"/>
          <w:color w:val="auto"/>
        </w:rPr>
      </w:pPr>
      <w:r>
        <w:rPr>
          <w:rFonts w:ascii="Arial" w:cs="Arial" w:eastAsia="Arial" w:hAnsi="Arial"/>
          <w:sz w:val="12"/>
          <w:szCs w:val="12"/>
          <w:color w:val="auto"/>
        </w:rPr>
        <w:t>In addition to the programs above and our early-stage collaborations, including with Pfizer, Inc., or Pfizer, and Genentech, Inc. and F. Hoffman-La Roche Ltd., or Genentech, we are conducting exploratory research and development work on multiple other undisclosed targets</w:t>
      </w:r>
      <w:r>
        <w:rPr>
          <w:rFonts w:ascii="Arial" w:cs="Arial" w:eastAsia="Arial" w:hAnsi="Arial"/>
          <w:sz w:val="14"/>
          <w:szCs w:val="14"/>
          <w:color w:val="auto"/>
        </w:rPr>
        <w:t>.</w:t>
      </w:r>
    </w:p>
    <w:p>
      <w:pPr>
        <w:spacing w:after="0" w:line="98" w:lineRule="exact"/>
        <w:rPr>
          <w:sz w:val="20"/>
          <w:szCs w:val="20"/>
          <w:color w:val="auto"/>
        </w:rPr>
      </w:pPr>
    </w:p>
    <w:p>
      <w:pPr>
        <w:ind w:firstLine="432"/>
        <w:spacing w:after="0" w:line="268" w:lineRule="auto"/>
        <w:rPr>
          <w:sz w:val="20"/>
          <w:szCs w:val="20"/>
          <w:color w:val="auto"/>
        </w:rPr>
      </w:pPr>
      <w:r>
        <w:rPr>
          <w:rFonts w:ascii="Arial" w:cs="Arial" w:eastAsia="Arial" w:hAnsi="Arial"/>
          <w:sz w:val="11"/>
          <w:szCs w:val="11"/>
          <w:color w:val="auto"/>
        </w:rPr>
        <w:t>Further, in 2024, we had two programs designed to target the androgen receptor, or AR, luxdegalutamide (ARV-766) and bavdegalutamide (ARV-110). In the second quarter of 2024, we entered into and closed a transaction, or the Novartis Transaction, with Novartis Pharma AG, or Novartis, pursuant to which we granted Novartis an exclusive worldwide license for the development, manufacture and commercialization of luxdegalutamide (ARV-766). As of December 31, 2024, we completed the transition of our ongoing and planned clinical trials of luxdegalutamide (ARV-766) to Novartis. Based on a decision early in the fourth quarter of 2023 to prioritize clinical development of luxdegalutamide (ARV-766), we will not be enrolling new patients into our ongoing trial activities with bavdegalutamide (ARV-110-101 and ARV-</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110-103) and we expect to wind down our bavdegalutamide programs after completion of these ongoing clinical trials.</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Oncology Programs: Vepdegestrant and ARV-393</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Estrogen Receptor Program: Vepdegestrant</w:t>
      </w:r>
    </w:p>
    <w:p>
      <w:pPr>
        <w:spacing w:after="0" w:line="76"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Vepdegestrant is an investigational orally bioavailable PROTAC protein degrader designed to target and degrade the ER for the treatment of patients with locally advanced or metastatic ER+/HER2- breast cancer. We are co-developing vepdegestrant with Pfizer pursuant to a collaboration agreement that we and Pfizer entered into in July 2021. We granted Pfizer worldwide co-exclusive rights to develop and commercialize vepdegestrant.</w:t>
      </w:r>
    </w:p>
    <w:p>
      <w:pPr>
        <w:spacing w:after="0" w:line="114"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In preclinical studies, vepdegestrant demonstrated near-complete ER degradation in tumor cells, induced robust tumor shrinkage when dosed as a single agent in multiple ER-driven xenograft models and showed superior anti-tumor activity when compared to a standard of care agent, fulvestrant, both as a single agent and in combination with a cyclin-dependent kinase, or CDK, 4/6 inhibitor.</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along with Pfizer, have several ongoing clinical trials of vepdegestrant, designed to potentially position vepdegestrant as a backbone ER-targeting therapy in treating breast cancer, including:</w:t>
      </w:r>
    </w:p>
    <w:p>
      <w:pPr>
        <w:spacing w:after="0" w:line="78" w:lineRule="exact"/>
        <w:rPr>
          <w:sz w:val="20"/>
          <w:szCs w:val="20"/>
          <w:color w:val="auto"/>
        </w:rPr>
      </w:pPr>
    </w:p>
    <w:p>
      <w:pPr>
        <w:ind w:left="860" w:right="140" w:hanging="220"/>
        <w:spacing w:after="0" w:line="286" w:lineRule="auto"/>
        <w:tabs>
          <w:tab w:leader="none" w:pos="857" w:val="left"/>
        </w:tabs>
        <w:numPr>
          <w:ilvl w:val="0"/>
          <w:numId w:val="66"/>
        </w:numPr>
        <w:rPr>
          <w:rFonts w:ascii="Arial" w:cs="Arial" w:eastAsia="Arial" w:hAnsi="Arial"/>
          <w:sz w:val="12"/>
          <w:szCs w:val="12"/>
          <w:color w:val="auto"/>
        </w:rPr>
      </w:pPr>
      <w:r>
        <w:rPr>
          <w:rFonts w:ascii="Arial" w:cs="Arial" w:eastAsia="Arial" w:hAnsi="Arial"/>
          <w:sz w:val="12"/>
          <w:szCs w:val="12"/>
          <w:color w:val="auto"/>
        </w:rPr>
        <w:t>VERITAC-2, a Phase 3 second/third-line clinical trial evaluating vepdegestrant as a monotherapy, in advanced/metastatic breast cancer patients, for which we completed enrollment of patients in the fourth quarter of 2024;</w:t>
      </w:r>
    </w:p>
    <w:p>
      <w:pPr>
        <w:spacing w:after="0" w:line="31" w:lineRule="exact"/>
        <w:rPr>
          <w:rFonts w:ascii="Arial" w:cs="Arial" w:eastAsia="Arial" w:hAnsi="Arial"/>
          <w:sz w:val="12"/>
          <w:szCs w:val="12"/>
          <w:color w:val="auto"/>
        </w:rPr>
      </w:pPr>
    </w:p>
    <w:p>
      <w:pPr>
        <w:ind w:left="860" w:right="360" w:hanging="220"/>
        <w:spacing w:after="0" w:line="286" w:lineRule="auto"/>
        <w:tabs>
          <w:tab w:leader="none" w:pos="857" w:val="left"/>
        </w:tabs>
        <w:numPr>
          <w:ilvl w:val="0"/>
          <w:numId w:val="66"/>
        </w:numPr>
        <w:rPr>
          <w:rFonts w:ascii="Arial" w:cs="Arial" w:eastAsia="Arial" w:hAnsi="Arial"/>
          <w:sz w:val="12"/>
          <w:szCs w:val="12"/>
          <w:color w:val="auto"/>
        </w:rPr>
      </w:pPr>
      <w:r>
        <w:rPr>
          <w:rFonts w:ascii="Arial" w:cs="Arial" w:eastAsia="Arial" w:hAnsi="Arial"/>
          <w:sz w:val="12"/>
          <w:szCs w:val="12"/>
          <w:color w:val="auto"/>
        </w:rPr>
        <w:t>VERITAC, a Phase 2 dose expansion trial to evaluate two doses (200 mg and 500 mg) of vepdegestrant monotherapy in metastatic breast cancer patients, for which enrollment of patients is complete;</w:t>
      </w:r>
    </w:p>
    <w:p>
      <w:pPr>
        <w:spacing w:after="0" w:line="31" w:lineRule="exact"/>
        <w:rPr>
          <w:rFonts w:ascii="Arial" w:cs="Arial" w:eastAsia="Arial" w:hAnsi="Arial"/>
          <w:sz w:val="12"/>
          <w:szCs w:val="12"/>
          <w:color w:val="auto"/>
        </w:rPr>
      </w:pPr>
    </w:p>
    <w:p>
      <w:pPr>
        <w:ind w:left="860" w:hanging="220"/>
        <w:spacing w:after="0"/>
        <w:tabs>
          <w:tab w:leader="none" w:pos="8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TACTIVE-K, a Phase 1b/2 clinical trial of vepdegestrant in combination with Pfizer's CDK4, inhibitor, atirmociclib (PF-07220060), for which we are currently enrolling patients globally;</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TACTIVE-N, a Phase 2 clinical trial of vepdegestrant as a monotherapy in the neoadjuvant breast cancer setting, for which we completed enrollment of patients in the first quarter of 2024;</w:t>
      </w:r>
    </w:p>
    <w:p>
      <w:pPr>
        <w:spacing w:after="0" w:line="78" w:lineRule="exact"/>
        <w:rPr>
          <w:rFonts w:ascii="Arial" w:cs="Arial" w:eastAsia="Arial" w:hAnsi="Arial"/>
          <w:sz w:val="12"/>
          <w:szCs w:val="12"/>
          <w:color w:val="auto"/>
        </w:rPr>
      </w:pPr>
    </w:p>
    <w:p>
      <w:pPr>
        <w:ind w:left="860" w:right="100" w:hanging="220"/>
        <w:spacing w:after="0" w:line="286" w:lineRule="auto"/>
        <w:tabs>
          <w:tab w:leader="none" w:pos="857" w:val="left"/>
        </w:tabs>
        <w:numPr>
          <w:ilvl w:val="0"/>
          <w:numId w:val="66"/>
        </w:numPr>
        <w:rPr>
          <w:rFonts w:ascii="Arial" w:cs="Arial" w:eastAsia="Arial" w:hAnsi="Arial"/>
          <w:sz w:val="12"/>
          <w:szCs w:val="12"/>
          <w:color w:val="auto"/>
        </w:rPr>
      </w:pPr>
      <w:r>
        <w:rPr>
          <w:rFonts w:ascii="Arial" w:cs="Arial" w:eastAsia="Arial" w:hAnsi="Arial"/>
          <w:sz w:val="12"/>
          <w:szCs w:val="12"/>
          <w:color w:val="auto"/>
        </w:rPr>
        <w:t>TACTIVE-U, Phase 1b/2 clinical trials of vepdegestrant in combination with multiple targeted therapies including abemaciclib, ribociclib or Carrick Therapeutics, Inc.'s, or Carrick, cyclin-dependent kinase 7, or CDK7 inhibitor, samuraciclib, for which we have completed enrollment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33" w:name="page134"/>
    <w:bookmarkEnd w:id="133"/>
    <w:p>
      <w:pPr>
        <w:ind w:left="860"/>
        <w:spacing w:after="0"/>
        <w:rPr>
          <w:sz w:val="20"/>
          <w:szCs w:val="20"/>
          <w:color w:val="auto"/>
        </w:rPr>
      </w:pPr>
      <w:r>
        <w:rPr>
          <w:rFonts w:ascii="Arial" w:cs="Arial" w:eastAsia="Arial" w:hAnsi="Arial"/>
          <w:sz w:val="12"/>
          <w:szCs w:val="12"/>
          <w:color w:val="auto"/>
        </w:rPr>
        <w:t>for the abemaciclib trial and are currently enrolling patients globally for the ribociclib and samuraciclib trials; and</w:t>
      </w:r>
    </w:p>
    <w:p>
      <w:pPr>
        <w:spacing w:after="0" w:line="78" w:lineRule="exact"/>
        <w:rPr>
          <w:sz w:val="20"/>
          <w:szCs w:val="20"/>
          <w:color w:val="auto"/>
        </w:rPr>
      </w:pPr>
    </w:p>
    <w:p>
      <w:pPr>
        <w:ind w:left="860" w:hanging="220"/>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TACTIVE-E, a Phase 1b clinical trial evaluating vepdegestrant in combination with everolimus in metastatic breast cancer patients, for which enrollment of patients is complete.</w:t>
      </w:r>
    </w:p>
    <w:p>
      <w:pPr>
        <w:spacing w:after="0" w:line="150"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As part of our global collaboration with Pfizer, we expect to announce topline data for the VERITAC-2 clinical trial in a topline press release in the first quarter of 2025 and present the full results of the VERITAC-2 clinical trial at a medical conference in 2025. We completed enrollment for this clinical trial in the fourth quarter of 2024.</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Additional detail regarding each of these trials, the I-SPY-2 trial and certain other vepdegestrant trials, is included in </w:t>
      </w:r>
      <w:r>
        <w:rPr>
          <w:rFonts w:ascii="Arial" w:cs="Arial" w:eastAsia="Arial" w:hAnsi="Arial"/>
          <w:sz w:val="12"/>
          <w:szCs w:val="12"/>
          <w:i w:val="1"/>
          <w:iCs w:val="1"/>
          <w:color w:val="auto"/>
        </w:rPr>
        <w:t>Part I, Item 1. Business</w:t>
      </w:r>
      <w:r>
        <w:rPr>
          <w:rFonts w:ascii="Arial" w:cs="Arial" w:eastAsia="Arial" w:hAnsi="Arial"/>
          <w:sz w:val="12"/>
          <w:szCs w:val="12"/>
          <w:color w:val="auto"/>
        </w:rPr>
        <w:t xml:space="preserve"> of this Annual Report on Form 10-K.</w:t>
      </w:r>
    </w:p>
    <w:p>
      <w:pPr>
        <w:spacing w:after="0" w:line="150"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In the first quarter of 2025, we announced that we, as part of our global collaboration with Pfizer, plan to initiate two new Phase 3 combination trials of vepdegestrant in patients with ER+/HER2- metastatic breast cancer in 2025, pending emerging data and regulatory feedback:</w:t>
      </w:r>
    </w:p>
    <w:p>
      <w:pPr>
        <w:spacing w:after="0" w:line="56" w:lineRule="exact"/>
        <w:rPr>
          <w:sz w:val="20"/>
          <w:szCs w:val="20"/>
          <w:color w:val="auto"/>
        </w:rPr>
      </w:pPr>
    </w:p>
    <w:p>
      <w:pPr>
        <w:ind w:left="860" w:hanging="220"/>
        <w:spacing w:after="0"/>
        <w:tabs>
          <w:tab w:leader="none" w:pos="860" w:val="left"/>
        </w:tabs>
        <w:numPr>
          <w:ilvl w:val="0"/>
          <w:numId w:val="68"/>
        </w:numPr>
        <w:rPr>
          <w:rFonts w:ascii="Arial" w:cs="Arial" w:eastAsia="Arial" w:hAnsi="Arial"/>
          <w:sz w:val="14"/>
          <w:szCs w:val="14"/>
          <w:color w:val="auto"/>
        </w:rPr>
      </w:pPr>
      <w:r>
        <w:rPr>
          <w:rFonts w:ascii="Arial" w:cs="Arial" w:eastAsia="Arial" w:hAnsi="Arial"/>
          <w:sz w:val="12"/>
          <w:szCs w:val="12"/>
          <w:color w:val="auto"/>
        </w:rPr>
        <w:t>A first-line Phase 3 combination trial with Pfizer’s CDK4 inhibitor, atirmociclib; and</w:t>
      </w:r>
    </w:p>
    <w:p>
      <w:pPr>
        <w:spacing w:after="0" w:line="82" w:lineRule="exact"/>
        <w:rPr>
          <w:rFonts w:ascii="Arial" w:cs="Arial" w:eastAsia="Arial" w:hAnsi="Arial"/>
          <w:sz w:val="14"/>
          <w:szCs w:val="14"/>
          <w:color w:val="auto"/>
        </w:rPr>
      </w:pPr>
    </w:p>
    <w:p>
      <w:pPr>
        <w:ind w:left="860" w:hanging="220"/>
        <w:spacing w:after="0"/>
        <w:tabs>
          <w:tab w:leader="none" w:pos="86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2"/>
          <w:szCs w:val="12"/>
          <w:color w:val="auto"/>
        </w:rPr>
        <w:t>A second-line Phase 3 combination trial with a CDK/6 inhibitor.</w:t>
      </w:r>
    </w:p>
    <w:p>
      <w:pPr>
        <w:spacing w:after="0" w:line="12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With the prioritization of the vepdegestrant plus atirmociclib combination for the first-line setting, VERITAC-3, a Phase 3 clinical trial evaluating vepdegestrant plus IBRANCE® (palbociclib) in the first-line setting, will not proceed beyond the study lead-in. We and Pfizer had previously gained alignment with the FDA on an approach for VERITAC-3 in the first quarter of 2023, and in the second quarter of 2023, we, along with Pfizer, initiated the study-lead in of the VERITAC-3 Phase 3 clinical trial in combination with palbociclib as a first-line treatment in patients with ER+/HER2- locally advanced or metastatic breast cancer. We completed enrollment of patients in the study lead-in of VERITAC-3 in the second quarter of 2024. The decision to prioritize vepdegestrant in combination with atirmociclib in the first-line setting was based on the totality of evidence from the ongoing Phase 1b/2 TACTIVE-K combination clinical trial evaluating vepdegestrant in combination with atirmociclib in the late-line setting and our trials evaluating vepdegestrant in combination with palbociclib.</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Hematology Program: ARV-393</w:t>
      </w:r>
    </w:p>
    <w:p>
      <w:pPr>
        <w:spacing w:after="0" w:line="76"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ARV-393 is an investigational, orally bioavailable PROTAC designed to degrade BCL6, a transcriptional repressor and a key regulator of normal B-cell maturation and differentiation processes. Deregulation of BCL6 function (e.g., via chromosomal translocation, mutations) may lead to malignant transformation and development of NHL. Prior to the advent of PROTAC technology, the BCL6 protein was considered "undruggable." We believe that ARV-393 PROTAC-mediated degradation of BCL6 may provide an important novel therapeutic option for patients with NHL.</w:t>
      </w:r>
    </w:p>
    <w:p>
      <w:pPr>
        <w:spacing w:after="0" w:line="42"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In the second quarter of 2024, we presented preclinical data for ARV-393 at the European Hematology Association 2024 Annual Congress, which showed anti-tumor activity in preclinical models of B-cell lymphoma. In these preclinical models, ARV-393 potently and rapidly degraded the BCL6 protein and inhibited cell growth in DLBCL and Burkitt cell lines. ARV-393 showed tumor growth inhibition, including tumor regression, in various DLBCL cell line-derived xenograft models and in multiple patient-derived xenograft models of NHL including germinal center B-cell-like, or GCB, activated B-cell, or ABC, GCB/ABC, and BCL not otherwise specified subtypes of DLBCL, and Burkitt lymphoma. We plan to present preclinical data of ARV-393 in combination with standard of care biologic agents and small molecule inhibitors in high grade and aggressive diffuse large B-cell lymphoma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at the American Association for Cancer Research Annual Meeting in the second quarter of 2025.</w:t>
      </w:r>
    </w:p>
    <w:p>
      <w:pPr>
        <w:spacing w:after="0" w:line="137" w:lineRule="exact"/>
        <w:rPr>
          <w:sz w:val="20"/>
          <w:szCs w:val="20"/>
          <w:color w:val="auto"/>
        </w:rPr>
      </w:pPr>
    </w:p>
    <w:p>
      <w:pPr>
        <w:ind w:right="20" w:firstLine="432"/>
        <w:spacing w:after="0" w:line="251" w:lineRule="auto"/>
        <w:rPr>
          <w:sz w:val="20"/>
          <w:szCs w:val="20"/>
          <w:color w:val="auto"/>
        </w:rPr>
      </w:pPr>
      <w:r>
        <w:rPr>
          <w:rFonts w:ascii="Arial" w:cs="Arial" w:eastAsia="Arial" w:hAnsi="Arial"/>
          <w:sz w:val="12"/>
          <w:szCs w:val="12"/>
          <w:color w:val="auto"/>
        </w:rPr>
        <w:t>In the first quarter of 2024, we announced that the FDA cleared our IND for ARV-393. We initiated our first-in-human Phase 1 clinical trial of ARV-393 in patients with relapsed or refractory NHL in the second quarter of 2024 and are currently recruiting patients for this clinical trial. This is an open-label, multicenter, Phase 1 dose escalation study to evaluate the safety, tolerability and preliminary anti-tumor activity of ARV-393 as a single agent in adult patients with relapsed/refractory NHL. Going forward, we expect to continue recruiting patients for this clinical trial and plan to disclose preliminary data from the ongoing Phase 1 clinical trial in patients with NHL in 2025.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4" w:name="page135"/>
    <w:bookmarkEnd w:id="134"/>
    <w:p>
      <w:pPr>
        <w:ind w:left="420"/>
        <w:spacing w:after="0"/>
        <w:rPr>
          <w:sz w:val="20"/>
          <w:szCs w:val="20"/>
          <w:color w:val="auto"/>
        </w:rPr>
      </w:pPr>
      <w:r>
        <w:rPr>
          <w:rFonts w:ascii="Arial" w:cs="Arial" w:eastAsia="Arial" w:hAnsi="Arial"/>
          <w:sz w:val="12"/>
          <w:szCs w:val="12"/>
          <w:b w:val="1"/>
          <w:bCs w:val="1"/>
          <w:color w:val="auto"/>
        </w:rPr>
        <w:t>Neuroscience Program: ARV-102</w:t>
      </w:r>
    </w:p>
    <w:p>
      <w:pPr>
        <w:spacing w:after="0" w:line="69"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ARV-102 is our first oral PROTAC protein degrader in development to treat neurodegenerative diseases. In preclinical studies, ARV-102 has been shown to cross the blood-brain barrier and degrade LRRK2, which is a large multidomain scaffolding kinase. In human genetics, single cell ribonucleic acid sequencing from post-mortem PD brain samples and protein data from PD patient derived induced pluripotent stem cell microglia suggest that increased activity and expression of LRRK2 are genetically involved in the pathogenesis of neurological diseases including PSP and PD.</w:t>
      </w:r>
    </w:p>
    <w:p>
      <w:pPr>
        <w:spacing w:after="0" w:line="123"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In the second quarter of 2024, we presented preclinical data at the Biennial International LRRK2 Meeting, which further supported the potential of PROTAC-induced LRRK2 degradation as a potential treatment for neurodegenerative diseases. The preclinical data presented at the Biennial International LRRK2 Meeting highlighted, with our PROTAC LRRK2 degrader, near complete LRRK2 target engagement, as well as LRRK2 degradation, in mouse and non-human primate, or NHP, lung and brain. The preclinical data also showed differing effects of the PROTAC LRRK2 degraders in the lungs compared to kinase inhibitors, suggesting reduced pulmonary function risk, including:</w:t>
      </w:r>
    </w:p>
    <w:p>
      <w:pPr>
        <w:spacing w:after="0" w:line="45" w:lineRule="exact"/>
        <w:rPr>
          <w:sz w:val="20"/>
          <w:szCs w:val="20"/>
          <w:color w:val="auto"/>
        </w:rPr>
      </w:pPr>
    </w:p>
    <w:p>
      <w:pPr>
        <w:ind w:left="420" w:hanging="212"/>
        <w:spacing w:after="0"/>
        <w:tabs>
          <w:tab w:leader="none" w:pos="4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substantially less Type II pneumocyte enlargement compared to MLi-2, an experimental LRRK2 kinase inhibitor;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surfactant protein accumulation in mouse lung was observed after treatment with the LRRK2 kinase inhibitor MLi-2, but not after treatment with the PROTAC LRRK2 degrader;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no evidence of collagen deposition in lung to date with PROTAC LRRK2 degraders in NHPs.</w:t>
      </w:r>
    </w:p>
    <w:p>
      <w:pPr>
        <w:spacing w:after="0" w:line="150" w:lineRule="exact"/>
        <w:rPr>
          <w:sz w:val="20"/>
          <w:szCs w:val="20"/>
          <w:color w:val="auto"/>
        </w:rPr>
      </w:pPr>
    </w:p>
    <w:p>
      <w:pPr>
        <w:ind w:right="400" w:firstLine="432"/>
        <w:spacing w:after="0" w:line="286" w:lineRule="auto"/>
        <w:rPr>
          <w:sz w:val="20"/>
          <w:szCs w:val="20"/>
          <w:color w:val="auto"/>
        </w:rPr>
      </w:pPr>
      <w:r>
        <w:rPr>
          <w:rFonts w:ascii="Arial" w:cs="Arial" w:eastAsia="Arial" w:hAnsi="Arial"/>
          <w:sz w:val="12"/>
          <w:szCs w:val="12"/>
          <w:color w:val="auto"/>
        </w:rPr>
        <w:t>In October 2024, we presented preclinical data at the 2024 Michael J. Fox Foundation Parkinson’s Disease Conference further supporting the potential of PROTAC-induced LRRK2 degradation as a potential treatment for patients with neurodegenerative diseases. New findings presented included data demonstrating:</w:t>
      </w:r>
    </w:p>
    <w:p>
      <w:pPr>
        <w:spacing w:after="0" w:line="31" w:lineRule="exact"/>
        <w:rPr>
          <w:sz w:val="20"/>
          <w:szCs w:val="20"/>
          <w:color w:val="auto"/>
        </w:rPr>
      </w:pPr>
    </w:p>
    <w:p>
      <w:pPr>
        <w:ind w:left="420" w:hanging="212"/>
        <w:spacing w:after="0"/>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orally delivered ARV-102 crosses the blood-brain barriers and degrades LRRK2 in the cerebrospinal fluid, or CSF, of NHPs;</w:t>
      </w:r>
    </w:p>
    <w:p>
      <w:pPr>
        <w:spacing w:after="0" w:line="78" w:lineRule="exact"/>
        <w:rPr>
          <w:rFonts w:ascii="Arial" w:cs="Arial" w:eastAsia="Arial" w:hAnsi="Arial"/>
          <w:sz w:val="12"/>
          <w:szCs w:val="12"/>
          <w:color w:val="auto"/>
        </w:rPr>
      </w:pPr>
    </w:p>
    <w:p>
      <w:pPr>
        <w:ind w:left="420" w:right="80" w:hanging="212"/>
        <w:spacing w:after="0" w:line="286" w:lineRule="auto"/>
        <w:tabs>
          <w:tab w:leader="none" w:pos="417" w:val="left"/>
        </w:tabs>
        <w:numPr>
          <w:ilvl w:val="0"/>
          <w:numId w:val="70"/>
        </w:numPr>
        <w:rPr>
          <w:rFonts w:ascii="Arial" w:cs="Arial" w:eastAsia="Arial" w:hAnsi="Arial"/>
          <w:sz w:val="12"/>
          <w:szCs w:val="12"/>
          <w:color w:val="auto"/>
        </w:rPr>
      </w:pPr>
      <w:r>
        <w:rPr>
          <w:rFonts w:ascii="Arial" w:cs="Arial" w:eastAsia="Arial" w:hAnsi="Arial"/>
          <w:sz w:val="12"/>
          <w:szCs w:val="12"/>
          <w:color w:val="auto"/>
        </w:rPr>
        <w:t>degradation of LRRK2 by ARV-102 induces changes in pathway (lysosomal and inflammation) biomarkers in the CSF of NHPs, which has not previously been demonstrated by kinase inhibitors of LRRK2; and</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in murine tauopathy models, oral PROTAC LRRK2 degrader treatment led to ~50% pathologic tau reduction.</w:t>
      </w:r>
    </w:p>
    <w:p>
      <w:pPr>
        <w:spacing w:after="0" w:line="150" w:lineRule="exact"/>
        <w:rPr>
          <w:sz w:val="20"/>
          <w:szCs w:val="20"/>
          <w:color w:val="auto"/>
        </w:rPr>
      </w:pPr>
    </w:p>
    <w:p>
      <w:pPr>
        <w:ind w:right="40" w:firstLine="432"/>
        <w:spacing w:after="0" w:line="286" w:lineRule="auto"/>
        <w:rPr>
          <w:sz w:val="20"/>
          <w:szCs w:val="20"/>
          <w:color w:val="auto"/>
        </w:rPr>
      </w:pPr>
      <w:r>
        <w:rPr>
          <w:rFonts w:ascii="Arial" w:cs="Arial" w:eastAsia="Arial" w:hAnsi="Arial"/>
          <w:sz w:val="12"/>
          <w:szCs w:val="12"/>
          <w:color w:val="auto"/>
        </w:rPr>
        <w:t>The European Medicines Agency cleared our clinical trial application for ARV-102 in the fourth quarter of 2023. We currently are conducting two clinical trials with ARV-102, a Phase 1 clinical trial in healthy volunteers and a Phase 1 clinical trial in patients with PD.</w:t>
      </w:r>
    </w:p>
    <w:p>
      <w:pPr>
        <w:spacing w:after="0" w:line="103"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We initiated the first-in-human Phase 1 clinical trial for ARV-102 in the first quarter of 2024. The trial is evaluating the safety, tolerability, pharmacokinetics, and pharmacodynamics of ARV-102, including the evaluation of LRRK2 degradation and exploratory LRRK2 pathway biomarkers. In the second quarter of 2024, we received health authority approval to initiate the multiple ascending dose, or MAD, portion of the ongoing Phase 1 clinical trial of ARV-102 in healthy volunteers, and we initiated the MAD portion of this clinical trial in the third quarter of 2024. We completed enrollment of this MAD cohort in the first quarter of 2025.</w:t>
      </w:r>
    </w:p>
    <w:p>
      <w:pPr>
        <w:spacing w:after="0" w:line="117" w:lineRule="exact"/>
        <w:rPr>
          <w:sz w:val="20"/>
          <w:szCs w:val="20"/>
          <w:color w:val="auto"/>
        </w:rPr>
      </w:pPr>
    </w:p>
    <w:p>
      <w:pPr>
        <w:ind w:firstLine="432"/>
        <w:spacing w:after="0" w:line="303" w:lineRule="auto"/>
        <w:rPr>
          <w:sz w:val="20"/>
          <w:szCs w:val="20"/>
          <w:color w:val="auto"/>
        </w:rPr>
      </w:pPr>
      <w:r>
        <w:rPr>
          <w:rFonts w:ascii="Arial" w:cs="Arial" w:eastAsia="Arial" w:hAnsi="Arial"/>
          <w:sz w:val="11"/>
          <w:szCs w:val="11"/>
          <w:color w:val="auto"/>
        </w:rPr>
        <w:t>We completed enrollment in the SAD portion of the Phase 1 clinical trial of ARV-102 in healthy volunteers at the Centre for Human Drug Research in Leiden, the Netherlands in the third quarter of 2024. We plan to present SAD data from the ongoing Phase 1 clinical trial of ARV-102 in healthy volunteers in an oral session at the Alzheimer’s Disease/Parkinson’s Disease (AD/PD) conference in Vienna, Austria in the second quarter of 2025, demonstrating bioavailability and brain penetration with dose dependent exposure in cerebral spinal fluid, or CSF, and degradation of LRRK2 in the periphery and CSF of healthy volunteers.</w:t>
      </w:r>
    </w:p>
    <w:p>
      <w:pPr>
        <w:spacing w:after="0" w:line="97" w:lineRule="exact"/>
        <w:rPr>
          <w:sz w:val="20"/>
          <w:szCs w:val="20"/>
          <w:color w:val="auto"/>
        </w:rPr>
      </w:pPr>
    </w:p>
    <w:p>
      <w:pPr>
        <w:ind w:right="320" w:firstLine="432"/>
        <w:spacing w:after="0" w:line="286" w:lineRule="auto"/>
        <w:rPr>
          <w:sz w:val="20"/>
          <w:szCs w:val="20"/>
          <w:color w:val="auto"/>
        </w:rPr>
      </w:pPr>
      <w:r>
        <w:rPr>
          <w:rFonts w:ascii="Arial" w:cs="Arial" w:eastAsia="Arial" w:hAnsi="Arial"/>
          <w:sz w:val="12"/>
          <w:szCs w:val="12"/>
          <w:color w:val="auto"/>
        </w:rPr>
        <w:t>In the fourth quarter of 2024, we initiated dosing of the first patients with PD in the SAD portion of the Phase 1 clinical trial of ARV-102. We plan to complete enrollment and present initial data from the ongoing SAD Phase 1 clinical trial of ARV-102 in patients with PD and initiate the MAD portion of the Phase 1 clinical trial in patients with PD in 2025.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35" w:name="page136"/>
    <w:bookmarkEnd w:id="135"/>
    <w:p>
      <w:pPr>
        <w:ind w:left="420"/>
        <w:spacing w:after="0"/>
        <w:rPr>
          <w:sz w:val="20"/>
          <w:szCs w:val="20"/>
          <w:color w:val="auto"/>
        </w:rPr>
      </w:pPr>
      <w:r>
        <w:rPr>
          <w:rFonts w:ascii="Arial" w:cs="Arial" w:eastAsia="Arial" w:hAnsi="Arial"/>
          <w:sz w:val="12"/>
          <w:szCs w:val="12"/>
          <w:b w:val="1"/>
          <w:bCs w:val="1"/>
          <w:color w:val="auto"/>
        </w:rPr>
        <w:t>Our Preclinical Programs</w:t>
      </w:r>
    </w:p>
    <w:p>
      <w:pPr>
        <w:spacing w:after="0" w:line="78"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We have active preclinical programs and in line with our therapeutic strategies in oncology and neurologic disorders, we assess potential exploratory programs on a target-by-target basis to decide whether our PROTAC targeted protein degraders provide a compelling differentiated approach over standard-of-care or other, existing or potential competing mechanisms of action directed against a specific target. In the case of currently or historically undruggable targets, we assess whether the features of our PROTAC targeted protein degraders, including their potential to degrade proteins via sites other than enzymatic active sites and the ability to initiate the degradation process using only weak binders, offer us opportunities to degrade those targets.</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Oncology</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KRAS is a driver oncogene in several major tumor types and is associated with poor prognosis and resistance to standards of care. Preclinically, our degrader is a highly selective and potent molecule that demonstrates dose-responsive degradation of KRAS G12D, leading to robust antitumor activity in KRAS G12D mutated cancers including pancreatic and colorectal cancers. In the second quarter of 2023, we presented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at the AACR - Targeting RAS Special Conference that demonstrated that our PROTAC KRAS G12D degraders were potent, selective and led to tumor stasis in a mouse xenograft model with intermittent dosing and degradation of KRAS G12D provides an advantage versus inhibition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Our degrader is designed to eliminate, rather than inhibit, KRAS G12D, and preclinically it was 30-fold more potent than an inhibitor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provided additional aspects of differential biology contributing to its potent and broad antitumor effect in vivo. Our KRAS G12D program is currently in preclinical development and we anticipate filing an Investigational New Drug application for our PROTAC KRAS G12D degrader in 2025.</w:t>
      </w:r>
    </w:p>
    <w:p>
      <w:pPr>
        <w:spacing w:after="0" w:line="49" w:lineRule="exact"/>
        <w:rPr>
          <w:sz w:val="20"/>
          <w:szCs w:val="20"/>
          <w:color w:val="auto"/>
        </w:rPr>
      </w:pPr>
    </w:p>
    <w:p>
      <w:pPr>
        <w:ind w:right="160" w:firstLine="432"/>
        <w:spacing w:after="0" w:line="286" w:lineRule="auto"/>
        <w:rPr>
          <w:sz w:val="20"/>
          <w:szCs w:val="20"/>
          <w:color w:val="auto"/>
        </w:rPr>
      </w:pPr>
      <w:r>
        <w:rPr>
          <w:rFonts w:ascii="Arial" w:cs="Arial" w:eastAsia="Arial" w:hAnsi="Arial"/>
          <w:sz w:val="12"/>
          <w:szCs w:val="12"/>
          <w:color w:val="auto"/>
        </w:rPr>
        <w:t>Our exploratory and research activities in oncology include programs directed to degrade KRAS, as noted above; Myc, an oncogenic transcription factor driving tumor cell proliferation; and hematopoietic progenitor kinase 1, a suppressor of T cell activation.</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Neurologic Diseases</w:t>
      </w:r>
    </w:p>
    <w:p>
      <w:pPr>
        <w:spacing w:after="0" w:line="76" w:lineRule="exact"/>
        <w:rPr>
          <w:sz w:val="20"/>
          <w:szCs w:val="20"/>
          <w:color w:val="auto"/>
        </w:rPr>
      </w:pPr>
    </w:p>
    <w:p>
      <w:pPr>
        <w:jc w:val="both"/>
        <w:ind w:right="420" w:firstLine="432"/>
        <w:spacing w:after="0" w:line="268" w:lineRule="auto"/>
        <w:rPr>
          <w:sz w:val="20"/>
          <w:szCs w:val="20"/>
          <w:color w:val="auto"/>
        </w:rPr>
      </w:pPr>
      <w:r>
        <w:rPr>
          <w:rFonts w:ascii="Arial" w:cs="Arial" w:eastAsia="Arial" w:hAnsi="Arial"/>
          <w:sz w:val="12"/>
          <w:szCs w:val="12"/>
          <w:color w:val="auto"/>
        </w:rPr>
        <w:t>We have conducted preclinical studies to establish the potential of our PROTAC Discovery Engine in the central nervous system, or CNS, for the treatment of neurodegenerative diseases, including tauopathies, the largest of which is Alzheimer’s disease. We have demonstrated that tau PROTAC protein degrader molecules could be dosed peripherally and degrade pathogenic tau in the brain of mouse tauopathy models.</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 xml:space="preserve">In preclinical studies, we have demonstrated that PROTAC alpha-synuclein degraders can specifically degrade aggregated forms of the protein. We have conducted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experiments in cells expressing the A53T mutant form of alpha-synuclein, a mutation that causes aggregation of alpha-synuclein and early-onset PD in patients. We treated these cells with alpha-synuclein targeting PROTAC degraders at 1 μM for 48 hours.</w:t>
      </w:r>
    </w:p>
    <w:p>
      <w:pPr>
        <w:spacing w:after="0" w:line="132" w:lineRule="exact"/>
        <w:rPr>
          <w:sz w:val="20"/>
          <w:szCs w:val="20"/>
          <w:color w:val="auto"/>
        </w:rPr>
      </w:pPr>
    </w:p>
    <w:p>
      <w:pPr>
        <w:ind w:right="100" w:firstLine="432"/>
        <w:spacing w:after="0" w:line="282" w:lineRule="auto"/>
        <w:rPr>
          <w:sz w:val="20"/>
          <w:szCs w:val="20"/>
          <w:color w:val="auto"/>
        </w:rPr>
      </w:pPr>
      <w:r>
        <w:rPr>
          <w:rFonts w:ascii="Arial" w:cs="Arial" w:eastAsia="Arial" w:hAnsi="Arial"/>
          <w:sz w:val="11"/>
          <w:szCs w:val="11"/>
          <w:color w:val="auto"/>
        </w:rPr>
        <w:t>In addition to our tau and alpha-synuclein programs, our neuroscience pipeline includes a program directed to mutant huntingtin, or mHTT, a key protein target for Huntington’s disease. We have identified ligands that bind to mutant mHTT protein without binding to wild-type HTT protein in preclinical studies. This selectivity differentiates these ligands from other small molecule splice modulators that reduce both mHTT and wild-type HTT protein. We believe that our discovery of selective PROTAC mHTT degraders has the potential to eliminate the toxic mHTT protein that causes this devastating disease. In our preclinical neurology research efforts, we have expanded our focus into additional mechanisms that contribute to the pathologic dysfunction in the brain including those that contribute to neuroinflammation and aging.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Other Programs: Luxdegalutamide (ARV-766) and Bavdegalutamide (ARV-110)</w:t>
      </w:r>
    </w:p>
    <w:p>
      <w:pPr>
        <w:spacing w:after="0" w:line="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have been developing luxdegalutamide (ARV-766) and bavdegalutamide (ARV-110), each an investigational orally bioavailable, AR degrading PROTAC targeted protein degrader, for the treatment of men with mCRPC. Both luxdegalutamide (ARV-766) and bavdegalutamide (ARV-110) demonstrated activity in preclinical models of AR overexpression and AR mutations, both common mechanisms of resistance to current standard-of-care agents in men with prostate cancer. Early in the fourth quarter of 2023, based on signs of superior tolerability and efficacy of luxdegalutamide (ARV-766) in clinical settings to date as compared to bavdegalutamide (ARV-110), we prioritized the initiation of a Phase 3 clinical trial with luxdegalutamide (ARV-766) in mCRPC instead of the previously planned Phase 3 clinical trial for bavdegalutamide. We will not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36" w:name="page137"/>
    <w:bookmarkEnd w:id="136"/>
    <w:p>
      <w:pPr>
        <w:spacing w:after="0"/>
        <w:rPr>
          <w:sz w:val="20"/>
          <w:szCs w:val="20"/>
          <w:color w:val="auto"/>
        </w:rPr>
      </w:pPr>
      <w:r>
        <w:rPr>
          <w:rFonts w:ascii="Arial" w:cs="Arial" w:eastAsia="Arial" w:hAnsi="Arial"/>
          <w:sz w:val="12"/>
          <w:szCs w:val="12"/>
          <w:color w:val="auto"/>
        </w:rPr>
        <w:t>be enrolling new patients into our ongoing trial activities with bavdegalutamide (ARV-110-101 and ARV-110-103) and we expect to wind down our bavdegalutamide program after completion of these clinical trials.</w:t>
      </w:r>
    </w:p>
    <w:p>
      <w:pPr>
        <w:spacing w:after="0" w:line="150"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In the second quarter of 2024, we entered into and closed the Novartis Transaction, including both a license agreement (the “Novartis License Agreement”) and an asset purchase agreement (the “Novartis Asset Agreement”). Pursuant to the Novartis License Agreement, we granted Novartis an exclusive worldwide license for the development, manufacture and commercialization of luxdegalutamide (ARV-766), our second generation PROTAC AR degrader for patients with prostate cancer and, as of December 31, 2024, we completed the transition of our ongoing and planned clinical trials of luxdegalutamide (ARV-766) to Novartis. Pursuant to the Novartis Asset Agreement, we sold Novartis all of our rights, title and interest in our PROTAC protein degrader targeting AR-V7, a splice variant of the AR.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Our Operations</w:t>
      </w:r>
    </w:p>
    <w:p>
      <w:pPr>
        <w:spacing w:after="0" w:line="7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We commenced operations in 2013. Our operations to date have been limited to organizing and staffing our company, business planning, raising capital, conducting discovery and research activities, filing patent applications, identifying potential product candidates, undertaking preclinical studies and clinical trials, establishing arrangements with third parties for collaborations and for the manufacture of initial quantities of our product candidates and preparing for commercialization, including by beginning to build a commercial infrastructure. To date, we have not generated any revenue from product sales and have financed our operations primarily through sales of assets and equity interests, proceeds from collaborations and a licensing arrangement, grant funding and debt financing. Since inception through December 31, 2024, we raised approximately $1.7 billion in gross proceeds from the sale of assets and equity interests and the exercise of stock options, and had received an aggregate of $913.0 million in payments primarily from collaboration partners and a licensing arrangement.</w:t>
      </w:r>
    </w:p>
    <w:p>
      <w:pPr>
        <w:spacing w:after="0" w:line="139" w:lineRule="exact"/>
        <w:rPr>
          <w:sz w:val="20"/>
          <w:szCs w:val="20"/>
          <w:color w:val="auto"/>
        </w:rPr>
      </w:pPr>
    </w:p>
    <w:p>
      <w:pPr>
        <w:ind w:firstLine="367"/>
        <w:spacing w:after="0" w:line="256" w:lineRule="auto"/>
        <w:rPr>
          <w:sz w:val="20"/>
          <w:szCs w:val="20"/>
          <w:color w:val="auto"/>
        </w:rPr>
      </w:pPr>
      <w:r>
        <w:rPr>
          <w:rFonts w:ascii="Arial" w:cs="Arial" w:eastAsia="Arial" w:hAnsi="Arial"/>
          <w:sz w:val="12"/>
          <w:szCs w:val="12"/>
          <w:color w:val="auto"/>
        </w:rPr>
        <w:t>We are a clinical-stage company, with product candidates in clinical development and other drug discovery activities in the research and preclinical development stages. Our ability to generate revenue from product sales sufficient to achieve profitability will depend heavily on the successful development and eventual commercialization of one or more of our product candidates. Since inception, we have incurred significant operating losses and expect to incur increasing operating losses for at least the next several years due to costs associated with our ongoing and anticipated preclinical and clinical activities, development activities, research activities in oncology, neurological and other disease areas to expand our pipeline, hiring additional personnel in research, clinical trials, quality and other functional areas, including general and administrative, sales and commercial as we move towards potential commercialization, increased expenses incurred with CMOs to supply us with product for our preclinical and clinical studies and expenses incurred with contract research organizations, or CROs, for the synthesis of compounds in our preclinical development activities, as well as other associated costs including those related to partnering with us on our clinical trial portfolio and the management of our intellectual property portfolio.</w:t>
      </w:r>
    </w:p>
    <w:p>
      <w:pPr>
        <w:spacing w:after="0" w:line="14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We do not expect to generate any revenue from product sales in the near future, if ever. 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to grant licenses on terms that may not be favorable to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Operations Overview</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78"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To date, we have not generated any revenue from product sales and do not expect to generate any revenue from the sale of products in the foreseeable future. Our revenues to date have been generated through research collaborations, a licensing arrangement and an asset sale. Revenue is recognized ratably over our expected performance period under each agreement. We expect that any revenue recognized in the near term will be derived primarily from our current collaboration agreements and licensing arrangement and any additional arrangements that we may enter into in the future. To date, we have not received any development,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color w:val="auto"/>
        </w:rPr>
        <w:t>regulatory and commercial milestone payments or royalties under any of the collaboration agreements or licensing arrangement.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Novartis Transaction</w:t>
      </w:r>
    </w:p>
    <w:p>
      <w:pPr>
        <w:spacing w:after="0" w:line="76"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In April 2024, we entered into the Novartis Transaction, including both the Novartis License Agreement and the Novartis Asset Agreement, with Novartis. The Novartis Transaction closed in May 2024 upon the expiration of the waiting period under the Hart-Scott-Rodino Antitrust Improvements Act of 1976, at which time the Novartis License Agreement and the Novartis Asset Agreement became effective.</w:t>
      </w:r>
    </w:p>
    <w:p>
      <w:pPr>
        <w:spacing w:after="0" w:line="31"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spacing w:after="0" w:line="114"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w:t>
      </w:r>
    </w:p>
    <w:p>
      <w:pPr>
        <w:spacing w:after="0" w:line="114"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Pfizer Vepdegestrant (ARV-471) Collaboration Agreement</w:t>
      </w:r>
    </w:p>
    <w:p>
      <w:pPr>
        <w:spacing w:after="0" w:line="76"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In July 2021, we entered into the Vepdegestrant (ARV-471) Collaboration Agreement with Pfizer, pursuant to which we granted Pfizer worldwide co-exclusive rights to develop and commercialize products containing our proprietary compound vepdegestrant (ARV-471), or the Licensed Products.</w:t>
      </w:r>
    </w:p>
    <w:p>
      <w:pPr>
        <w:spacing w:after="0" w:line="31"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Under the Vepdegestrant (ARV-471) Collaboration Agreement, we received an upfront, non-refundable payment of $650 million. In addition, we are eligible to receive up to an additional $1.4 billion in contingent payments based on specified regulatory and sales-based milestones for the Licensed Products. Of the total contingent payments, $400 million in regulatory milestones are related to marketing approvals and $1.0 billion are related to sales-based milestones.</w:t>
      </w:r>
    </w:p>
    <w:p>
      <w:pPr>
        <w:spacing w:after="0" w:line="42"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We and Pfizer share equally (50/50) all development costs (including costs for conducting any clinical trials) for the Licensed Products, subject to certain exceptions. Except for certain regions described below, we will also share equally (50/50) all profits and losses in commercialization and medical affairs activities for the Licensed Products in all other countries, subject to certain exceptions.</w:t>
      </w:r>
    </w:p>
    <w:p>
      <w:pPr>
        <w:spacing w:after="0" w:line="31"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We will be the marketing authorization applicant and, subject to approval, can book sales in the United States, while Pfizer will hold marketing authorizations outside the United States. We will determine with Pfizer which, if any, regions within the world will be solely commercialized by one party, and in such region the parties will adjust their share of all profits and losses for the Licensed Products based on the role each party will be performing.</w:t>
      </w:r>
    </w:p>
    <w:p>
      <w:pPr>
        <w:spacing w:after="0" w:line="42"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Unless earlier terminated in accordance with its terms, the Vepdegestrant (ARV-471) Collaboration Agreement will expire on a Licensed Product-by-Licensed Product and country-by-country basis when such Licensed Products are no longer commercialized or developed for commercialization in such country. Pfizer may terminate the Vepdegestrant (ARV-471) Collaboration Agreement for convenience in its entirety or on a region -by-region basis subject to certain notice periods. Either party may terminate the Vepdegestrant (ARV-471) Collaboration Agreement for the other party’s uncured material breach or insolvency. Subject to applicable terms of the Vepdegestrant (ARV-471) Collaboration Agreement, including certain payments to Pfizer upon termination for our uncured material breach, effective upon termination of the Vepdegestrant (ARV-471)</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color w:val="auto"/>
        </w:rPr>
        <w:t>Collaboration Agreement, we are entitled to retain specified licenses to be able to continue to exploit the Licensed Products.</w:t>
      </w:r>
    </w:p>
    <w:p>
      <w:pPr>
        <w:spacing w:after="0" w:line="78" w:lineRule="exact"/>
        <w:rPr>
          <w:sz w:val="20"/>
          <w:szCs w:val="20"/>
          <w:color w:val="auto"/>
        </w:rPr>
      </w:pPr>
    </w:p>
    <w:p>
      <w:pPr>
        <w:ind w:right="620" w:firstLine="432"/>
        <w:spacing w:after="0" w:line="286" w:lineRule="auto"/>
        <w:rPr>
          <w:sz w:val="20"/>
          <w:szCs w:val="20"/>
          <w:color w:val="auto"/>
        </w:rPr>
      </w:pPr>
      <w:r>
        <w:rPr>
          <w:rFonts w:ascii="Arial" w:cs="Arial" w:eastAsia="Arial" w:hAnsi="Arial"/>
          <w:sz w:val="12"/>
          <w:szCs w:val="12"/>
          <w:color w:val="auto"/>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Pfizer Research Collaboration Agreement</w:t>
      </w:r>
    </w:p>
    <w:p>
      <w:pPr>
        <w:spacing w:after="0" w:line="76"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In December 2017, we entered into a Research Collaboration and License Agreement with Pfizer, setting forth our collaboration to identify or optimize PROTAC targeted protein degraders that mediate for degradation of targets, using our proprietary platform technology that are identified in the agreement or subsequently selected by Pfizer, subject to certain exclusions. We refer to this agreement as the Pfizer Research Collaboration Agreement.</w:t>
      </w:r>
    </w:p>
    <w:p>
      <w:pPr>
        <w:spacing w:after="0" w:line="114"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Under the Pfizer Research Collaboration Agreement, Pfizer has designated a number of initial targets. For each identified target, we and Pfizer will conduct a separate research program pursuant to a research plan. Pfizer may make substitutions for any of the initial target candidates, subject to the stage of research for such target.</w:t>
      </w:r>
    </w:p>
    <w:p>
      <w:pPr>
        <w:spacing w:after="0" w:line="103"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In the year ended December 31, 2018, we received an upfront, non-refundable payment and certain additional payments totaling $28.0 million in exchange for use of the technology license and to fund Pfizer-related research, as defined within the Pfizer Research Collaboration Agreement. We are eligible to receive up to an additional $37.5 million in non-refundable option payments if Pfizer exercises its options for all targets under the Pfizer Research Collaboration Agreement. We are also entitled to receive up to $225.0 million in development milestone payments and up to $550.0 million in sales-based milestone payments for all designated targets under the Pfizer Research Collaboration Agreement, as well as mid- to high-single digit tiered royalties, which may be subject to reductions, on net sales of PROTAC targeted protein degrader-related products. In 2021 and 2020, we received payments totaling $1.2 million and $4.4 million, respectively. Pfizer selected additional targets and initiated additional services totaling $1.0 million and $3.5 million in December 2022 and 2021, respectively.</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Bayer Collaboration Agreement</w:t>
      </w:r>
    </w:p>
    <w:p>
      <w:pPr>
        <w:spacing w:after="0" w:line="76"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In June 2019, we entered into a Collaboration and License Agreement, or the Bayer Collaboration Agreement, with Bayer, setting forth our collaboration to identify or optimize PROTAC targeted protein degraders that mediate for degradation of Targets, using our proprietary platform technology, that are selected by Bayer, subject to certain exclusions and limitations. The Bayer Collaboration Agreement became effective in July 2019.</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Under the Bayer Collaboration Agreement, we and Bayer conducted a research program pursuant to separate research plans mutually agreed to by us and Bayer and tailored to each Target selected by Bayer. During the term of the Bayer Collaboration Agreement, we were not permitted, either directly or indirectly, to design, identify, discover or develop any small molecule pharmacologically-active agent whose primary mechanism of action is, by design, directed to the inhibition or degradation of any Target selected or reserved by Bayer, or grant any license, covenant not to sue or other right to any third party in the field of human disease under the licensed intellectual property for the conduct of such activities.</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Under the terms of the Bayer Collaboration Agreement, we received an aggregate upfront, non-refundable payment of $17.5 million and an additional $ 12.0 million in aggregate from inception through 2023. We were also eligible to receive up to $197.5 million in development milestone payments and up to $ 490.0 million in sales-based milestone payments for all designated Targets. In addition, we were eligible to receive, on net sales of PROTAC targeted protein degrader-related products, mid-single digit to low-double digit tiered royalties, which were subject to reductions.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notice from Bayer AG in accordance with the terms of the Bayer Collaboration Agreement, the Bayer Collaboration Agreement was terminated, effective August 12,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39" w:name="page140"/>
    <w:bookmarkEnd w:id="139"/>
    <w:p>
      <w:pPr>
        <w:ind w:left="420"/>
        <w:spacing w:after="0"/>
        <w:rPr>
          <w:sz w:val="20"/>
          <w:szCs w:val="20"/>
          <w:color w:val="auto"/>
        </w:rPr>
      </w:pPr>
      <w:r>
        <w:rPr>
          <w:rFonts w:ascii="Arial" w:cs="Arial" w:eastAsia="Arial" w:hAnsi="Arial"/>
          <w:sz w:val="12"/>
          <w:szCs w:val="12"/>
          <w:b w:val="1"/>
          <w:bCs w:val="1"/>
          <w:i w:val="1"/>
          <w:iCs w:val="1"/>
          <w:color w:val="auto"/>
        </w:rPr>
        <w:t>Genentech License Agreement</w:t>
      </w:r>
    </w:p>
    <w:p>
      <w:pPr>
        <w:spacing w:after="0" w:line="76"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In September 2015, we entered into an Option and License Agreement with Genentech, focused on PROTAC targeted protein degrader discovery and research for target proteins, or Targets, based on our proprietary platform technology, other than excluded Targets as described below. Pursuant to this agreement, Genentech has an option to obtain an exclusive worldwide license to the applicable PROTAC targeted protein degraders directed against an applicable Target, which we refer to as Licensed PROTACs. Each such option must be exercised within a specified time after we deliver the data package for such Licensed PROTAC to Genentech. Once Genentech exercises an option, it is responsible, at its cost, to use diligent efforts to develop and commercialize the Licensed PROTAC through first commercial sale in the United States, the European Union and Japan. This collaboration was expanded in November 2017 through an Amended and Restated Option, License and Collaboration Agreement, which we refer to as the Restated Genentech Agreement. Simultaneous with entering into the Restated Genentech Agreement, Genentech exercised its exclusive option with respect to a PROTAC targeted protein degrader. We receive annual updates on research and development activities related to this option.</w:t>
      </w:r>
    </w:p>
    <w:p>
      <w:pPr>
        <w:spacing w:after="0" w:line="131"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Under the Restated Genentech Agreement, Genentech had the right to designate up to ten Targets for further discovery and research utilizing our PROTAC platform technology and also had the right to remove a Target from the collaboration and substitute a different Target that is not an excluded Target at any time prior to us commencing research on such Target or in certain circumstances following commencement of research by us. The research phase of the collaboration with Genentech has ended. Genentech is no longer able to nominate new targets into the collaboration, and there are no active targets in the collaboration for which Arvinas was conducting research activities.</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At the time we entered into the original agreement with Genentech, we received an upfront payment of $11.0 million, and, at the time we entered into the Restated Genentech Agreement, we received an additional $34.5 million in upfront and expansion target payments. We are eligible to receive payments aggregating up to $44.0 million per Target upon the achievement of specified development milestones; payments aggregating up to $52.5 million per Target (assuming approval of two indications) subject to the achievement of specified regulatory milestones; and payments aggregating up to $60.0 million per PROTAC targeted protein degrader directed against the applicable Target, subject to the achievement of specified sales milestones. These milestone payments are subject to reduction if we do not have a valid patent claim covering the licensed PROTAC targeted protein degrader at the time the milestone is achieved. We are also eligible to receive, on net sales of licensed PROTAC targeted protein degraders, mid-single digit royalties, which may be subject to reductions.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operating expenses since inception have consisted solely of research and development costs and general and administrative costs.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Research and development expenses consist primarily of costs incurred for our research activities, including our discovery efforts, and the development of our product candidates, and include:</w:t>
      </w:r>
    </w:p>
    <w:p>
      <w:pPr>
        <w:spacing w:after="0" w:line="78" w:lineRule="exact"/>
        <w:rPr>
          <w:sz w:val="20"/>
          <w:szCs w:val="20"/>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employee related expenses, including salaries, benefits, stock-based compensation expense and travel, for personnel engaged in research and development functions;</w:t>
      </w:r>
    </w:p>
    <w:p>
      <w:pPr>
        <w:spacing w:after="0" w:line="78" w:lineRule="exact"/>
        <w:rPr>
          <w:rFonts w:ascii="Arial" w:cs="Arial" w:eastAsia="Arial" w:hAnsi="Arial"/>
          <w:sz w:val="12"/>
          <w:szCs w:val="12"/>
          <w:color w:val="auto"/>
        </w:rPr>
      </w:pPr>
    </w:p>
    <w:p>
      <w:pPr>
        <w:ind w:left="640" w:right="560" w:hanging="216"/>
        <w:spacing w:after="0" w:line="286" w:lineRule="auto"/>
        <w:tabs>
          <w:tab w:leader="none" w:pos="637" w:val="left"/>
        </w:tabs>
        <w:numPr>
          <w:ilvl w:val="0"/>
          <w:numId w:val="71"/>
        </w:numPr>
        <w:rPr>
          <w:rFonts w:ascii="Arial" w:cs="Arial" w:eastAsia="Arial" w:hAnsi="Arial"/>
          <w:sz w:val="12"/>
          <w:szCs w:val="12"/>
          <w:color w:val="auto"/>
        </w:rPr>
      </w:pPr>
      <w:r>
        <w:rPr>
          <w:rFonts w:ascii="Arial" w:cs="Arial" w:eastAsia="Arial" w:hAnsi="Arial"/>
          <w:sz w:val="12"/>
          <w:szCs w:val="12"/>
          <w:color w:val="auto"/>
        </w:rPr>
        <w:t>expenses incurred under agreements with third parties, including CROs and other third parties that conduct research, preclinical and clinical activities on our behalf as well as third parties that manufacture our product candidates for use in our preclinical studies and clinical trials;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costs of outside consultants, including their fees, stock-based compensation and related travel expenses;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costs of laboratory supplies and developing preclinical studies and clinical trial materials;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facility-related expenses, which include direct depreciation costs of equipment and allocated expenses for rent and maintenance of facilities and other operating costs;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costs incurred in the development of intellectual property;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40" w:name="page141"/>
    <w:bookmarkEnd w:id="140"/>
    <w:p>
      <w:pPr>
        <w:ind w:left="648" w:hanging="216"/>
        <w:spacing w:after="0"/>
        <w:tabs>
          <w:tab w:leader="none" w:pos="64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third-party licensing fees.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expense research and development costs as incurred.</w:t>
      </w:r>
    </w:p>
    <w:p>
      <w:pPr>
        <w:spacing w:after="0" w:line="150" w:lineRule="exact"/>
        <w:rPr>
          <w:sz w:val="20"/>
          <w:szCs w:val="20"/>
          <w:color w:val="auto"/>
        </w:rPr>
      </w:pPr>
    </w:p>
    <w:p>
      <w:pPr>
        <w:ind w:left="8" w:right="140" w:firstLine="432"/>
        <w:spacing w:after="0" w:line="286" w:lineRule="auto"/>
        <w:rPr>
          <w:sz w:val="20"/>
          <w:szCs w:val="20"/>
          <w:color w:val="auto"/>
        </w:rPr>
      </w:pPr>
      <w:r>
        <w:rPr>
          <w:rFonts w:ascii="Arial" w:cs="Arial" w:eastAsia="Arial" w:hAnsi="Arial"/>
          <w:sz w:val="12"/>
          <w:szCs w:val="12"/>
          <w:color w:val="auto"/>
        </w:rPr>
        <w:t>We typically use our employee and infrastructure resources across our development programs, and as such, do not track all of our internal research and development expenses on a program-by-program basis. The following table summarizes our research and development expenses for the years ended December 31, 2024, 2023 and 2022:</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6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2022</w:t>
            </w:r>
          </w:p>
        </w:tc>
      </w:tr>
      <w:tr>
        <w:trPr>
          <w:trHeight w:val="152"/>
        </w:trPr>
        <w:tc>
          <w:tcPr>
            <w:tcW w:w="6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Program-specific external expense: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312"/>
        </w:trPr>
        <w:tc>
          <w:tcPr>
            <w:tcW w:w="6680" w:type="dxa"/>
            <w:vAlign w:val="bottom"/>
          </w:tcPr>
          <w:p>
            <w:pPr>
              <w:ind w:left="140"/>
              <w:spacing w:after="0"/>
              <w:rPr>
                <w:sz w:val="20"/>
                <w:szCs w:val="20"/>
                <w:color w:val="auto"/>
              </w:rPr>
            </w:pPr>
            <w:r>
              <w:rPr>
                <w:rFonts w:ascii="Arial" w:cs="Arial" w:eastAsia="Arial" w:hAnsi="Arial"/>
                <w:sz w:val="12"/>
                <w:szCs w:val="12"/>
                <w:color w:val="auto"/>
              </w:rPr>
              <w:t>Vepdegestrant (ARV-471) (*)</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76.9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104.8</w:t>
            </w:r>
          </w:p>
        </w:tc>
        <w:tc>
          <w:tcPr>
            <w:tcW w:w="100" w:type="dxa"/>
            <w:vAlign w:val="bottom"/>
          </w:tcPr>
          <w:p>
            <w:pPr>
              <w:spacing w:after="0"/>
              <w:rPr>
                <w:sz w:val="24"/>
                <w:szCs w:val="2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72.8</w:t>
            </w:r>
          </w:p>
        </w:tc>
      </w:tr>
      <w:tr>
        <w:trPr>
          <w:trHeight w:val="174"/>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Luxdegalutamide (ARV-766)</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w:t>
            </w:r>
          </w:p>
        </w:tc>
      </w:tr>
      <w:tr>
        <w:trPr>
          <w:trHeight w:val="168"/>
        </w:trPr>
        <w:tc>
          <w:tcPr>
            <w:tcW w:w="6680" w:type="dxa"/>
            <w:vAlign w:val="bottom"/>
          </w:tcPr>
          <w:p>
            <w:pPr>
              <w:ind w:left="140"/>
              <w:spacing w:after="0"/>
              <w:rPr>
                <w:sz w:val="20"/>
                <w:szCs w:val="20"/>
                <w:color w:val="auto"/>
              </w:rPr>
            </w:pPr>
            <w:r>
              <w:rPr>
                <w:rFonts w:ascii="Arial" w:cs="Arial" w:eastAsia="Arial" w:hAnsi="Arial"/>
                <w:sz w:val="12"/>
                <w:szCs w:val="12"/>
                <w:color w:val="auto"/>
              </w:rPr>
              <w:t>ARV-102</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74"/>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Bavdegalutamide (ARV-110)</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36.7</w:t>
            </w:r>
          </w:p>
        </w:tc>
      </w:tr>
      <w:tr>
        <w:trPr>
          <w:trHeight w:val="168"/>
        </w:trPr>
        <w:tc>
          <w:tcPr>
            <w:tcW w:w="6680" w:type="dxa"/>
            <w:vAlign w:val="bottom"/>
          </w:tcPr>
          <w:p>
            <w:pPr>
              <w:ind w:left="140"/>
              <w:spacing w:after="0"/>
              <w:rPr>
                <w:sz w:val="20"/>
                <w:szCs w:val="20"/>
                <w:color w:val="auto"/>
              </w:rPr>
            </w:pPr>
            <w:r>
              <w:rPr>
                <w:rFonts w:ascii="Arial" w:cs="Arial" w:eastAsia="Arial" w:hAnsi="Arial"/>
                <w:sz w:val="12"/>
                <w:szCs w:val="12"/>
                <w:color w:val="auto"/>
              </w:rPr>
              <w:t>ARV-393</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74"/>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programs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r>
      <w:tr>
        <w:trPr>
          <w:trHeight w:val="160"/>
        </w:trPr>
        <w:tc>
          <w:tcPr>
            <w:tcW w:w="6680" w:type="dxa"/>
            <w:vAlign w:val="bottom"/>
          </w:tcPr>
          <w:p>
            <w:pPr>
              <w:ind w:left="300"/>
              <w:spacing w:after="0"/>
              <w:rPr>
                <w:sz w:val="20"/>
                <w:szCs w:val="20"/>
                <w:color w:val="auto"/>
              </w:rPr>
            </w:pPr>
            <w:r>
              <w:rPr>
                <w:rFonts w:ascii="Arial" w:cs="Arial" w:eastAsia="Arial" w:hAnsi="Arial"/>
                <w:sz w:val="12"/>
                <w:szCs w:val="12"/>
                <w:b w:val="1"/>
                <w:bCs w:val="1"/>
                <w:color w:val="auto"/>
              </w:rPr>
              <w:t>Total program-specific external expense</w:t>
            </w: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127.2</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159.3</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118.3</w:t>
            </w:r>
          </w:p>
        </w:tc>
      </w:tr>
      <w:tr>
        <w:trPr>
          <w:trHeight w:val="171"/>
        </w:trPr>
        <w:tc>
          <w:tcPr>
            <w:tcW w:w="6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 program-specific external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64.3</w:t>
            </w:r>
          </w:p>
        </w:tc>
      </w:tr>
      <w:tr>
        <w:trPr>
          <w:trHeight w:val="171"/>
        </w:trPr>
        <w:tc>
          <w:tcPr>
            <w:tcW w:w="6680" w:type="dxa"/>
            <w:vAlign w:val="bottom"/>
          </w:tcPr>
          <w:p>
            <w:pPr>
              <w:spacing w:after="0"/>
              <w:rPr>
                <w:sz w:val="20"/>
                <w:szCs w:val="20"/>
                <w:color w:val="auto"/>
              </w:rPr>
            </w:pPr>
            <w:r>
              <w:rPr>
                <w:rFonts w:ascii="Arial" w:cs="Arial" w:eastAsia="Arial" w:hAnsi="Arial"/>
                <w:sz w:val="12"/>
                <w:szCs w:val="12"/>
                <w:b w:val="1"/>
                <w:bCs w:val="1"/>
                <w:color w:val="auto"/>
              </w:rPr>
              <w:t>Unallocated internal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1"/>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Compensation and related personnel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6"/>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(including share-based compensation)</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111.4</w:t>
            </w:r>
          </w:p>
        </w:tc>
      </w:tr>
      <w:tr>
        <w:trPr>
          <w:trHeight w:val="168"/>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research and development expense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21.0</w:t>
            </w:r>
          </w:p>
        </w:tc>
      </w:tr>
      <w:tr>
        <w:trPr>
          <w:trHeight w:val="163"/>
        </w:trPr>
        <w:tc>
          <w:tcPr>
            <w:tcW w:w="66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Total unallocated internal expense</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132.4</w:t>
            </w:r>
          </w:p>
        </w:tc>
      </w:tr>
      <w:tr>
        <w:trPr>
          <w:trHeight w:val="160"/>
        </w:trPr>
        <w:tc>
          <w:tcPr>
            <w:tcW w:w="6680" w:type="dxa"/>
            <w:vAlign w:val="bottom"/>
          </w:tcPr>
          <w:p>
            <w:pPr>
              <w:spacing w:after="0"/>
              <w:rPr>
                <w:sz w:val="20"/>
                <w:szCs w:val="20"/>
                <w:color w:val="auto"/>
              </w:rPr>
            </w:pPr>
            <w:r>
              <w:rPr>
                <w:rFonts w:ascii="Arial" w:cs="Arial" w:eastAsia="Arial" w:hAnsi="Arial"/>
                <w:sz w:val="12"/>
                <w:szCs w:val="12"/>
                <w:b w:val="1"/>
                <w:bCs w:val="1"/>
                <w:color w:val="auto"/>
              </w:rPr>
              <w:t>Total research and development expense</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348.2</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315.0</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268" w:hanging="268"/>
        <w:spacing w:after="0"/>
        <w:tabs>
          <w:tab w:leader="none" w:pos="2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Includes net reimbursement to and from Pfizer pursuant to the Vepdegestrant (ARV-471) Collaboration Agreement.</w:t>
      </w:r>
    </w:p>
    <w:p>
      <w:pPr>
        <w:spacing w:after="0" w:line="150" w:lineRule="exact"/>
        <w:rPr>
          <w:sz w:val="20"/>
          <w:szCs w:val="20"/>
          <w:color w:val="auto"/>
        </w:rPr>
      </w:pPr>
    </w:p>
    <w:p>
      <w:pPr>
        <w:ind w:left="8" w:right="40" w:firstLine="432"/>
        <w:spacing w:after="0" w:line="293" w:lineRule="auto"/>
        <w:rPr>
          <w:sz w:val="20"/>
          <w:szCs w:val="20"/>
          <w:color w:val="auto"/>
        </w:rPr>
      </w:pPr>
      <w:r>
        <w:rPr>
          <w:rFonts w:ascii="Arial" w:cs="Arial" w:eastAsia="Arial" w:hAnsi="Arial"/>
          <w:sz w:val="11"/>
          <w:szCs w:val="11"/>
          <w:color w:val="auto"/>
        </w:rPr>
        <w:t xml:space="preserve">Research and development activities are central to our business model. We expect that our research and development expenses will continue to increase substantially for the foreseeable future as we continue to conduct our ongoing clinical trials of vepdegestrant, ARV-102 and ARV-393 and continue to discover and develop additional product candidates. Research and development expenses related to vepdegestrant are shared equally with Pfizer since July 22, 2021, the effective date of the Vepdegestrant (ARV-471) Collaboration Agreement. We may receive reimbursement from, or make payments to, Pfizer to satisfy the cost sharing requirements. These payments are accounted for pursuant to ASC 808, </w:t>
      </w:r>
      <w:r>
        <w:rPr>
          <w:rFonts w:ascii="Arial" w:cs="Arial" w:eastAsia="Arial" w:hAnsi="Arial"/>
          <w:sz w:val="11"/>
          <w:szCs w:val="11"/>
          <w:i w:val="1"/>
          <w:iCs w:val="1"/>
          <w:color w:val="auto"/>
        </w:rPr>
        <w:t>Collaborative Arrangements</w:t>
      </w:r>
      <w:r>
        <w:rPr>
          <w:rFonts w:ascii="Arial" w:cs="Arial" w:eastAsia="Arial" w:hAnsi="Arial"/>
          <w:sz w:val="11"/>
          <w:szCs w:val="11"/>
          <w:color w:val="auto"/>
        </w:rPr>
        <w:t>, which are recorded as an offset or an increase to research and development expenses.</w:t>
      </w:r>
    </w:p>
    <w:p>
      <w:pPr>
        <w:spacing w:after="0" w:line="102" w:lineRule="exact"/>
        <w:rPr>
          <w:sz w:val="20"/>
          <w:szCs w:val="20"/>
          <w:color w:val="auto"/>
        </w:rPr>
      </w:pPr>
    </w:p>
    <w:p>
      <w:pPr>
        <w:ind w:left="8" w:right="60" w:firstLine="432"/>
        <w:spacing w:after="0" w:line="262" w:lineRule="auto"/>
        <w:rPr>
          <w:sz w:val="20"/>
          <w:szCs w:val="20"/>
          <w:color w:val="auto"/>
        </w:rPr>
      </w:pPr>
      <w:r>
        <w:rPr>
          <w:rFonts w:ascii="Arial" w:cs="Arial" w:eastAsia="Arial" w:hAnsi="Arial"/>
          <w:sz w:val="12"/>
          <w:szCs w:val="12"/>
          <w:color w:val="auto"/>
        </w:rPr>
        <w:t>We cannot determine with certainty the duration and costs of ongoing and future clinical trials of vepdegestrant, ARV-102 and ARV-393 or unexpected costs of ongoing clinical trials for bavdegalutamide,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successful development and commercialization of our product candidates is highly uncertain. This is due to the numerous risks and uncertainties associated with developing drugs, including the uncertainty of:</w:t>
      </w:r>
    </w:p>
    <w:p>
      <w:pPr>
        <w:spacing w:after="0" w:line="45" w:lineRule="exact"/>
        <w:rPr>
          <w:sz w:val="20"/>
          <w:szCs w:val="20"/>
          <w:color w:val="auto"/>
        </w:rPr>
      </w:pPr>
    </w:p>
    <w:p>
      <w:pPr>
        <w:ind w:left="648" w:hanging="216"/>
        <w:spacing w:after="0"/>
        <w:tabs>
          <w:tab w:leader="none" w:pos="6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successfully completing preclinical studies and clinical trials;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receipt and related terms of marketing approvals from applicable regulatory authorities;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product candidates;</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making or maintaining arrangements with third-party manufacturers, or establishing manufacturing capabilities, for both clinical and commercial supplies of our product candidates;</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9" w:right="299" w:bottom="1440" w:gutter="0" w:footer="0" w:header="0"/>
        </w:sectPr>
      </w:pPr>
    </w:p>
    <w:bookmarkStart w:id="141" w:name="page142"/>
    <w:bookmarkEnd w:id="141"/>
    <w:p>
      <w:pPr>
        <w:ind w:left="640" w:hanging="216"/>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establishing sales, marketing, market access and distribution capabilities and launching commercial sales of our products, if and when approved, whether alone or in collaboration with others;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acceptance of our products, if and when approved, by patients, the medical community and third-party payors;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obtaining and maintaining third-party coverage and adequate reimbursement;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maintaining a continued acceptable safety profile of the products following approval;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150" w:lineRule="exact"/>
        <w:rPr>
          <w:sz w:val="20"/>
          <w:szCs w:val="20"/>
          <w:color w:val="auto"/>
        </w:rPr>
      </w:pPr>
    </w:p>
    <w:p>
      <w:pPr>
        <w:ind w:left="200" w:right="160" w:firstLine="432"/>
        <w:spacing w:after="0" w:line="262" w:lineRule="auto"/>
        <w:rPr>
          <w:sz w:val="20"/>
          <w:szCs w:val="20"/>
          <w:color w:val="auto"/>
        </w:rPr>
      </w:pPr>
      <w:r>
        <w:rPr>
          <w:rFonts w:ascii="Arial" w:cs="Arial" w:eastAsia="Arial" w:hAnsi="Arial"/>
          <w:sz w:val="12"/>
          <w:szCs w:val="12"/>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6"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14" w:lineRule="exact"/>
        <w:rPr>
          <w:sz w:val="20"/>
          <w:szCs w:val="20"/>
          <w:color w:val="auto"/>
        </w:rPr>
      </w:pPr>
    </w:p>
    <w:p>
      <w:pPr>
        <w:ind w:right="40" w:firstLine="432"/>
        <w:spacing w:after="0" w:line="303" w:lineRule="auto"/>
        <w:rPr>
          <w:sz w:val="20"/>
          <w:szCs w:val="20"/>
          <w:color w:val="auto"/>
        </w:rPr>
      </w:pPr>
      <w:r>
        <w:rPr>
          <w:rFonts w:ascii="Arial" w:cs="Arial" w:eastAsia="Arial" w:hAnsi="Arial"/>
          <w:sz w:val="11"/>
          <w:szCs w:val="11"/>
          <w:color w:val="auto"/>
        </w:rPr>
        <w:t>We expect that our general and administrative expenses will increase in the future as we increase our personnel headcount to support increased research and development activities relating to our product candidates and develop our commercial operations. We also expect to incur increased expenses associated with being a public company, including costs of accounting, audit, legal, regulatory and tax-related services associated with maintaining compliance with Nasdaq Stock Market and Securities and Exchange Commission requirements; director and officer insurance costs; and investor and public relations costs.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consists primarily of interest income from marketable securities and money market accounts and losses on the disposal of fixed assets.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78"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Since our inception in 2013, we have not recorded any U.S. federal or state income tax benefits for the net losses we have incurred in any year or for our federal or state earned research and development tax credits, due to our uncertainty of realizing a benefit from those items.</w:t>
      </w:r>
    </w:p>
    <w:p>
      <w:pPr>
        <w:spacing w:after="0" w:line="103"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As of December 31, 2024, we had $111.0 million of federal net operating loss carryforwards, all of which may be carried forward indefinitely, but the deductibility of such carryforwards is limited to 80% of our taxable income in the year in which carryforwards are used, $129.0 million of state and local net operating loss carryforwards which expire at various dates beginning in 2035, $37.7 million of federal tax credit carryforwards and $22.4 million of state tax credit carryforwards as of December 31, 2024 which expire at various dates beginning in 2040.</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As of December 31, 2024, Arvinas, Inc. had four wholly owned subsidiaries organized as C-corporations: Arvinas Operations, Inc., Arvinas Androgen Receptor, Inc., Arvinas Estrogen Receptor, Inc., and Arvinas Winchester, Inc. Prior to December 31, 2018, these subsidiaries were separate filers for federal tax purposes. Net operating loss carryforwards are generated from the C-corporation subsidiaries’ filings. We have provided a valuation allowance against the full amount of the deferred tax assets since, in the opinion of management, based upon our earnings history, it is more likely than not that the benefits will not be realized.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19"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While our significant accounting policies are described in more detail in the notes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6"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 xml:space="preserve">We recognize revenue under Accounting Standards Codification, or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Our revenue is primarily generated through research collaboration and license agreements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 -refundable, upfront license or option fees, payments for research and development activities, payments upon the achievement of certain milestones and royalty payments based on product sales derived from the collaboration. Under ASC 606, we evaluate whether the license agreement, research and development services and participation in research and development steering committees represent separate or combined performance obligations. We have determined that these services within our existing contracts represent combined single performance obligations. We also generated revenue through the sale of assets based on fair value.</w:t>
      </w:r>
    </w:p>
    <w:p>
      <w:pPr>
        <w:spacing w:after="0" w:line="121"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We continually assess the probability of significant reversals for any amounts that become likely to be realized prior to recognizing the variable consideration associated with these payments within the transaction price.</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Revenue is recognized ratably over our expected performance period under each respective arrangement. We make our best estimate of the period over which we expect to fulfill our performance obligations, which includes access to technology through the license agreement and research activities. Given the uncertainties of these collaboration arrangements, significant judgement is required to determine the duration of the performance period.</w:t>
      </w:r>
    </w:p>
    <w:p>
      <w:pPr>
        <w:spacing w:after="0" w:line="114"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For the years ended December 31, 2024, 2023 and 2022, the transaction price allocated to the combined performance obligations identified under the individual research collaboration and license agreements was recognized as revenue on either a straight-line basis over the estimated performance period under the arrangement or over the estimated performance period based on our best estimate of costs to be incurred. Straight-line basis was considered the best measure of progress for certain agreements in which control of the combined obligation transfers to the customers, due to the contract containing license rights to technology, research and development services, and joint committee participation, which in totality are expected to occur ratably over the performance period.</w:t>
      </w:r>
    </w:p>
    <w:p>
      <w:pPr>
        <w:spacing w:after="0" w:line="117" w:lineRule="exact"/>
        <w:rPr>
          <w:sz w:val="20"/>
          <w:szCs w:val="20"/>
          <w:color w:val="auto"/>
        </w:rPr>
      </w:pPr>
    </w:p>
    <w:p>
      <w:pPr>
        <w:jc w:val="both"/>
        <w:ind w:right="180" w:firstLine="432"/>
        <w:spacing w:after="0" w:line="268" w:lineRule="auto"/>
        <w:rPr>
          <w:sz w:val="20"/>
          <w:szCs w:val="20"/>
          <w:color w:val="auto"/>
        </w:rPr>
      </w:pPr>
      <w:r>
        <w:rPr>
          <w:rFonts w:ascii="Arial" w:cs="Arial" w:eastAsia="Arial" w:hAnsi="Arial"/>
          <w:sz w:val="12"/>
          <w:szCs w:val="12"/>
          <w:color w:val="auto"/>
        </w:rPr>
        <w:t>Our contracts may also call for certain sales-based milestones and royalty payments upon successful commercialization of a target. In accordance with ASC 606-10-55-65, we recognize revenues from sales-based milestone and royalty payments at the later of (i) the occurrence of the subsequent sale, or (ii) the performance obligation to which some or all of the sales-based milestone or royalty payments has been allocated has been satisfied (or partially satisfied). We anticipate recognizing these milestones and royalty payments if and when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83" w:right="359" w:bottom="1440" w:gutter="0" w:footer="0" w:header="0"/>
        </w:sectPr>
      </w:pPr>
    </w:p>
    <w:bookmarkStart w:id="143" w:name="page144"/>
    <w:bookmarkEnd w:id="143"/>
    <w:p>
      <w:pPr>
        <w:spacing w:after="0"/>
        <w:rPr>
          <w:sz w:val="20"/>
          <w:szCs w:val="20"/>
          <w:color w:val="auto"/>
        </w:rPr>
      </w:pPr>
      <w:r>
        <w:rPr>
          <w:rFonts w:ascii="Arial" w:cs="Arial" w:eastAsia="Arial" w:hAnsi="Arial"/>
          <w:sz w:val="12"/>
          <w:szCs w:val="12"/>
          <w:color w:val="auto"/>
        </w:rPr>
        <w:t>subsequent sales are generated by customers from the use of the technology. To date, no revenue from these sales-based milestone and royalty payments has been recognized for any periods.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Amounts received prior to satisfying the above revenue recognition criteria are recorded as contract liabilities in our accompanying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Contract Costs and Accruals</w:t>
      </w:r>
    </w:p>
    <w:p>
      <w:pPr>
        <w:spacing w:after="0" w:line="76"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49" w:lineRule="exact"/>
        <w:rPr>
          <w:sz w:val="20"/>
          <w:szCs w:val="20"/>
          <w:color w:val="auto"/>
        </w:rPr>
      </w:pPr>
    </w:p>
    <w:p>
      <w:pPr>
        <w:ind w:left="860" w:hanging="220"/>
        <w:spacing w:after="0"/>
        <w:tabs>
          <w:tab w:leader="none" w:pos="8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vendors in connection with clinical development activities; and</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CROs and investigative sites in connection with pre-clinical, non-clinical, and human clinical trials.</w:t>
      </w:r>
    </w:p>
    <w:p>
      <w:pPr>
        <w:spacing w:after="0" w:line="150"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base the expense recorded related to external research and development on our estimates of the services received and efforts expended pursuant to quotes and contracts with multiple CMOs and CROs that supply, conduct and manage clinical trials on our behalf. The financial terms of these agreements are subject to negotiation, vary from contract to contract and may result in uneven payment streams.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Accounting Pronouncements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For information on new accounting standards, see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our consolidated financial statements appearing elsewhere in this Annual Report on Form 10-K.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2"/>
          <w:szCs w:val="12"/>
          <w:b w:val="1"/>
          <w:bCs w:val="1"/>
          <w:color w:val="auto"/>
        </w:rPr>
        <w:t>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December 31,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Years Ended December 31,</w:t>
            </w: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25"/>
        </w:trPr>
        <w:tc>
          <w:tcPr>
            <w:tcW w:w="600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 change</w:t>
            </w:r>
          </w:p>
        </w:tc>
      </w:tr>
      <w:tr>
        <w:trPr>
          <w:trHeight w:val="14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184.9</w:t>
            </w:r>
          </w:p>
        </w:tc>
      </w:tr>
      <w:tr>
        <w:trPr>
          <w:trHeight w:val="153"/>
        </w:trPr>
        <w:tc>
          <w:tcPr>
            <w:tcW w:w="6000" w:type="dxa"/>
            <w:vAlign w:val="bottom"/>
          </w:tcPr>
          <w:p>
            <w:pPr>
              <w:ind w:left="140"/>
              <w:spacing w:after="0"/>
              <w:rPr>
                <w:sz w:val="20"/>
                <w:szCs w:val="20"/>
                <w:color w:val="auto"/>
              </w:rPr>
            </w:pPr>
            <w:r>
              <w:rPr>
                <w:rFonts w:ascii="Arial" w:cs="Arial" w:eastAsia="Arial" w:hAnsi="Arial"/>
                <w:sz w:val="12"/>
                <w:szCs w:val="12"/>
                <w:color w:val="auto"/>
              </w:rPr>
              <w:t>Research and development expenses</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(379.7)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31.5</w:t>
            </w:r>
          </w:p>
        </w:tc>
      </w:tr>
      <w:tr>
        <w:trPr>
          <w:trHeight w:val="153"/>
        </w:trPr>
        <w:tc>
          <w:tcPr>
            <w:tcW w:w="6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expenses</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r>
      <w:tr>
        <w:trPr>
          <w:trHeight w:val="153"/>
        </w:trPr>
        <w:tc>
          <w:tcPr>
            <w:tcW w:w="6000" w:type="dxa"/>
            <w:vAlign w:val="bottom"/>
          </w:tcPr>
          <w:p>
            <w:pPr>
              <w:ind w:left="300"/>
              <w:spacing w:after="0"/>
              <w:rPr>
                <w:sz w:val="20"/>
                <w:szCs w:val="20"/>
                <w:color w:val="auto"/>
              </w:rPr>
            </w:pPr>
            <w:r>
              <w:rPr>
                <w:rFonts w:ascii="Arial" w:cs="Arial" w:eastAsia="Arial" w:hAnsi="Arial"/>
                <w:sz w:val="12"/>
                <w:szCs w:val="12"/>
                <w:color w:val="auto"/>
              </w:rPr>
              <w:t>Other income</w:t>
            </w:r>
          </w:p>
        </w:tc>
        <w:tc>
          <w:tcPr>
            <w:tcW w:w="42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51.9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14.3</w:t>
            </w:r>
          </w:p>
        </w:tc>
      </w:tr>
      <w:tr>
        <w:trPr>
          <w:trHeight w:val="153"/>
        </w:trPr>
        <w:tc>
          <w:tcPr>
            <w:tcW w:w="6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Income tax expense</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0.3</w:t>
            </w:r>
          </w:p>
        </w:tc>
      </w:tr>
      <w:tr>
        <w:trPr>
          <w:trHeight w:val="153"/>
        </w:trPr>
        <w:tc>
          <w:tcPr>
            <w:tcW w:w="6000" w:type="dxa"/>
            <w:vAlign w:val="bottom"/>
          </w:tcPr>
          <w:p>
            <w:pPr>
              <w:ind w:left="440"/>
              <w:spacing w:after="0"/>
              <w:rPr>
                <w:sz w:val="20"/>
                <w:szCs w:val="20"/>
                <w:color w:val="auto"/>
              </w:rPr>
            </w:pPr>
            <w:r>
              <w:rPr>
                <w:rFonts w:ascii="Arial" w:cs="Arial" w:eastAsia="Arial" w:hAnsi="Arial"/>
                <w:sz w:val="12"/>
                <w:szCs w:val="12"/>
                <w:color w:val="auto"/>
              </w:rPr>
              <w:t>Loss from equity method investment</w:t>
            </w:r>
          </w:p>
        </w:tc>
        <w:tc>
          <w:tcPr>
            <w:tcW w:w="4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2.5</w:t>
            </w:r>
          </w:p>
        </w:tc>
      </w:tr>
      <w:tr>
        <w:trPr>
          <w:trHeight w:val="176"/>
        </w:trPr>
        <w:tc>
          <w:tcPr>
            <w:tcW w:w="600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Arial" w:cs="Arial" w:eastAsia="Arial" w:hAnsi="Arial"/>
                <w:sz w:val="12"/>
                <w:szCs w:val="12"/>
                <w:b w:val="1"/>
                <w:bCs w:val="1"/>
                <w:color w:val="auto"/>
              </w:rPr>
              <w:t>Net loss</w:t>
            </w:r>
          </w:p>
        </w:tc>
        <w:tc>
          <w:tcPr>
            <w:tcW w:w="42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168.4</w:t>
            </w:r>
          </w:p>
        </w:tc>
      </w:tr>
    </w:tbl>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7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Revenues for the year ended December 31, 2024 totaled $263.4 million, compared with $78.5 million for the year ended December 31, 2023. The increase of $184.9 million was primarily due to revenue from the Novartis License Agreement and the Novartis Asset Agreement of $ 162.4 million, an increase in revenue from the Vepdegestrant (ARV-471) Collaboration Agreement with Pfizer totaling $21.7 million due in part to adjustments to revenue from changes in contract estimates in 2023 and year over year increases in revenue of $ 2.8 million and $2.2 million from the Bayer Collaboration Agreement and the Pfizer Research Collaboration Agreement, respectively, primarily due to changes in estimates in 2023 of the performance period duration under the agreements resulting from updated research timelines, offset by a decrease of $2.5 million of previously constrained deferred revenue related to our Oerth Bio joint venture, and a decrease of $1.8 million of revenue under the Restated Genentech Agreement as the performance period concluded during the first quarter of 2023.</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6"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Research and development expenses for the year ended December 31, 2024 totaled $348.2 million, compared with $379.7 million for the year ended December 31, 2023. The decrease of $31.5 million was primarily due to a decrease in external expenses of $41.7 million, partially offset by an increase in compensation and related personnel expenses of $11.2 million, which are not allocated by program. External expenses include program-specific expenses, which decreased by $32.1 million, driven by decreases in our vepdegestrant and bavdegalutamide (ARV-110) programs of $27.9 million and $18.1 million, respectively, partially offset by increases in our ARV-102 and ARV-393 programs of $10.7 million and $5.4 million, respectively, and our non-program specific expenses, which decreased by $9.6 million.</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6" w:lineRule="exact"/>
        <w:rPr>
          <w:sz w:val="20"/>
          <w:szCs w:val="20"/>
          <w:color w:val="auto"/>
        </w:rPr>
      </w:pPr>
    </w:p>
    <w:p>
      <w:pPr>
        <w:jc w:val="both"/>
        <w:ind w:right="80" w:firstLine="432"/>
        <w:spacing w:after="0" w:line="268" w:lineRule="auto"/>
        <w:rPr>
          <w:sz w:val="20"/>
          <w:szCs w:val="20"/>
          <w:color w:val="auto"/>
        </w:rPr>
      </w:pPr>
      <w:r>
        <w:rPr>
          <w:rFonts w:ascii="Arial" w:cs="Arial" w:eastAsia="Arial" w:hAnsi="Arial"/>
          <w:sz w:val="12"/>
          <w:szCs w:val="12"/>
          <w:color w:val="auto"/>
        </w:rPr>
        <w:t>General and administrative expenses totaled $165.4 million for the year ended December 31, 2024, compared with $100.3 million for the year ended December 31, 2023. The increase of $65.1 million was primarily due to a loss on the termination of our laboratory and office space lease with 101 College Street LLC in August 2024 of $ 43.4 million as well as increased spending in personnel and infrastructure related costs of $9.0 million, an increase in professional fees of $8.1 million and costs related to developing our commercial operations of $4.2 million.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Income</w:t>
      </w:r>
    </w:p>
    <w:p>
      <w:pPr>
        <w:spacing w:after="0" w:line="76" w:lineRule="exact"/>
        <w:rPr>
          <w:sz w:val="20"/>
          <w:szCs w:val="20"/>
          <w:color w:val="auto"/>
        </w:rPr>
      </w:pPr>
    </w:p>
    <w:p>
      <w:pPr>
        <w:ind w:right="240" w:firstLine="432"/>
        <w:spacing w:after="0" w:line="286" w:lineRule="auto"/>
        <w:rPr>
          <w:sz w:val="20"/>
          <w:szCs w:val="20"/>
          <w:color w:val="auto"/>
        </w:rPr>
      </w:pPr>
      <w:r>
        <w:rPr>
          <w:rFonts w:ascii="Arial" w:cs="Arial" w:eastAsia="Arial" w:hAnsi="Arial"/>
          <w:sz w:val="12"/>
          <w:szCs w:val="12"/>
          <w:color w:val="auto"/>
        </w:rPr>
        <w:t>Other income totaled $51.9 million for the year ended December 31, 2024, compared with $37.6 million for the year ended December 31, 2023. The increase of $14.3 million was primarily due to higher interest income of $16.1 million from marketable securities and money market accounts, partially offset by a loss on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45" w:name="page146"/>
    <w:bookmarkEnd w:id="145"/>
    <w:p>
      <w:pPr>
        <w:spacing w:after="0"/>
        <w:rPr>
          <w:sz w:val="20"/>
          <w:szCs w:val="20"/>
          <w:color w:val="auto"/>
        </w:rPr>
      </w:pPr>
      <w:r>
        <w:rPr>
          <w:rFonts w:ascii="Arial" w:cs="Arial" w:eastAsia="Arial" w:hAnsi="Arial"/>
          <w:sz w:val="12"/>
          <w:szCs w:val="12"/>
          <w:color w:val="auto"/>
        </w:rPr>
        <w:t>disposal of fixed assets of $2.4 million related to the termination of our laboratory and office space lease with 101 College Street LLC in August 2024.</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76"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Income tax expense totaled $0.6 million for the year ended December 31, 2024, compared with $0.9 million for the year ended December 31, 2023. We generated a taxable income for the year ended December 31, 2024 primarily due to the Novartis License Agreement, the Novartis Asset Agreement and the required capitalization of research and development expenses. For the year ended December 31, 2023, we generated a taxable loss primarily due to operating losses.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Loss from Equity Method Investment</w:t>
      </w:r>
    </w:p>
    <w:p>
      <w:pPr>
        <w:spacing w:after="0" w:line="76" w:lineRule="exact"/>
        <w:rPr>
          <w:sz w:val="20"/>
          <w:szCs w:val="20"/>
          <w:color w:val="auto"/>
        </w:rPr>
      </w:pPr>
    </w:p>
    <w:p>
      <w:pPr>
        <w:ind w:right="160" w:firstLine="432"/>
        <w:spacing w:after="0" w:line="286" w:lineRule="auto"/>
        <w:rPr>
          <w:sz w:val="20"/>
          <w:szCs w:val="20"/>
          <w:color w:val="auto"/>
        </w:rPr>
      </w:pPr>
      <w:r>
        <w:rPr>
          <w:rFonts w:ascii="Arial" w:cs="Arial" w:eastAsia="Arial" w:hAnsi="Arial"/>
          <w:sz w:val="12"/>
          <w:szCs w:val="12"/>
          <w:color w:val="auto"/>
        </w:rPr>
        <w:t>Loss from equity method investment totaled zero for the year ended December 31, 2024, compared with $2.5 million for the year ended December 31, 2023. The decrease of $2.5 million was due to fully recognizing the remaining constrained revenue and the related equity method losses during the year ended December 31, 2023.</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Operations — Years Ended December 31, 2023 and 2022</w:t>
      </w:r>
    </w:p>
    <w:p>
      <w:pPr>
        <w:spacing w:after="0" w:line="76" w:lineRule="exact"/>
        <w:rPr>
          <w:sz w:val="20"/>
          <w:szCs w:val="20"/>
          <w:color w:val="auto"/>
        </w:rPr>
      </w:pPr>
    </w:p>
    <w:p>
      <w:pPr>
        <w:ind w:right="240" w:firstLine="432"/>
        <w:spacing w:after="0" w:line="268" w:lineRule="auto"/>
        <w:rPr>
          <w:sz w:val="20"/>
          <w:szCs w:val="20"/>
          <w:color w:val="auto"/>
        </w:rPr>
      </w:pPr>
      <w:r>
        <w:rPr>
          <w:rFonts w:ascii="Arial" w:cs="Arial" w:eastAsia="Arial" w:hAnsi="Arial"/>
          <w:sz w:val="12"/>
          <w:szCs w:val="12"/>
          <w:color w:val="auto"/>
        </w:rPr>
        <w:t>Discussion and analysis of the results of operations for the year ended December 31, 2023 compared to the year ended December 31, 2022 is included under the heading "Comparison of Years Ended December 31, 2023 and 2022" in Part II, Item 7, Management’s Discussion and Analysis of Financial Condition and Results of Operations, in our 2023 Annual Report on Form 10-K as filed with the SEC on February 27, 2024 and incorporated by reference into this Annual Report on Form 10-K.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6"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We do not currently have any approved products and have never generated any revenue from product sales. To date, we have financed our operations primarily through sales of assets and equity interests, proceeds from collaborations and a licensing arrangement, grant funding and debt financing. Since inception through December 31, 2024, we had received an aggregate of $913.0 million in payments from collaboration partners and a licensing arrangement, grant funding and forgivable and partially forgivable loans from the State of Connecticut and raised approximately $1.7 billion in gross proceeds from the sale of assets and equity interests and the exercise of stock options, including:</w:t>
      </w:r>
    </w:p>
    <w:p>
      <w:pPr>
        <w:spacing w:after="0" w:line="45" w:lineRule="exact"/>
        <w:rPr>
          <w:sz w:val="20"/>
          <w:szCs w:val="20"/>
          <w:color w:val="auto"/>
        </w:rPr>
      </w:pPr>
    </w:p>
    <w:p>
      <w:pPr>
        <w:ind w:left="640" w:right="140" w:hanging="216"/>
        <w:spacing w:after="0" w:line="286" w:lineRule="auto"/>
        <w:tabs>
          <w:tab w:leader="none" w:pos="637" w:val="left"/>
        </w:tabs>
        <w:numPr>
          <w:ilvl w:val="0"/>
          <w:numId w:val="77"/>
        </w:numPr>
        <w:rPr>
          <w:rFonts w:ascii="Arial" w:cs="Arial" w:eastAsia="Arial" w:hAnsi="Arial"/>
          <w:sz w:val="12"/>
          <w:szCs w:val="12"/>
          <w:color w:val="auto"/>
        </w:rPr>
      </w:pPr>
      <w:r>
        <w:rPr>
          <w:rFonts w:ascii="Arial" w:cs="Arial" w:eastAsia="Arial" w:hAnsi="Arial"/>
          <w:sz w:val="12"/>
          <w:szCs w:val="12"/>
          <w:color w:val="auto"/>
        </w:rPr>
        <w:t>October 2018: completion of our initial public offering in which we issued and sold an aggregate of 7,700,482 shares of common stock for aggregate gross proceeds of $123.2 million, before fees and expenses;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July 2019: sale of 1,346,313 shares of common stock to Bayer AG for aggregate gross proceeds of $32.5 million;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November 2019: completion of a follow-on offering in which we issued and sold 5,227,273 shares of common stock for aggregate gross proceeds of $115.0 million, before fees and expenses;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September - December 2020: sale of 2,593,637 shares of common stock in an “at-the-market offering” for aggregate gross proceeds of $65.6 million, before fees and expenses;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December 2020: completion of a follow-on offering in which we issued and sold 6,571,428 shares of common stock for aggregate gross proceeds of $460.0 million, before fees and expenses;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September 2021: issuance of 3,457,815 shares of common stock to Pfizer for aggregate gross proceeds of $350.0 million.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7"/>
        </w:numPr>
        <w:rPr>
          <w:rFonts w:ascii="Arial" w:cs="Arial" w:eastAsia="Arial" w:hAnsi="Arial"/>
          <w:sz w:val="12"/>
          <w:szCs w:val="12"/>
          <w:i w:val="1"/>
          <w:iCs w:val="1"/>
          <w:color w:val="auto"/>
        </w:rPr>
      </w:pPr>
      <w:r>
        <w:rPr>
          <w:rFonts w:ascii="Arial" w:cs="Arial" w:eastAsia="Arial" w:hAnsi="Arial"/>
          <w:sz w:val="12"/>
          <w:szCs w:val="12"/>
          <w:color w:val="auto"/>
        </w:rPr>
        <w:t>August 2023: sale of 1,449,275 shares of common stock in an “at-the-market" offering for aggregate gross proceeds of $37.2 million before fees and expenses;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6" w:name="page147"/>
    <w:bookmarkEnd w:id="146"/>
    <w:p>
      <w:pPr>
        <w:ind w:left="640" w:right="180" w:hanging="216"/>
        <w:spacing w:after="0" w:line="286" w:lineRule="auto"/>
        <w:tabs>
          <w:tab w:leader="none" w:pos="637" w:val="left"/>
        </w:tabs>
        <w:numPr>
          <w:ilvl w:val="0"/>
          <w:numId w:val="78"/>
        </w:numPr>
        <w:rPr>
          <w:rFonts w:ascii="Arial" w:cs="Arial" w:eastAsia="Arial" w:hAnsi="Arial"/>
          <w:sz w:val="12"/>
          <w:szCs w:val="12"/>
          <w:i w:val="1"/>
          <w:iCs w:val="1"/>
          <w:color w:val="auto"/>
        </w:rPr>
      </w:pPr>
      <w:r>
        <w:rPr>
          <w:rFonts w:ascii="Arial" w:cs="Arial" w:eastAsia="Arial" w:hAnsi="Arial"/>
          <w:sz w:val="12"/>
          <w:szCs w:val="12"/>
          <w:color w:val="auto"/>
        </w:rPr>
        <w:t>November 2023: sale of 12,963,542 shares of common stock and pre-funded warrants to purchase 3,422,380 shares of common stock in a private placement for aggregate gross proceeds of $350.0 million before fees and expenses; and</w:t>
      </w:r>
    </w:p>
    <w:p>
      <w:pPr>
        <w:spacing w:after="0" w:line="31" w:lineRule="exact"/>
        <w:rPr>
          <w:rFonts w:ascii="Arial" w:cs="Arial" w:eastAsia="Arial" w:hAnsi="Arial"/>
          <w:sz w:val="12"/>
          <w:szCs w:val="12"/>
          <w:i w:val="1"/>
          <w:iCs w:val="1"/>
          <w:color w:val="auto"/>
        </w:rPr>
      </w:pPr>
    </w:p>
    <w:p>
      <w:pPr>
        <w:ind w:left="640" w:hanging="216"/>
        <w:spacing w:after="0"/>
        <w:tabs>
          <w:tab w:leader="none" w:pos="6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April 2024: sale of AR-V7 to Novartis under the Novartis Asset Agreement for $20.0 million.</w:t>
      </w:r>
    </w:p>
    <w:p>
      <w:pPr>
        <w:spacing w:after="0" w:line="150" w:lineRule="exact"/>
        <w:rPr>
          <w:sz w:val="20"/>
          <w:szCs w:val="20"/>
          <w:color w:val="auto"/>
        </w:rPr>
      </w:pPr>
    </w:p>
    <w:p>
      <w:pPr>
        <w:jc w:val="both"/>
        <w:ind w:right="300" w:firstLine="432"/>
        <w:spacing w:after="0" w:line="268" w:lineRule="auto"/>
        <w:rPr>
          <w:sz w:val="20"/>
          <w:szCs w:val="20"/>
          <w:color w:val="auto"/>
        </w:rPr>
      </w:pPr>
      <w:r>
        <w:rPr>
          <w:rFonts w:ascii="Arial" w:cs="Arial" w:eastAsia="Arial" w:hAnsi="Arial"/>
          <w:sz w:val="12"/>
          <w:szCs w:val="12"/>
          <w:color w:val="auto"/>
        </w:rPr>
        <w:t>In November 2023, we amended and restated the Equity Distribution Agreement with Piper Sandler &amp; Company and Cantor Fitzgerald &amp; Co., pursuant to which we may offer and sell from time to time, through the agents, up to approximately $262.8 million of the common stock registered under the universal shelf registration statement pursuant to one or more “at-the-market” offerings. During the year ended December 31, 2024, no shares were issued under the amended and restated agreement.</w:t>
      </w:r>
    </w:p>
    <w:p>
      <w:pPr>
        <w:spacing w:after="0" w:line="6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2"/>
          <w:szCs w:val="12"/>
          <w:color w:val="auto"/>
        </w:rPr>
        <w:t>In July 2021, we entered into the Vepdegestrant (ARV-471) Collaboration Agreement with Pfizer, pursuant to which we granted Pfizer worldwide co-exclusive rights to develop and commercialize products containing our proprietary compound vepdegestrant. Under the Vepdegestrant (ARV-471) Collaboration Agreement, Pfizer made an upfront, nonrefundable payment of $650.0 million.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76" w:lineRule="exact"/>
        <w:rPr>
          <w:sz w:val="20"/>
          <w:szCs w:val="20"/>
          <w:color w:val="auto"/>
        </w:rPr>
      </w:pPr>
    </w:p>
    <w:p>
      <w:pPr>
        <w:ind w:right="320" w:firstLine="432"/>
        <w:spacing w:after="0" w:line="286" w:lineRule="auto"/>
        <w:rPr>
          <w:sz w:val="20"/>
          <w:szCs w:val="20"/>
          <w:color w:val="auto"/>
        </w:rPr>
      </w:pPr>
      <w:r>
        <w:rPr>
          <w:rFonts w:ascii="Arial" w:cs="Arial" w:eastAsia="Arial" w:hAnsi="Arial"/>
          <w:sz w:val="12"/>
          <w:szCs w:val="12"/>
          <w:color w:val="auto"/>
        </w:rPr>
        <w:t>Our cash, cash equivalents, restricted cash and marketable securities totaled $1.0 billion and $1.3 billion as of December 31, 2024 and 2023, respectively. We had an outstanding loan balance of $0.8 million and $1.0 million as of December 31, 2024 and 2023, respectively.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sources and uses of cash for the period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6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4"/>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2022</w:t>
            </w:r>
          </w:p>
        </w:tc>
      </w:tr>
      <w:tr>
        <w:trPr>
          <w:trHeight w:val="161"/>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(259.3)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FF0FC"/>
          </w:tcPr>
          <w:p>
            <w:pPr>
              <w:jc w:val="center"/>
              <w:ind w:left="944"/>
              <w:spacing w:after="0"/>
              <w:rPr>
                <w:sz w:val="20"/>
                <w:szCs w:val="20"/>
                <w:color w:val="auto"/>
              </w:rPr>
            </w:pPr>
            <w:r>
              <w:rPr>
                <w:rFonts w:ascii="Arial" w:cs="Arial" w:eastAsia="Arial" w:hAnsi="Arial"/>
                <w:sz w:val="12"/>
                <w:szCs w:val="12"/>
                <w:color w:val="auto"/>
                <w:w w:val="99"/>
              </w:rPr>
              <w:t>(347.8)</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(273.5)</w:t>
            </w:r>
          </w:p>
        </w:tc>
      </w:tr>
      <w:tr>
        <w:trPr>
          <w:trHeight w:val="171"/>
        </w:trPr>
        <w:tc>
          <w:tcPr>
            <w:tcW w:w="6680" w:type="dxa"/>
            <w:vAlign w:val="bottom"/>
          </w:tcPr>
          <w:p>
            <w:pPr>
              <w:spacing w:after="0"/>
              <w:rPr>
                <w:sz w:val="20"/>
                <w:szCs w:val="20"/>
                <w:color w:val="auto"/>
              </w:rPr>
            </w:pPr>
            <w:r>
              <w:rPr>
                <w:rFonts w:ascii="Arial" w:cs="Arial" w:eastAsia="Arial" w:hAnsi="Arial"/>
                <w:sz w:val="12"/>
                <w:szCs w:val="12"/>
                <w:color w:val="auto"/>
              </w:rPr>
              <w:t>Net cash provided by investing activities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left="944"/>
              <w:spacing w:after="0"/>
              <w:rPr>
                <w:sz w:val="20"/>
                <w:szCs w:val="20"/>
                <w:color w:val="auto"/>
              </w:rPr>
            </w:pPr>
            <w:r>
              <w:rPr>
                <w:rFonts w:ascii="Arial" w:cs="Arial" w:eastAsia="Arial" w:hAnsi="Arial"/>
                <w:sz w:val="12"/>
                <w:szCs w:val="12"/>
                <w:color w:val="auto"/>
                <w:w w:val="99"/>
              </w:rPr>
              <w:t>203.5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242.8</w:t>
            </w:r>
          </w:p>
        </w:tc>
      </w:tr>
      <w:tr>
        <w:trPr>
          <w:trHeight w:val="171"/>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3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center"/>
              <w:ind w:left="944"/>
              <w:spacing w:after="0"/>
              <w:rPr>
                <w:sz w:val="20"/>
                <w:szCs w:val="20"/>
                <w:color w:val="auto"/>
              </w:rPr>
            </w:pPr>
            <w:r>
              <w:rPr>
                <w:rFonts w:ascii="Arial" w:cs="Arial" w:eastAsia="Arial" w:hAnsi="Arial"/>
                <w:sz w:val="12"/>
                <w:szCs w:val="12"/>
                <w:color w:val="auto"/>
                <w:w w:val="99"/>
              </w:rPr>
              <w:t>374.7</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rPr>
              <w:t>4.7</w:t>
            </w:r>
          </w:p>
        </w:tc>
      </w:tr>
      <w:tr>
        <w:trPr>
          <w:trHeight w:val="157"/>
        </w:trPr>
        <w:tc>
          <w:tcPr>
            <w:tcW w:w="6680" w:type="dxa"/>
            <w:vAlign w:val="bottom"/>
          </w:tcPr>
          <w:p>
            <w:pPr>
              <w:ind w:left="14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(216.7)</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center"/>
              <w:ind w:left="944"/>
              <w:spacing w:after="0"/>
              <w:rPr>
                <w:sz w:val="20"/>
                <w:szCs w:val="20"/>
                <w:color w:val="auto"/>
              </w:rPr>
            </w:pPr>
            <w:r>
              <w:rPr>
                <w:rFonts w:ascii="Arial" w:cs="Arial" w:eastAsia="Arial" w:hAnsi="Arial"/>
                <w:sz w:val="12"/>
                <w:szCs w:val="12"/>
                <w:color w:val="auto"/>
                <w:w w:val="99"/>
              </w:rPr>
              <w:t>230.4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6" w:lineRule="exact"/>
        <w:rPr>
          <w:sz w:val="20"/>
          <w:szCs w:val="20"/>
          <w:color w:val="auto"/>
        </w:rPr>
      </w:pPr>
    </w:p>
    <w:p>
      <w:pPr>
        <w:jc w:val="both"/>
        <w:ind w:right="200" w:firstLine="432"/>
        <w:spacing w:after="0" w:line="268" w:lineRule="auto"/>
        <w:rPr>
          <w:sz w:val="20"/>
          <w:szCs w:val="20"/>
          <w:color w:val="auto"/>
        </w:rPr>
      </w:pPr>
      <w:r>
        <w:rPr>
          <w:rFonts w:ascii="Arial" w:cs="Arial" w:eastAsia="Arial" w:hAnsi="Arial"/>
          <w:sz w:val="12"/>
          <w:szCs w:val="12"/>
          <w:color w:val="auto"/>
        </w:rPr>
        <w:t>Net cash used in operating activities for the year ended December 31, 2024 decreased by $ 88.5 million, compared with the year ended December 31, 2023, primarily due to a decrease in our net loss of $168.4 million and a net increase in non-cash charges of $16.4 million, partially offset by changes in accounts payable and accrued liabilities of $38.5 million, deferred revenue of $26.4 million, prepaid expenses and other assets of $21.1 million and accounts receivable of $6.7 million. The change in non-cash charges was primarily due to an increase in stock compensation expense of $16.7 million.</w:t>
      </w:r>
    </w:p>
    <w:p>
      <w:pPr>
        <w:spacing w:after="0" w:line="114"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Net cash used in operating activities for the year ended December 31, 2023 increased by $74.3 million, compared with the year ended December 31, 2022, primarily due to an increase in our net loss of $84.8 million, a net decrease in non-cash charges of $27.8 million and accounts receivable of $13.0 million, partially offset by changes in deferred revenue of $42.2 million and prepaid expenses and other current assets of $15.9 million. The change in non-cash charges was primarily due to net accretion of bond discounts/premiums of $22.3 million and a decrease in stock compensation expense of $4.0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6" w:lineRule="exact"/>
        <w:rPr>
          <w:sz w:val="20"/>
          <w:szCs w:val="20"/>
          <w:color w:val="auto"/>
        </w:rPr>
      </w:pPr>
    </w:p>
    <w:p>
      <w:pPr>
        <w:ind w:right="520" w:firstLine="432"/>
        <w:spacing w:after="0" w:line="286" w:lineRule="auto"/>
        <w:rPr>
          <w:sz w:val="20"/>
          <w:szCs w:val="20"/>
          <w:color w:val="auto"/>
        </w:rPr>
      </w:pPr>
      <w:r>
        <w:rPr>
          <w:rFonts w:ascii="Arial" w:cs="Arial" w:eastAsia="Arial" w:hAnsi="Arial"/>
          <w:sz w:val="12"/>
          <w:szCs w:val="12"/>
          <w:color w:val="auto"/>
        </w:rPr>
        <w:t>Net cash provided by investing activities for the year ended December 31, 2024 decreased by $ 168.8 million, compared with the year ended December 31, 2023, primarily due to a net decrease in maturities and sales of marketable securities in excess of purchases of $170.1 million, partially offset by a decrease in purchases of property and equipment of $1.1 million.</w:t>
      </w:r>
    </w:p>
    <w:p>
      <w:pPr>
        <w:spacing w:after="0" w:line="103" w:lineRule="exact"/>
        <w:rPr>
          <w:sz w:val="20"/>
          <w:szCs w:val="20"/>
          <w:color w:val="auto"/>
        </w:rPr>
      </w:pPr>
    </w:p>
    <w:p>
      <w:pPr>
        <w:ind w:right="580" w:firstLine="432"/>
        <w:spacing w:after="0" w:line="286" w:lineRule="auto"/>
        <w:rPr>
          <w:sz w:val="20"/>
          <w:szCs w:val="20"/>
          <w:color w:val="auto"/>
        </w:rPr>
      </w:pPr>
      <w:r>
        <w:rPr>
          <w:rFonts w:ascii="Arial" w:cs="Arial" w:eastAsia="Arial" w:hAnsi="Arial"/>
          <w:sz w:val="12"/>
          <w:szCs w:val="12"/>
          <w:color w:val="auto"/>
        </w:rPr>
        <w:t>Net cash provided by investing activities for the year ended December 31, 2023 decreased by $39.3 million, compared with the year ended December 31, 2022, primarily due to a net decrease in purchases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47" w:name="page148"/>
    <w:bookmarkEnd w:id="147"/>
    <w:p>
      <w:pPr>
        <w:spacing w:after="0"/>
        <w:rPr>
          <w:sz w:val="20"/>
          <w:szCs w:val="20"/>
          <w:color w:val="auto"/>
        </w:rPr>
      </w:pPr>
      <w:r>
        <w:rPr>
          <w:rFonts w:ascii="Arial" w:cs="Arial" w:eastAsia="Arial" w:hAnsi="Arial"/>
          <w:sz w:val="12"/>
          <w:szCs w:val="12"/>
          <w:color w:val="auto"/>
        </w:rPr>
        <w:t>sales of marketable securities in excess of maturities purchases of $43.2 million, partially offset by a decrease in purchases of property and equipment of $3.9 million.</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6" w:lineRule="exact"/>
        <w:rPr>
          <w:sz w:val="20"/>
          <w:szCs w:val="20"/>
          <w:color w:val="auto"/>
        </w:rPr>
      </w:pPr>
    </w:p>
    <w:p>
      <w:pPr>
        <w:ind w:right="140" w:firstLine="432"/>
        <w:spacing w:after="0" w:line="262" w:lineRule="auto"/>
        <w:rPr>
          <w:sz w:val="20"/>
          <w:szCs w:val="20"/>
          <w:color w:val="auto"/>
        </w:rPr>
      </w:pPr>
      <w:r>
        <w:rPr>
          <w:rFonts w:ascii="Arial" w:cs="Arial" w:eastAsia="Arial" w:hAnsi="Arial"/>
          <w:sz w:val="12"/>
          <w:szCs w:val="12"/>
          <w:color w:val="auto"/>
        </w:rPr>
        <w:t>Net cash provided by financing activities for the year ended December 31, 2024 decreased by $366.8 million, compared with the year ended December 31, 2023, primarily due to net proceeds from the issuance of common stock and pre-funded warrants to purchase shares of our common stock in a private placement in 2023 of approximately $334.1 million and net proceeds from the issuance of common stock under our "at-the-market" offering program in 2023 of approximately $36.1 million, neither of which reoccurred in 2024, partially offset by increased proceeds from the exercise of stock options and issuance of ESPP shares of $3.8 million.</w:t>
      </w:r>
    </w:p>
    <w:p>
      <w:pPr>
        <w:spacing w:after="0" w:line="117"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Net cash provided by financing activities for the year ended December 31, 2023 increased by $370.0 million, compared with the year ended December 31, 2022, primarily due to net proceeds from the issuance of shares of our common stock and pre-funded warrants to purchase shares of our common stock in a private placement of approximately $334.1 million and net proceeds from the issuance of shares of our common stock in an "at-the-market" offering of approximately $36.1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6" w:lineRule="exact"/>
        <w:rPr>
          <w:sz w:val="20"/>
          <w:szCs w:val="20"/>
          <w:color w:val="auto"/>
        </w:rPr>
      </w:pPr>
    </w:p>
    <w:p>
      <w:pPr>
        <w:ind w:right="460" w:firstLine="432"/>
        <w:spacing w:after="0" w:line="286" w:lineRule="auto"/>
        <w:rPr>
          <w:sz w:val="20"/>
          <w:szCs w:val="20"/>
          <w:color w:val="auto"/>
        </w:rPr>
      </w:pPr>
      <w:r>
        <w:rPr>
          <w:rFonts w:ascii="Arial" w:cs="Arial" w:eastAsia="Arial" w:hAnsi="Arial"/>
          <w:sz w:val="12"/>
          <w:szCs w:val="12"/>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Specifically, we anticipate that our expenses will increase substantially if, and as we:</w:t>
      </w:r>
    </w:p>
    <w:p>
      <w:pPr>
        <w:spacing w:after="0" w:line="78" w:lineRule="exact"/>
        <w:rPr>
          <w:sz w:val="20"/>
          <w:szCs w:val="20"/>
          <w:color w:val="auto"/>
        </w:rPr>
      </w:pPr>
    </w:p>
    <w:p>
      <w:pPr>
        <w:ind w:left="640" w:hanging="216"/>
        <w:spacing w:after="0" w:line="268" w:lineRule="auto"/>
        <w:tabs>
          <w:tab w:leader="none" w:pos="637"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continue our ongoing and planned clinical trials for vepdegestrant for the treatment of patients with locally advanced or metastatic ER+/HER2- breast cancer; ongoing Phase 1 clinical trials for ARV-393, our PROTAC protein degrader designed to target the BCL6 protein, and ARV-102, our PROTAC degrader designed to target the LRRK2 protein; and our ongoing clinical trials for bavdegalutamide (ARV-110), for the treatment of men with mCRPC;</w:t>
      </w:r>
    </w:p>
    <w:p>
      <w:pPr>
        <w:spacing w:after="0" w:line="41"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progress additional PROTAC protein degrader programs into IND- or CTA-enabling studies and through preclinical development, including our PROTAC KRAS G12D degrader program;</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apply our PROTAC Discovery Engine to advance additional product candidates into preclinical and clinical development;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expand the capabilities of our PROTAC Discovery Engine;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seek marketing approvals for any product candidates that successfully complete clinical trials;</w:t>
      </w:r>
    </w:p>
    <w:p>
      <w:pPr>
        <w:spacing w:after="0" w:line="78" w:lineRule="exact"/>
        <w:rPr>
          <w:rFonts w:ascii="Arial" w:cs="Arial" w:eastAsia="Arial" w:hAnsi="Arial"/>
          <w:sz w:val="12"/>
          <w:szCs w:val="12"/>
          <w:color w:val="auto"/>
        </w:rPr>
      </w:pPr>
    </w:p>
    <w:p>
      <w:pPr>
        <w:ind w:left="640" w:right="600" w:hanging="216"/>
        <w:spacing w:after="0" w:line="286" w:lineRule="auto"/>
        <w:tabs>
          <w:tab w:leader="none" w:pos="637" w:val="left"/>
        </w:tabs>
        <w:numPr>
          <w:ilvl w:val="0"/>
          <w:numId w:val="79"/>
        </w:numPr>
        <w:rPr>
          <w:rFonts w:ascii="Arial" w:cs="Arial" w:eastAsia="Arial" w:hAnsi="Arial"/>
          <w:sz w:val="12"/>
          <w:szCs w:val="12"/>
          <w:color w:val="auto"/>
        </w:rPr>
      </w:pPr>
      <w:r>
        <w:rPr>
          <w:rFonts w:ascii="Arial" w:cs="Arial" w:eastAsia="Arial" w:hAnsi="Arial"/>
          <w:sz w:val="12"/>
          <w:szCs w:val="12"/>
          <w:color w:val="auto"/>
        </w:rPr>
        <w:t>ultimately establish a sales, marketing, market access, and distribution infrastructure and capabilities and launch commercial sales of our products, if and when approved, whether alone or in collaboration with others;</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make or maintain arrangements with third-party manufacturers, or establish manufacturing capabilities, for both clinical and commercial supplies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expand, maintain and protect our intellectual property portfolio;</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hire additional development, including clinical and regulatory, and scientific personnel; and</w:t>
      </w:r>
    </w:p>
    <w:p>
      <w:pPr>
        <w:spacing w:after="0" w:line="78" w:lineRule="exact"/>
        <w:rPr>
          <w:rFonts w:ascii="Arial" w:cs="Arial" w:eastAsia="Arial" w:hAnsi="Arial"/>
          <w:sz w:val="12"/>
          <w:szCs w:val="12"/>
          <w:color w:val="auto"/>
        </w:rPr>
      </w:pPr>
    </w:p>
    <w:p>
      <w:pPr>
        <w:ind w:left="640" w:right="320" w:hanging="216"/>
        <w:spacing w:after="0" w:line="286" w:lineRule="auto"/>
        <w:tabs>
          <w:tab w:leader="none" w:pos="637" w:val="left"/>
        </w:tabs>
        <w:numPr>
          <w:ilvl w:val="0"/>
          <w:numId w:val="79"/>
        </w:numPr>
        <w:rPr>
          <w:rFonts w:ascii="Arial" w:cs="Arial" w:eastAsia="Arial" w:hAnsi="Arial"/>
          <w:sz w:val="12"/>
          <w:szCs w:val="12"/>
          <w:color w:val="auto"/>
        </w:rPr>
      </w:pPr>
      <w:r>
        <w:rPr>
          <w:rFonts w:ascii="Arial" w:cs="Arial" w:eastAsia="Arial" w:hAnsi="Arial"/>
          <w:sz w:val="12"/>
          <w:szCs w:val="12"/>
          <w:color w:val="auto"/>
        </w:rPr>
        <w:t>add operational, financial and management information systems and personnel to support our research, product development and future commercialization efforts and support our operations as a public company.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48" w:name="page149"/>
    <w:bookmarkEnd w:id="148"/>
    <w:p>
      <w:pPr>
        <w:jc w:val="both"/>
        <w:ind w:right="40" w:firstLine="432"/>
        <w:spacing w:after="0" w:line="268" w:lineRule="auto"/>
        <w:rPr>
          <w:sz w:val="20"/>
          <w:szCs w:val="20"/>
          <w:color w:val="auto"/>
        </w:rPr>
      </w:pPr>
      <w:r>
        <w:rPr>
          <w:rFonts w:ascii="Arial" w:cs="Arial" w:eastAsia="Arial" w:hAnsi="Arial"/>
          <w:sz w:val="12"/>
          <w:szCs w:val="12"/>
          <w:color w:val="auto"/>
        </w:rPr>
        <w:t>We had cash, cash equivalents and marketable securities of approximately $1.0 billion as of December 31, 2024. We believe that our cash, cash equivalents and marketable securities as of December 31, 2024 will enable us to fund our planned operating expenses and capital expenditure requirements into 2027. We have based this estimate on assumptions that may prove to be wrong and we could use our capital resources sooner than we currently expect. Our future capital requirements will depend on many factors, including:</w:t>
      </w:r>
    </w:p>
    <w:p>
      <w:pPr>
        <w:spacing w:after="0" w:line="42" w:lineRule="exact"/>
        <w:rPr>
          <w:sz w:val="20"/>
          <w:szCs w:val="20"/>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progress, costs and results of our ongoing and planned clinical trials for vepdegestrant, ARV-393, ARV-102 and our ongoing clinical trials for bavdegalutamide;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scope, progress, costs and results of preclinical and clinical development for our other product candidates and development programs, including our KRAS G12D program;</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number of, and development requirements for, other product candidates that we pursue, including our other oncology and neurodegenerative research programs;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success of our collaborations, including with Pfizer and Genentech;</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costs and timing of future commercialization activities, including product manufacturing, marketing, sales and distribution, for any of our product candidates for which we receive marketing approval;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product candidates for which we receive marketing approval;</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 and</w:t>
      </w:r>
    </w:p>
    <w:p>
      <w:pPr>
        <w:spacing w:after="0" w:line="78" w:lineRule="exact"/>
        <w:rPr>
          <w:rFonts w:ascii="Arial" w:cs="Arial" w:eastAsia="Arial" w:hAnsi="Arial"/>
          <w:sz w:val="12"/>
          <w:szCs w:val="12"/>
          <w:color w:val="auto"/>
        </w:rPr>
      </w:pPr>
    </w:p>
    <w:p>
      <w:pPr>
        <w:ind w:left="640" w:right="740" w:hanging="216"/>
        <w:spacing w:after="0" w:line="286" w:lineRule="auto"/>
        <w:tabs>
          <w:tab w:leader="none" w:pos="637" w:val="left"/>
        </w:tabs>
        <w:numPr>
          <w:ilvl w:val="0"/>
          <w:numId w:val="80"/>
        </w:numPr>
        <w:rPr>
          <w:rFonts w:ascii="Arial" w:cs="Arial" w:eastAsia="Arial" w:hAnsi="Arial"/>
          <w:sz w:val="12"/>
          <w:szCs w:val="12"/>
          <w:color w:val="auto"/>
        </w:rPr>
      </w:pPr>
      <w:r>
        <w:rPr>
          <w:rFonts w:ascii="Arial" w:cs="Arial" w:eastAsia="Arial" w:hAnsi="Arial"/>
          <w:sz w:val="12"/>
          <w:szCs w:val="12"/>
          <w:color w:val="auto"/>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spacing w:after="0" w:line="103" w:lineRule="exact"/>
        <w:rPr>
          <w:sz w:val="20"/>
          <w:szCs w:val="20"/>
          <w:color w:val="auto"/>
        </w:rPr>
      </w:pPr>
    </w:p>
    <w:p>
      <w:pPr>
        <w:ind w:right="20" w:firstLine="432"/>
        <w:spacing w:after="0" w:line="288" w:lineRule="auto"/>
        <w:rPr>
          <w:sz w:val="20"/>
          <w:szCs w:val="20"/>
          <w:color w:val="auto"/>
        </w:rPr>
      </w:pPr>
      <w:r>
        <w:rPr>
          <w:rFonts w:ascii="Arial" w:cs="Arial" w:eastAsia="Arial" w:hAnsi="Arial"/>
          <w:sz w:val="11"/>
          <w:szCs w:val="11"/>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including with Pfizer and Genentech, and our out-license to Novartis,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05" w:lineRule="exact"/>
        <w:rPr>
          <w:sz w:val="20"/>
          <w:szCs w:val="20"/>
          <w:color w:val="auto"/>
        </w:rPr>
      </w:pPr>
    </w:p>
    <w:p>
      <w:pPr>
        <w:ind w:firstLine="432"/>
        <w:spacing w:after="0" w:line="260" w:lineRule="auto"/>
        <w:rPr>
          <w:sz w:val="20"/>
          <w:szCs w:val="20"/>
          <w:color w:val="auto"/>
        </w:rPr>
      </w:pPr>
      <w:r>
        <w:rPr>
          <w:rFonts w:ascii="Arial" w:cs="Arial" w:eastAsia="Arial" w:hAnsi="Arial"/>
          <w:sz w:val="12"/>
          <w:szCs w:val="12"/>
          <w:color w:val="auto"/>
        </w:rPr>
        <w:t>To the extent that we raise additional capital through the sale of equity or convertible debt securities,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1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Borrowings</w:t>
      </w:r>
    </w:p>
    <w:p>
      <w:pPr>
        <w:spacing w:after="0" w:line="76"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In June 2018, we entered into an additional Assistance Agreement with the State of Connecticut, or the 2018 Assistance Agreement, to provide funding for the expansion and renovation of laboratory and office space. We borrowed $2.0 million under the 2018 Assistance Agreement in September 2018, of which $1.0 million was forgiven upon meeting certain employment conditions. Borrowings under the agreement bear an interest rate 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149" w:name="page150"/>
    <w:bookmarkEnd w:id="149"/>
    <w:p>
      <w:pPr>
        <w:spacing w:after="0" w:line="268" w:lineRule="auto"/>
        <w:rPr>
          <w:sz w:val="20"/>
          <w:szCs w:val="20"/>
          <w:color w:val="auto"/>
        </w:rPr>
      </w:pPr>
      <w:r>
        <w:rPr>
          <w:rFonts w:ascii="Arial" w:cs="Arial" w:eastAsia="Arial" w:hAnsi="Arial"/>
          <w:sz w:val="12"/>
          <w:szCs w:val="12"/>
          <w:color w:val="auto"/>
        </w:rPr>
        <w:t>3.25% per annum, with interest only payments required for the first 60 months, and mature in September 2028. The 2018 Assistance Agreement requires that we be located in the State of Connecticut through September 2028 with a default penalty of repayment of the full original funding amount of $2.0 million plus liquidated damages of 7.5% of the total amount of funding received. As of December 31, 2024, $0.8 million remains outstanding under the 2018 Assistance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78"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We are exposed to market risks in the ordinary course of our business. These risks primarily include interest rate sensitivities. Our interest-earning assets consist of cash, cash equivalents and marketable securities. Interest income earned on these assets totaled $54.9 million in 2024. Our interest income is sensitive to changes in the general level of interest rates, primarily U.S. interest rates. As of December 31, 2024, our cash equivalents consisted of bank deposits and money market funds and our marketable securities included interest-earning securities. Such interest-earning instruments carry a degree of interest rate risk. Our outstanding debt totaled $0.8 million as of December 31, 2024 and carries a fixed interest rate of 3.25% per annum.</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financial statements, together with the report of our independent registered public accounting firm, appear on pages F-1 through F-29 of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76"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Management’s Annual Report on Internal Control over Financial Reporting</w:t>
      </w:r>
    </w:p>
    <w:p>
      <w:pPr>
        <w:spacing w:after="0" w:line="76" w:lineRule="exact"/>
        <w:rPr>
          <w:sz w:val="20"/>
          <w:szCs w:val="20"/>
          <w:color w:val="auto"/>
        </w:rPr>
      </w:pPr>
    </w:p>
    <w:p>
      <w:pPr>
        <w:ind w:right="220" w:firstLine="432"/>
        <w:spacing w:after="0" w:line="262"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45" w:lineRule="exact"/>
        <w:rPr>
          <w:sz w:val="20"/>
          <w:szCs w:val="20"/>
          <w:color w:val="auto"/>
        </w:rPr>
      </w:pPr>
    </w:p>
    <w:p>
      <w:pPr>
        <w:ind w:left="5540" w:right="2500" w:hanging="5116"/>
        <w:spacing w:after="0" w:line="974" w:lineRule="auto"/>
        <w:tabs>
          <w:tab w:leader="none" w:pos="633" w:val="left"/>
        </w:tabs>
        <w:numPr>
          <w:ilvl w:val="0"/>
          <w:numId w:val="81"/>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-234950</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0" w:name="page151"/>
    <w:bookmarkEnd w:id="150"/>
    <w:p>
      <w:pPr>
        <w:ind w:left="640" w:right="60" w:hanging="216"/>
        <w:spacing w:after="0" w:line="286" w:lineRule="auto"/>
        <w:tabs>
          <w:tab w:leader="none" w:pos="637" w:val="left"/>
        </w:tabs>
        <w:numPr>
          <w:ilvl w:val="0"/>
          <w:numId w:val="82"/>
        </w:numPr>
        <w:rPr>
          <w:rFonts w:ascii="Arial" w:cs="Arial" w:eastAsia="Arial" w:hAnsi="Arial"/>
          <w:sz w:val="12"/>
          <w:szCs w:val="12"/>
          <w:i w:val="1"/>
          <w:iCs w:val="1"/>
          <w:color w:val="auto"/>
        </w:rPr>
      </w:pPr>
      <w:r>
        <w:rPr>
          <w:rFonts w:ascii="Arial" w:cs="Arial" w:eastAsia="Arial" w:hAnsi="Arial"/>
          <w:sz w:val="12"/>
          <w:szCs w:val="12"/>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31" w:lineRule="exact"/>
        <w:rPr>
          <w:rFonts w:ascii="Arial" w:cs="Arial" w:eastAsia="Arial" w:hAnsi="Arial"/>
          <w:sz w:val="12"/>
          <w:szCs w:val="12"/>
          <w:i w:val="1"/>
          <w:iCs w:val="1"/>
          <w:color w:val="auto"/>
        </w:rPr>
      </w:pPr>
    </w:p>
    <w:p>
      <w:pPr>
        <w:ind w:left="640" w:right="500" w:hanging="216"/>
        <w:spacing w:after="0" w:line="286" w:lineRule="auto"/>
        <w:tabs>
          <w:tab w:leader="none" w:pos="637" w:val="left"/>
        </w:tabs>
        <w:numPr>
          <w:ilvl w:val="0"/>
          <w:numId w:val="82"/>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ind w:right="80" w:firstLine="432"/>
        <w:spacing w:after="0" w:line="26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Our management assessed the effectiveness of our internal control over financial reporting as of December 31, 2024. In making this assessment, management used the criteria set forth by the Committee of Sponsoring Organizations of the Treadway Commission (COSO) in Internal Control - Integrated Framework (2013). Based on that assessment, our management concluded that, as of December 31, 2024, our internal control over financial reporting was effective.</w:t>
      </w:r>
    </w:p>
    <w:p>
      <w:pPr>
        <w:spacing w:after="0" w:line="114"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2024, included below.</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6"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No change in our internal control over financial reporting (as defined in Rules 13a-15(f) and 15d-15(f) under the Exchange Act) occurred during the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51" w:name="page152"/>
    <w:bookmarkEnd w:id="151"/>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Arvinas,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7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 xml:space="preserve">We have audited the internal control over financial reporting of Arvinas, Inc. and subsidiaries (the “Company”) as of December 31, 2024,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(2013) </w:t>
      </w:r>
      <w:r>
        <w:rPr>
          <w:rFonts w:ascii="Arial" w:cs="Arial" w:eastAsia="Arial" w:hAnsi="Arial"/>
          <w:sz w:val="12"/>
          <w:szCs w:val="12"/>
          <w:color w:val="auto"/>
        </w:rPr>
        <w:t>issued by the Committee of Sponsoring Organizations of the Treadway Commission (COSO). In our opinion, the Company maintained, in all material respects, effective internal control over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reporting as of December 31, 2024,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132" w:lineRule="exact"/>
        <w:rPr>
          <w:sz w:val="20"/>
          <w:szCs w:val="20"/>
          <w:color w:val="auto"/>
        </w:rPr>
      </w:pPr>
    </w:p>
    <w:p>
      <w:pPr>
        <w:ind w:right="600"/>
        <w:spacing w:after="0" w:line="28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(PCAOB), the consolidated financial statements as of and for the year ended December 31, 2024, of the Company and our report dated February 11, 2025, expressed an unqualified opinion on those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78"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February 11, 2025</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b w:val="1"/>
          <w:bCs w:val="1"/>
          <w:color w:val="auto"/>
        </w:rPr>
        <w:t>Item 9B. Other Information.</w:t>
      </w:r>
    </w:p>
    <w:p>
      <w:pPr>
        <w:spacing w:after="0" w:line="80" w:lineRule="exact"/>
        <w:rPr>
          <w:sz w:val="20"/>
          <w:szCs w:val="20"/>
          <w:color w:val="auto"/>
        </w:rPr>
      </w:pPr>
    </w:p>
    <w:p>
      <w:pPr>
        <w:ind w:left="600" w:hanging="176"/>
        <w:spacing w:after="0"/>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b w:val="1"/>
          <w:bCs w:val="1"/>
          <w:i w:val="1"/>
          <w:iCs w:val="1"/>
          <w:color w:val="auto"/>
        </w:rPr>
        <w:t>Ninth Building 5 Lease Amendment</w:t>
      </w:r>
    </w:p>
    <w:p>
      <w:pPr>
        <w:spacing w:after="0" w:line="7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On February 10, 2025, Arvinas Operations, Inc., or Operations, a wholly owned subsidiary of Arvinas, Inc., entered into the Ninth Amendment to Lease, or the Ninth Building 5 Lease Amendment, with Science Park Development Corporation, or the Landlord. The Ninth Building 5 Lease Amendment, which has an effective date of January 31, 2025, further amends that certain Lease, executed on or about January 2, 2018, by and between Operations and the Landlord (as amended on May 23, 2018, September 4, 2018, March 12, 2019, January 31, 2020, January 4, 2021, June 13, 2023, December 13, 2024, and December 31, 2024 which we collectively refer to as the Original Building 5 Lease), pursuant to which Operations leased certain office and laboratory space in New Haven, Connecticut, or the Building 5 Premises. The Ninth Building 5 Lease Amendment reflects a swap of certain spaces within the Building 5 Premises, reflecting a decrease of approximately 3,000 rentable square feet in February 2025, followed by an increase of approximately 2,800 rentable square feet in March 2025, for a total of approximately 73,500 rentable square feet, and sets forth the monthly base rent during the term of the lease. From February 1, 2025 to February 28, 2025, the monthly base rent for the Building 5 Premises, as decreased, will be $173,668.95. From March 1, 2025 to December 31, 2025, the monthly base rent for the Building 5 Premises, as increased, will be $180,623.58. Except as set forth above, the material terms of the Original Building 5 Lease remain unchanged.</w:t>
      </w:r>
    </w:p>
    <w:p>
      <w:pPr>
        <w:spacing w:after="0" w:line="123" w:lineRule="exact"/>
        <w:rPr>
          <w:sz w:val="20"/>
          <w:szCs w:val="20"/>
          <w:color w:val="auto"/>
        </w:rPr>
      </w:pPr>
    </w:p>
    <w:p>
      <w:pPr>
        <w:ind w:right="240" w:firstLine="432"/>
        <w:spacing w:after="0" w:line="286" w:lineRule="auto"/>
        <w:rPr>
          <w:sz w:val="20"/>
          <w:szCs w:val="20"/>
          <w:color w:val="auto"/>
        </w:rPr>
      </w:pPr>
      <w:r>
        <w:rPr>
          <w:rFonts w:ascii="Arial" w:cs="Arial" w:eastAsia="Arial" w:hAnsi="Arial"/>
          <w:sz w:val="12"/>
          <w:szCs w:val="12"/>
          <w:color w:val="auto"/>
        </w:rPr>
        <w:t>The foregoing summary of the Ninth Building 5 Lease Amendment does not purport to be complete and is qualified in its entirety by reference to the full text of the Ninth Building 5 Lease Amendment, a copy of which Arvinas, Inc. has filed as Exhibit 10.26 to this Annual Report on Form 10-K.</w:t>
      </w:r>
    </w:p>
    <w:p>
      <w:pPr>
        <w:spacing w:after="0" w:line="177" w:lineRule="exact"/>
        <w:rPr>
          <w:sz w:val="20"/>
          <w:szCs w:val="20"/>
          <w:color w:val="auto"/>
        </w:rPr>
      </w:pPr>
    </w:p>
    <w:p>
      <w:pPr>
        <w:ind w:left="600" w:hanging="176"/>
        <w:spacing w:after="0"/>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b w:val="1"/>
          <w:bCs w:val="1"/>
          <w:i w:val="1"/>
          <w:iCs w:val="1"/>
          <w:color w:val="auto"/>
        </w:rPr>
        <w:t>Director and Officer Trading Arrangements</w:t>
      </w:r>
    </w:p>
    <w:p>
      <w:pPr>
        <w:spacing w:after="0" w:line="76"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None of our directors or officers adopted or terminated a Rule 10b5-1 trading arrangement or a non-Rule 10b5-1 trading arrangement (as defined in Item 408(c) of Regulation S-K) during the fourth quarter of 2024.</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Jurisdictions That Prevent Inspection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78"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The information required by this Item is incorporated by reference from the information that will be contained in our Proxy Statement for our 2025 Annual Meeting of Stockholders, which we intend to file with the SEC within 120 days of the end of the fiscal year to which this Annual Report on Form 10-K relates pursuant to General Instruction G(3) of Form 10-K.</w:t>
      </w:r>
    </w:p>
    <w:p>
      <w:pPr>
        <w:spacing w:after="0" w:line="103" w:lineRule="exact"/>
        <w:rPr>
          <w:sz w:val="20"/>
          <w:szCs w:val="20"/>
          <w:color w:val="auto"/>
        </w:rPr>
      </w:pPr>
    </w:p>
    <w:p>
      <w:pPr>
        <w:jc w:val="both"/>
        <w:ind w:right="80" w:firstLine="432"/>
        <w:spacing w:after="0" w:line="268" w:lineRule="auto"/>
        <w:rPr>
          <w:sz w:val="20"/>
          <w:szCs w:val="20"/>
          <w:color w:val="auto"/>
        </w:rPr>
      </w:pPr>
      <w:r>
        <w:rPr>
          <w:rFonts w:ascii="Arial" w:cs="Arial" w:eastAsia="Arial" w:hAnsi="Arial"/>
          <w:sz w:val="12"/>
          <w:szCs w:val="12"/>
          <w:color w:val="auto"/>
        </w:rPr>
        <w:t>We have adopted a Code of Business Conduct and Ethics that applies to our officers, including our principal executive, financial and accounting officers and our directors and employees. We have posted the text of our Code of Business Conduct and Ethics under the “Investors and Media – Corporate Governance” section of our website, www.arvinas.com. We intend to disclose on our website any amendments to, or waivers from, the Code of Business Conduct and Ethics that are required to be disclosed pursuant to the disclosure requirements of Item 5.05 of Form 8-K.</w:t>
      </w:r>
    </w:p>
    <w:p>
      <w:pPr>
        <w:spacing w:after="0" w:line="114"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We have adopted an Insider Trading Policy governing the purchase, sale and/or other dispositions of Company securities by our directors, officers and employees and other covered persons. We believe the Insider Trading Policy is reasonably designed to promote compliance with insider trading laws, rules and regulations, and Nasdaq listing standards. A copy of our Insider Trading Policy is filed as Exhibit 19.1 to this Annual Report on Form 10-K for the fiscal year ended December 31, 2024.</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41"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information required by this Item (other than the information required by Item 402(v) of Regulation S-K) is incorporated by reference from the information that will be contained in our Proxy Statement for our 2025 Annual Meeting of Stockholders, which we intend to file with the SEC within 120 days of the end of the fiscal year to which this Annual Report on Form 10-K relates pursuant to General Instruction G(3) of Form 10-K.</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78"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The information required by this Item is incorporated by reference from the information that will be contained in our Proxy Statement for our 2025 Annual Meeting of Stockholders, which we intend to file with the SEC within 120 days of the end of the fiscal year to which this Annual Report on Form 10-K relates pursuant to General Instruction G(3) of Form 10-K.</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78"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The information required by this Item is incorporated by reference from the information that will be contained in our Proxy Statement for our 2025 Annual Meeting of Stockholders, which we intend to file with the SEC within 120 days of the end of the fiscal year to which this Annual Report on Form 10-K relates pursuant to General Instruction G(3) of Form 10-K.</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78" w:lineRule="exact"/>
        <w:rPr>
          <w:sz w:val="20"/>
          <w:szCs w:val="20"/>
          <w:color w:val="auto"/>
        </w:rPr>
      </w:pPr>
    </w:p>
    <w:p>
      <w:pPr>
        <w:ind w:right="220" w:firstLine="432"/>
        <w:spacing w:after="0" w:line="286" w:lineRule="auto"/>
        <w:rPr>
          <w:sz w:val="20"/>
          <w:szCs w:val="20"/>
          <w:color w:val="auto"/>
        </w:rPr>
      </w:pPr>
      <w:r>
        <w:rPr>
          <w:rFonts w:ascii="Arial" w:cs="Arial" w:eastAsia="Arial" w:hAnsi="Arial"/>
          <w:sz w:val="12"/>
          <w:szCs w:val="12"/>
          <w:color w:val="auto"/>
        </w:rPr>
        <w:t>The information required by this Item is incorporated by reference from the information that will be contained in our Proxy Statement for our 2025 Annual Meeting of Stockholders, which we intend to file with the SEC within 120 days of the end of the fiscal year to which this Annual Report on Form 10-K relates pursuant to General Instruction G(3) of Form 10-K.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54" w:name="page155"/>
    <w:bookmarkEnd w:id="154"/>
    <w:tbl>
      <w:tblPr>
        <w:tblLayout w:type="fixed"/>
        <w:tblInd w:w="8" w:type="dxa"/>
        <w:tblCellMar>
          <w:top w:w="0" w:type="dxa"/>
          <w:left w:w="0" w:type="dxa"/>
          <w:bottom w:w="0" w:type="dxa"/>
          <w:right w:w="0" w:type="dxa"/>
        </w:tblCellMar>
      </w:tblPr>
      <w:tr>
        <w:trPr>
          <w:trHeight w:val="165"/>
        </w:trPr>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20" w:type="dxa"/>
            <w:vAlign w:val="bottom"/>
          </w:tcPr>
          <w:p>
            <w:pPr>
              <w:ind w:left="1340"/>
              <w:spacing w:after="0"/>
              <w:rPr>
                <w:sz w:val="20"/>
                <w:szCs w:val="20"/>
                <w:color w:val="auto"/>
              </w:rPr>
            </w:pPr>
            <w:r>
              <w:rPr>
                <w:rFonts w:ascii="Arial" w:cs="Arial" w:eastAsia="Arial" w:hAnsi="Arial"/>
                <w:sz w:val="12"/>
                <w:szCs w:val="12"/>
                <w:b w:val="1"/>
                <w:bCs w:val="1"/>
                <w:color w:val="auto"/>
              </w:rPr>
              <w:t>PART IV</w:t>
            </w:r>
          </w:p>
        </w:tc>
        <w:tc>
          <w:tcPr>
            <w:tcW w:w="1100" w:type="dxa"/>
            <w:vAlign w:val="bottom"/>
          </w:tcPr>
          <w:p>
            <w:pPr>
              <w:spacing w:after="0"/>
              <w:rPr>
                <w:sz w:val="14"/>
                <w:szCs w:val="14"/>
                <w:color w:val="auto"/>
              </w:rPr>
            </w:pPr>
          </w:p>
        </w:tc>
      </w:tr>
      <w:tr>
        <w:trPr>
          <w:trHeight w:val="288"/>
        </w:trPr>
        <w:tc>
          <w:tcPr>
            <w:tcW w:w="10200" w:type="dxa"/>
            <w:vAlign w:val="bottom"/>
            <w:gridSpan w:val="9"/>
          </w:tcPr>
          <w:p>
            <w:pPr>
              <w:spacing w:after="0"/>
              <w:rPr>
                <w:sz w:val="20"/>
                <w:szCs w:val="20"/>
                <w:color w:val="auto"/>
              </w:rPr>
            </w:pPr>
            <w:r>
              <w:rPr>
                <w:rFonts w:ascii="Arial" w:cs="Arial" w:eastAsia="Arial" w:hAnsi="Arial"/>
                <w:sz w:val="12"/>
                <w:szCs w:val="12"/>
                <w:b w:val="1"/>
                <w:bCs w:val="1"/>
                <w:color w:val="auto"/>
              </w:rPr>
              <w:t>Item 15. Exhibits, Financial Statement Schedules.</w:t>
            </w:r>
          </w:p>
        </w:tc>
        <w:tc>
          <w:tcPr>
            <w:tcW w:w="1100" w:type="dxa"/>
            <w:vAlign w:val="bottom"/>
          </w:tcPr>
          <w:p>
            <w:pPr>
              <w:spacing w:after="0"/>
              <w:rPr>
                <w:sz w:val="24"/>
                <w:szCs w:val="24"/>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2"/>
                <w:szCs w:val="12"/>
                <w:b w:val="1"/>
                <w:bCs w:val="1"/>
                <w:i w:val="1"/>
                <w:iCs w:val="1"/>
                <w:color w:val="auto"/>
              </w:rPr>
              <w:t>(1)</w:t>
            </w:r>
          </w:p>
        </w:tc>
        <w:tc>
          <w:tcPr>
            <w:tcW w:w="9960" w:type="dxa"/>
            <w:vAlign w:val="bottom"/>
            <w:gridSpan w:val="8"/>
          </w:tcPr>
          <w:p>
            <w:pPr>
              <w:ind w:left="180"/>
              <w:spacing w:after="0"/>
              <w:rPr>
                <w:sz w:val="20"/>
                <w:szCs w:val="20"/>
                <w:color w:val="auto"/>
              </w:rPr>
            </w:pPr>
            <w:r>
              <w:rPr>
                <w:rFonts w:ascii="Arial" w:cs="Arial" w:eastAsia="Arial" w:hAnsi="Arial"/>
                <w:sz w:val="12"/>
                <w:szCs w:val="12"/>
                <w:b w:val="1"/>
                <w:bCs w:val="1"/>
                <w:color w:val="auto"/>
              </w:rPr>
              <w:t xml:space="preserve">Financial Statements </w:t>
            </w:r>
            <w:r>
              <w:rPr>
                <w:rFonts w:ascii="Arial" w:cs="Arial" w:eastAsia="Arial" w:hAnsi="Arial"/>
                <w:sz w:val="12"/>
                <w:szCs w:val="12"/>
                <w:color w:val="auto"/>
              </w:rPr>
              <w:t>- The following consolidated financial statements are filed as part of this Annual Report on Form 10-K:</w:t>
            </w:r>
          </w:p>
        </w:tc>
        <w:tc>
          <w:tcPr>
            <w:tcW w:w="1100" w:type="dxa"/>
            <w:vAlign w:val="bottom"/>
          </w:tcPr>
          <w:p>
            <w:pPr>
              <w:spacing w:after="0"/>
              <w:rPr>
                <w:sz w:val="18"/>
                <w:szCs w:val="18"/>
                <w:color w:val="auto"/>
              </w:rPr>
            </w:pPr>
          </w:p>
        </w:tc>
      </w:tr>
      <w:tr>
        <w:trPr>
          <w:trHeight w:val="288"/>
        </w:trPr>
        <w:tc>
          <w:tcPr>
            <w:tcW w:w="2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23"/>
        </w:trPr>
        <w:tc>
          <w:tcPr>
            <w:tcW w:w="10200" w:type="dxa"/>
            <w:vAlign w:val="bottom"/>
            <w:gridSpan w:val="9"/>
            <w:shd w:val="clear" w:color="auto" w:fill="CCEEFF"/>
          </w:tcPr>
          <w:p>
            <w:pPr>
              <w:spacing w:after="0" w:line="116" w:lineRule="exact"/>
              <w:rPr>
                <w:sz w:val="20"/>
                <w:szCs w:val="20"/>
                <w:color w:val="auto"/>
              </w:rPr>
            </w:pPr>
            <w:r>
              <w:rPr>
                <w:rFonts w:ascii="Arial" w:cs="Arial" w:eastAsia="Arial" w:hAnsi="Arial"/>
                <w:sz w:val="12"/>
                <w:szCs w:val="12"/>
                <w:color w:val="0000FF"/>
              </w:rPr>
              <w:t>Report of Independent Registered Public Accounting Firm (PCAOB ID No.</w:t>
            </w:r>
            <w:r>
              <w:rPr>
                <w:rFonts w:ascii="Arial" w:cs="Arial" w:eastAsia="Arial" w:hAnsi="Arial"/>
                <w:sz w:val="12"/>
                <w:szCs w:val="12"/>
                <w:color w:val="000000"/>
              </w:rPr>
              <w:t>34</w:t>
            </w:r>
            <w:r>
              <w:rPr>
                <w:rFonts w:ascii="Arial" w:cs="Arial" w:eastAsia="Arial" w:hAnsi="Arial"/>
                <w:sz w:val="12"/>
                <w:szCs w:val="12"/>
                <w:u w:val="single" w:color="auto"/>
                <w:color w:val="0000FF"/>
              </w:rPr>
              <w:t>)</w:t>
            </w:r>
          </w:p>
        </w:tc>
        <w:tc>
          <w:tcPr>
            <w:tcW w:w="11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9"/>
              </w:rPr>
              <w:t>F-2</w:t>
            </w:r>
          </w:p>
        </w:tc>
      </w:tr>
      <w:tr>
        <w:trPr>
          <w:trHeight w:val="180"/>
        </w:trPr>
        <w:tc>
          <w:tcPr>
            <w:tcW w:w="1580" w:type="dxa"/>
            <w:vAlign w:val="bottom"/>
            <w:tcBorders>
              <w:top w:val="single" w:sz="8" w:color="0000FF"/>
            </w:tcBorders>
            <w:gridSpan w:val="2"/>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r>
      <w:tr>
        <w:trPr>
          <w:trHeight w:val="133"/>
        </w:trPr>
        <w:tc>
          <w:tcPr>
            <w:tcW w:w="1580" w:type="dxa"/>
            <w:vAlign w:val="bottom"/>
            <w:tcBorders>
              <w:bottom w:val="single" w:sz="8" w:color="0000FF"/>
            </w:tcBorders>
            <w:gridSpan w:val="2"/>
            <w:shd w:val="clear" w:color="auto" w:fill="CCEEFF"/>
          </w:tcPr>
          <w:p>
            <w:pPr>
              <w:spacing w:after="0" w:line="126" w:lineRule="exact"/>
              <w:rPr>
                <w:sz w:val="20"/>
                <w:szCs w:val="20"/>
                <w:color w:val="auto"/>
              </w:rPr>
            </w:pPr>
            <w:r>
              <w:rPr>
                <w:rFonts w:ascii="Arial" w:cs="Arial" w:eastAsia="Arial" w:hAnsi="Arial"/>
                <w:sz w:val="12"/>
                <w:szCs w:val="12"/>
                <w:color w:val="0000FF"/>
                <w:w w:val="99"/>
              </w:rPr>
              <w:t>Consolidated Balance Sheets</w:t>
            </w:r>
          </w:p>
        </w:tc>
        <w:tc>
          <w:tcPr>
            <w:tcW w:w="8620" w:type="dxa"/>
            <w:vAlign w:val="bottom"/>
            <w:tcBorders>
              <w:bottom w:val="single" w:sz="8" w:color="CCEEFF"/>
            </w:tcBorders>
            <w:gridSpan w:val="7"/>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53"/>
        </w:trPr>
        <w:tc>
          <w:tcPr>
            <w:tcW w:w="240" w:type="dxa"/>
            <w:vAlign w:val="bottom"/>
          </w:tcPr>
          <w:p>
            <w:pPr>
              <w:spacing w:after="0"/>
              <w:rPr>
                <w:sz w:val="13"/>
                <w:szCs w:val="13"/>
                <w:color w:val="auto"/>
              </w:rPr>
            </w:pPr>
          </w:p>
        </w:tc>
        <w:tc>
          <w:tcPr>
            <w:tcW w:w="9960" w:type="dxa"/>
            <w:vAlign w:val="bottom"/>
            <w:gridSpan w:val="8"/>
          </w:tcPr>
          <w:p>
            <w:pPr>
              <w:ind w:left="80"/>
              <w:spacing w:after="0"/>
              <w:rPr>
                <w:sz w:val="20"/>
                <w:szCs w:val="20"/>
                <w:color w:val="auto"/>
              </w:rPr>
            </w:pPr>
            <w:r>
              <w:rPr>
                <w:rFonts w:ascii="Arial" w:cs="Arial" w:eastAsia="Arial" w:hAnsi="Arial"/>
                <w:sz w:val="12"/>
                <w:szCs w:val="12"/>
                <w:color w:val="auto"/>
              </w:rPr>
              <w:t>December 31, 2024 and 2023</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F-4</w:t>
            </w:r>
          </w:p>
        </w:tc>
      </w:tr>
      <w:tr>
        <w:trPr>
          <w:trHeight w:val="180"/>
        </w:trPr>
        <w:tc>
          <w:tcPr>
            <w:tcW w:w="1580" w:type="dxa"/>
            <w:vAlign w:val="bottom"/>
            <w:gridSpan w:val="2"/>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33"/>
        </w:trPr>
        <w:tc>
          <w:tcPr>
            <w:tcW w:w="3500" w:type="dxa"/>
            <w:vAlign w:val="bottom"/>
            <w:tcBorders>
              <w:bottom w:val="single" w:sz="8" w:color="0000FF"/>
            </w:tcBorders>
            <w:gridSpan w:val="6"/>
          </w:tcPr>
          <w:p>
            <w:pPr>
              <w:spacing w:after="0" w:line="126" w:lineRule="exact"/>
              <w:rPr>
                <w:sz w:val="20"/>
                <w:szCs w:val="20"/>
                <w:color w:val="auto"/>
              </w:rPr>
            </w:pPr>
            <w:r>
              <w:rPr>
                <w:rFonts w:ascii="Arial" w:cs="Arial" w:eastAsia="Arial" w:hAnsi="Arial"/>
                <w:sz w:val="12"/>
                <w:szCs w:val="12"/>
                <w:color w:val="0000FF"/>
                <w:w w:val="99"/>
              </w:rPr>
              <w:t>Consolidated Statements of Operations and Comprehensive Loss</w:t>
            </w:r>
          </w:p>
        </w:tc>
        <w:tc>
          <w:tcPr>
            <w:tcW w:w="6700" w:type="dxa"/>
            <w:vAlign w:val="bottom"/>
            <w:gridSpan w:val="3"/>
          </w:tcPr>
          <w:p>
            <w:pPr>
              <w:spacing w:after="0"/>
              <w:rPr>
                <w:sz w:val="11"/>
                <w:szCs w:val="11"/>
                <w:color w:val="auto"/>
              </w:rPr>
            </w:pPr>
          </w:p>
        </w:tc>
        <w:tc>
          <w:tcPr>
            <w:tcW w:w="1100" w:type="dxa"/>
            <w:vAlign w:val="bottom"/>
          </w:tcPr>
          <w:p>
            <w:pPr>
              <w:spacing w:after="0"/>
              <w:rPr>
                <w:sz w:val="11"/>
                <w:szCs w:val="11"/>
                <w:color w:val="auto"/>
              </w:rPr>
            </w:pPr>
          </w:p>
        </w:tc>
      </w:tr>
      <w:tr>
        <w:trPr>
          <w:trHeight w:val="153"/>
        </w:trPr>
        <w:tc>
          <w:tcPr>
            <w:tcW w:w="240" w:type="dxa"/>
            <w:vAlign w:val="bottom"/>
            <w:shd w:val="clear" w:color="auto" w:fill="CCEEFF"/>
          </w:tcPr>
          <w:p>
            <w:pPr>
              <w:spacing w:after="0"/>
              <w:rPr>
                <w:sz w:val="13"/>
                <w:szCs w:val="13"/>
                <w:color w:val="auto"/>
              </w:rPr>
            </w:pPr>
          </w:p>
        </w:tc>
        <w:tc>
          <w:tcPr>
            <w:tcW w:w="9960" w:type="dxa"/>
            <w:vAlign w:val="bottom"/>
            <w:gridSpan w:val="8"/>
            <w:shd w:val="clear" w:color="auto" w:fill="CCEEFF"/>
          </w:tcPr>
          <w:p>
            <w:pPr>
              <w:ind w:left="80"/>
              <w:spacing w:after="0"/>
              <w:rPr>
                <w:sz w:val="20"/>
                <w:szCs w:val="20"/>
                <w:color w:val="auto"/>
              </w:rPr>
            </w:pPr>
            <w:r>
              <w:rPr>
                <w:rFonts w:ascii="Arial" w:cs="Arial" w:eastAsia="Arial" w:hAnsi="Arial"/>
                <w:sz w:val="12"/>
                <w:szCs w:val="12"/>
                <w:color w:val="auto"/>
              </w:rPr>
              <w:t>Years ended December 31, 2024, 2023 and 2022</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F-5</w:t>
            </w:r>
          </w:p>
        </w:tc>
      </w:tr>
      <w:tr>
        <w:trPr>
          <w:trHeight w:val="180"/>
        </w:trPr>
        <w:tc>
          <w:tcPr>
            <w:tcW w:w="15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33"/>
        </w:trPr>
        <w:tc>
          <w:tcPr>
            <w:tcW w:w="3240" w:type="dxa"/>
            <w:vAlign w:val="bottom"/>
            <w:tcBorders>
              <w:bottom w:val="single" w:sz="8" w:color="0000FF"/>
            </w:tcBorders>
            <w:gridSpan w:val="5"/>
            <w:shd w:val="clear" w:color="auto" w:fill="CCEEFF"/>
          </w:tcPr>
          <w:p>
            <w:pPr>
              <w:spacing w:after="0" w:line="126" w:lineRule="exact"/>
              <w:rPr>
                <w:sz w:val="20"/>
                <w:szCs w:val="20"/>
                <w:color w:val="auto"/>
              </w:rPr>
            </w:pPr>
            <w:r>
              <w:rPr>
                <w:rFonts w:ascii="Arial" w:cs="Arial" w:eastAsia="Arial" w:hAnsi="Arial"/>
                <w:sz w:val="12"/>
                <w:szCs w:val="12"/>
                <w:color w:val="0000FF"/>
                <w:w w:val="99"/>
              </w:rPr>
              <w:t>Consolidated Statements of Changes in Stockholders’ Equity</w:t>
            </w:r>
          </w:p>
        </w:tc>
        <w:tc>
          <w:tcPr>
            <w:tcW w:w="6960" w:type="dxa"/>
            <w:vAlign w:val="bottom"/>
            <w:tcBorders>
              <w:bottom w:val="single" w:sz="8" w:color="CCEEFF"/>
            </w:tcBorders>
            <w:gridSpan w:val="4"/>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53"/>
        </w:trPr>
        <w:tc>
          <w:tcPr>
            <w:tcW w:w="240" w:type="dxa"/>
            <w:vAlign w:val="bottom"/>
          </w:tcPr>
          <w:p>
            <w:pPr>
              <w:spacing w:after="0"/>
              <w:rPr>
                <w:sz w:val="13"/>
                <w:szCs w:val="13"/>
                <w:color w:val="auto"/>
              </w:rPr>
            </w:pPr>
          </w:p>
        </w:tc>
        <w:tc>
          <w:tcPr>
            <w:tcW w:w="9960" w:type="dxa"/>
            <w:vAlign w:val="bottom"/>
            <w:gridSpan w:val="8"/>
          </w:tcPr>
          <w:p>
            <w:pPr>
              <w:ind w:left="80"/>
              <w:spacing w:after="0"/>
              <w:rPr>
                <w:sz w:val="20"/>
                <w:szCs w:val="20"/>
                <w:color w:val="auto"/>
              </w:rPr>
            </w:pPr>
            <w:r>
              <w:rPr>
                <w:rFonts w:ascii="Arial" w:cs="Arial" w:eastAsia="Arial" w:hAnsi="Arial"/>
                <w:sz w:val="12"/>
                <w:szCs w:val="12"/>
                <w:color w:val="auto"/>
              </w:rPr>
              <w:t>Years ended December 31, 2024, 2023 and 2022</w:t>
            </w: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F-6</w:t>
            </w:r>
          </w:p>
        </w:tc>
      </w:tr>
      <w:tr>
        <w:trPr>
          <w:trHeight w:val="180"/>
        </w:trPr>
        <w:tc>
          <w:tcPr>
            <w:tcW w:w="1580" w:type="dxa"/>
            <w:vAlign w:val="bottom"/>
            <w:gridSpan w:val="2"/>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33"/>
        </w:trPr>
        <w:tc>
          <w:tcPr>
            <w:tcW w:w="2140" w:type="dxa"/>
            <w:vAlign w:val="bottom"/>
            <w:tcBorders>
              <w:bottom w:val="single" w:sz="8" w:color="0000FF"/>
            </w:tcBorders>
            <w:gridSpan w:val="3"/>
          </w:tcPr>
          <w:p>
            <w:pPr>
              <w:spacing w:after="0" w:line="126" w:lineRule="exact"/>
              <w:rPr>
                <w:sz w:val="20"/>
                <w:szCs w:val="20"/>
                <w:color w:val="auto"/>
              </w:rPr>
            </w:pPr>
            <w:r>
              <w:rPr>
                <w:rFonts w:ascii="Arial" w:cs="Arial" w:eastAsia="Arial" w:hAnsi="Arial"/>
                <w:sz w:val="12"/>
                <w:szCs w:val="12"/>
                <w:color w:val="0000FF"/>
                <w:w w:val="99"/>
              </w:rPr>
              <w:t>Consolidated Statements of Cash Flows</w:t>
            </w:r>
          </w:p>
        </w:tc>
        <w:tc>
          <w:tcPr>
            <w:tcW w:w="8060" w:type="dxa"/>
            <w:vAlign w:val="bottom"/>
            <w:gridSpan w:val="6"/>
          </w:tcPr>
          <w:p>
            <w:pPr>
              <w:spacing w:after="0"/>
              <w:rPr>
                <w:sz w:val="11"/>
                <w:szCs w:val="11"/>
                <w:color w:val="auto"/>
              </w:rPr>
            </w:pPr>
          </w:p>
        </w:tc>
        <w:tc>
          <w:tcPr>
            <w:tcW w:w="1100" w:type="dxa"/>
            <w:vAlign w:val="bottom"/>
          </w:tcPr>
          <w:p>
            <w:pPr>
              <w:spacing w:after="0"/>
              <w:rPr>
                <w:sz w:val="11"/>
                <w:szCs w:val="11"/>
                <w:color w:val="auto"/>
              </w:rPr>
            </w:pPr>
          </w:p>
        </w:tc>
      </w:tr>
      <w:tr>
        <w:trPr>
          <w:trHeight w:val="153"/>
        </w:trPr>
        <w:tc>
          <w:tcPr>
            <w:tcW w:w="240" w:type="dxa"/>
            <w:vAlign w:val="bottom"/>
            <w:shd w:val="clear" w:color="auto" w:fill="CCEEFF"/>
          </w:tcPr>
          <w:p>
            <w:pPr>
              <w:spacing w:after="0"/>
              <w:rPr>
                <w:sz w:val="13"/>
                <w:szCs w:val="13"/>
                <w:color w:val="auto"/>
              </w:rPr>
            </w:pPr>
          </w:p>
        </w:tc>
        <w:tc>
          <w:tcPr>
            <w:tcW w:w="9960" w:type="dxa"/>
            <w:vAlign w:val="bottom"/>
            <w:gridSpan w:val="8"/>
            <w:shd w:val="clear" w:color="auto" w:fill="CCEEFF"/>
          </w:tcPr>
          <w:p>
            <w:pPr>
              <w:ind w:left="80"/>
              <w:spacing w:after="0"/>
              <w:rPr>
                <w:sz w:val="20"/>
                <w:szCs w:val="20"/>
                <w:color w:val="auto"/>
              </w:rPr>
            </w:pPr>
            <w:r>
              <w:rPr>
                <w:rFonts w:ascii="Arial" w:cs="Arial" w:eastAsia="Arial" w:hAnsi="Arial"/>
                <w:sz w:val="12"/>
                <w:szCs w:val="12"/>
                <w:color w:val="auto"/>
              </w:rPr>
              <w:t>Years ended December 31, 2024, 2023 and 2022</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F-7</w:t>
            </w:r>
          </w:p>
        </w:tc>
      </w:tr>
      <w:tr>
        <w:trPr>
          <w:trHeight w:val="180"/>
        </w:trPr>
        <w:tc>
          <w:tcPr>
            <w:tcW w:w="15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33"/>
        </w:trPr>
        <w:tc>
          <w:tcPr>
            <w:tcW w:w="2340" w:type="dxa"/>
            <w:vAlign w:val="bottom"/>
            <w:tcBorders>
              <w:bottom w:val="single" w:sz="8" w:color="0000FF"/>
            </w:tcBorders>
            <w:gridSpan w:val="4"/>
            <w:shd w:val="clear" w:color="auto" w:fill="CCEEFF"/>
          </w:tcPr>
          <w:p>
            <w:pPr>
              <w:spacing w:after="0" w:line="126" w:lineRule="exact"/>
              <w:rPr>
                <w:sz w:val="20"/>
                <w:szCs w:val="20"/>
                <w:color w:val="auto"/>
              </w:rPr>
            </w:pPr>
            <w:r>
              <w:rPr>
                <w:rFonts w:ascii="Arial" w:cs="Arial" w:eastAsia="Arial" w:hAnsi="Arial"/>
                <w:sz w:val="12"/>
                <w:szCs w:val="12"/>
                <w:color w:val="0000FF"/>
                <w:w w:val="99"/>
              </w:rPr>
              <w:t>Notes to Consolidated Financial Statements</w:t>
            </w:r>
          </w:p>
        </w:tc>
        <w:tc>
          <w:tcPr>
            <w:tcW w:w="7860" w:type="dxa"/>
            <w:vAlign w:val="bottom"/>
            <w:tcBorders>
              <w:bottom w:val="single" w:sz="8" w:color="CCEEFF"/>
            </w:tcBorders>
            <w:gridSpan w:val="5"/>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99"/>
              </w:rPr>
              <w:t>F-8</w:t>
            </w:r>
          </w:p>
        </w:tc>
      </w:tr>
    </w:tbl>
    <w:p>
      <w:pPr>
        <w:spacing w:after="0" w:line="266" w:lineRule="exact"/>
        <w:rPr>
          <w:sz w:val="20"/>
          <w:szCs w:val="20"/>
          <w:color w:val="auto"/>
        </w:rPr>
      </w:pPr>
    </w:p>
    <w:p>
      <w:pPr>
        <w:ind w:left="428" w:hanging="428"/>
        <w:spacing w:after="0"/>
        <w:tabs>
          <w:tab w:leader="none" w:pos="428"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Statement Schedules</w:t>
      </w:r>
    </w:p>
    <w:p>
      <w:pPr>
        <w:spacing w:after="0" w:line="78" w:lineRule="exact"/>
        <w:rPr>
          <w:rFonts w:ascii="Arial" w:cs="Arial" w:eastAsia="Arial" w:hAnsi="Arial"/>
          <w:sz w:val="12"/>
          <w:szCs w:val="12"/>
          <w:b w:val="1"/>
          <w:bCs w:val="1"/>
          <w:color w:val="auto"/>
        </w:rPr>
      </w:pPr>
    </w:p>
    <w:p>
      <w:pPr>
        <w:ind w:left="408"/>
        <w:spacing w:after="0"/>
        <w:rPr>
          <w:rFonts w:ascii="Arial" w:cs="Arial" w:eastAsia="Arial" w:hAnsi="Arial"/>
          <w:sz w:val="12"/>
          <w:szCs w:val="12"/>
          <w:b w:val="1"/>
          <w:bCs w:val="1"/>
          <w:color w:val="auto"/>
        </w:rPr>
      </w:pPr>
      <w:r>
        <w:rPr>
          <w:rFonts w:ascii="Arial" w:cs="Arial" w:eastAsia="Arial" w:hAnsi="Arial"/>
          <w:sz w:val="12"/>
          <w:szCs w:val="12"/>
          <w:color w:val="auto"/>
        </w:rPr>
        <w:t>All financial statement schedules have been omitted because they are not applicable, not required or the information required is shown in the consolidated financial statements or the notes thereto.</w:t>
      </w:r>
    </w:p>
    <w:p>
      <w:pPr>
        <w:spacing w:after="0" w:line="222" w:lineRule="exact"/>
        <w:rPr>
          <w:rFonts w:ascii="Arial" w:cs="Arial" w:eastAsia="Arial" w:hAnsi="Arial"/>
          <w:sz w:val="12"/>
          <w:szCs w:val="12"/>
          <w:b w:val="1"/>
          <w:bCs w:val="1"/>
          <w:color w:val="auto"/>
        </w:rPr>
      </w:pPr>
    </w:p>
    <w:p>
      <w:pPr>
        <w:ind w:left="428" w:hanging="428"/>
        <w:spacing w:after="0"/>
        <w:tabs>
          <w:tab w:leader="none" w:pos="428"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Index to Exhibits</w:t>
      </w:r>
    </w:p>
    <w:p>
      <w:pPr>
        <w:spacing w:after="0" w:line="78" w:lineRule="exact"/>
        <w:rPr>
          <w:rFonts w:ascii="Arial" w:cs="Arial" w:eastAsia="Arial" w:hAnsi="Arial"/>
          <w:sz w:val="12"/>
          <w:szCs w:val="12"/>
          <w:b w:val="1"/>
          <w:bCs w:val="1"/>
          <w:color w:val="auto"/>
        </w:rPr>
      </w:pPr>
    </w:p>
    <w:p>
      <w:pPr>
        <w:ind w:left="408"/>
        <w:spacing w:after="0"/>
        <w:rPr>
          <w:rFonts w:ascii="Arial" w:cs="Arial" w:eastAsia="Arial" w:hAnsi="Arial"/>
          <w:sz w:val="12"/>
          <w:szCs w:val="12"/>
          <w:b w:val="1"/>
          <w:bCs w:val="1"/>
          <w:color w:val="auto"/>
        </w:rPr>
      </w:pPr>
      <w:r>
        <w:rPr>
          <w:rFonts w:ascii="Arial" w:cs="Arial" w:eastAsia="Arial" w:hAnsi="Arial"/>
          <w:sz w:val="12"/>
          <w:szCs w:val="12"/>
          <w:color w:val="auto"/>
        </w:rPr>
        <w:t>The following is a list of exhibits filed as part of this Annual Report on Form 10-K.</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12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Exhibit</w:t>
            </w: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1"/>
        </w:trPr>
        <w:tc>
          <w:tcPr>
            <w:tcW w:w="12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Number</w:t>
            </w: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20" w:type="dxa"/>
            <w:vAlign w:val="bottom"/>
            <w:gridSpan w:val="4"/>
          </w:tcPr>
          <w:p>
            <w:pPr>
              <w:ind w:left="140"/>
              <w:spacing w:after="0"/>
              <w:rPr>
                <w:sz w:val="20"/>
                <w:szCs w:val="20"/>
                <w:color w:val="auto"/>
              </w:rPr>
            </w:pPr>
            <w:r>
              <w:rPr>
                <w:rFonts w:ascii="Arial" w:cs="Arial" w:eastAsia="Arial" w:hAnsi="Arial"/>
                <w:sz w:val="10"/>
                <w:szCs w:val="10"/>
                <w:b w:val="1"/>
                <w:bCs w:val="1"/>
                <w:color w:val="auto"/>
              </w:rPr>
              <w:t>Description</w:t>
            </w:r>
          </w:p>
        </w:tc>
      </w:tr>
      <w:tr>
        <w:trPr>
          <w:trHeight w:val="143"/>
        </w:trPr>
        <w:tc>
          <w:tcPr>
            <w:tcW w:w="1120" w:type="dxa"/>
            <w:vAlign w:val="bottom"/>
            <w:tcBorders>
              <w:top w:val="single" w:sz="8" w:color="auto"/>
            </w:tcBorders>
          </w:tcPr>
          <w:p>
            <w:pPr>
              <w:jc w:val="right"/>
              <w:ind w:right="825"/>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2"/>
                <w:szCs w:val="12"/>
                <w:color w:val="auto"/>
              </w:rPr>
            </w:pPr>
          </w:p>
        </w:tc>
        <w:tc>
          <w:tcPr>
            <w:tcW w:w="8420" w:type="dxa"/>
            <w:vAlign w:val="bottom"/>
            <w:tcBorders>
              <w:top w:val="single" w:sz="8" w:color="auto"/>
            </w:tcBorders>
            <w:gridSpan w:val="7"/>
          </w:tcPr>
          <w:p>
            <w:pPr>
              <w:spacing w:after="0"/>
              <w:rPr>
                <w:rFonts w:ascii="Arial" w:cs="Arial" w:eastAsia="Arial" w:hAnsi="Arial"/>
                <w:sz w:val="12"/>
                <w:szCs w:val="12"/>
                <w:color w:val="0000FF"/>
              </w:rPr>
            </w:pPr>
            <w:hyperlink r:id="rId178">
              <w:r>
                <w:rPr>
                  <w:rFonts w:ascii="Arial" w:cs="Arial" w:eastAsia="Arial" w:hAnsi="Arial"/>
                  <w:sz w:val="12"/>
                  <w:szCs w:val="12"/>
                  <w:color w:val="0000FF"/>
                </w:rPr>
                <w:t>Restated Certificate of Incorporation of the Registrant (incorporated by reference to Exhibit 3.1 to the Registrant’s Current Report on Form 8-K (File No. 001-</w:t>
              </w:r>
            </w:hyperlink>
          </w:p>
        </w:tc>
      </w:tr>
      <w:tr>
        <w:trPr>
          <w:trHeight w:val="97"/>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rPr>
            </w:pPr>
            <w:hyperlink r:id="rId178">
              <w:r>
                <w:rPr>
                  <w:rFonts w:ascii="Arial" w:cs="Arial" w:eastAsia="Arial" w:hAnsi="Arial"/>
                  <w:sz w:val="11"/>
                  <w:szCs w:val="11"/>
                  <w:color w:val="0000FF"/>
                </w:rPr>
                <w:t>38672) filed with the SEC on October 1, 2018).</w:t>
              </w:r>
            </w:hyperlink>
          </w:p>
        </w:tc>
        <w:tc>
          <w:tcPr>
            <w:tcW w:w="5780" w:type="dxa"/>
            <w:vAlign w:val="bottom"/>
            <w:tcBorders>
              <w:top w:val="single" w:sz="8" w:color="0000FF"/>
            </w:tcBorders>
            <w:gridSpan w:val="5"/>
          </w:tcPr>
          <w:p>
            <w:pPr>
              <w:spacing w:after="0"/>
              <w:rPr>
                <w:sz w:val="8"/>
                <w:szCs w:val="8"/>
                <w:color w:val="auto"/>
              </w:rPr>
            </w:pPr>
          </w:p>
        </w:tc>
        <w:tc>
          <w:tcPr>
            <w:tcW w:w="140" w:type="dxa"/>
            <w:vAlign w:val="bottom"/>
          </w:tcPr>
          <w:p>
            <w:pPr>
              <w:spacing w:after="0"/>
              <w:rPr>
                <w:sz w:val="8"/>
                <w:szCs w:val="8"/>
                <w:color w:val="auto"/>
              </w:rPr>
            </w:pPr>
          </w:p>
        </w:tc>
      </w:tr>
      <w:tr>
        <w:trPr>
          <w:trHeight w:val="178"/>
        </w:trPr>
        <w:tc>
          <w:tcPr>
            <w:tcW w:w="1120" w:type="dxa"/>
            <w:vAlign w:val="bottom"/>
          </w:tcPr>
          <w:p>
            <w:pPr>
              <w:jc w:val="right"/>
              <w:ind w:right="825"/>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5"/>
                <w:szCs w:val="15"/>
                <w:color w:val="auto"/>
              </w:rPr>
            </w:pPr>
          </w:p>
        </w:tc>
        <w:tc>
          <w:tcPr>
            <w:tcW w:w="8420" w:type="dxa"/>
            <w:vAlign w:val="bottom"/>
            <w:gridSpan w:val="7"/>
          </w:tcPr>
          <w:p>
            <w:pPr>
              <w:spacing w:after="0"/>
              <w:rPr>
                <w:rFonts w:ascii="Arial" w:cs="Arial" w:eastAsia="Arial" w:hAnsi="Arial"/>
                <w:sz w:val="12"/>
                <w:szCs w:val="12"/>
                <w:color w:val="0000FF"/>
              </w:rPr>
            </w:pPr>
            <w:hyperlink r:id="rId179">
              <w:r>
                <w:rPr>
                  <w:rFonts w:ascii="Arial" w:cs="Arial" w:eastAsia="Arial" w:hAnsi="Arial"/>
                  <w:sz w:val="12"/>
                  <w:szCs w:val="12"/>
                  <w:color w:val="0000FF"/>
                </w:rPr>
                <w:t>Second Amended and Restated Bylaws of the Registrant (incorporated by reference to Exhibit 3.1 to the Registrant’s Current Report on Form 8-K (File No.</w:t>
              </w:r>
            </w:hyperlink>
          </w:p>
        </w:tc>
      </w:tr>
      <w:tr>
        <w:trPr>
          <w:trHeight w:val="97"/>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Borders>
              <w:top w:val="single" w:sz="8" w:color="0000FF"/>
              <w:bottom w:val="single" w:sz="8" w:color="0000FF"/>
            </w:tcBorders>
            <w:gridSpan w:val="2"/>
          </w:tcPr>
          <w:p>
            <w:pPr>
              <w:spacing w:after="0" w:line="97" w:lineRule="exact"/>
              <w:rPr>
                <w:rFonts w:ascii="Arial" w:cs="Arial" w:eastAsia="Arial" w:hAnsi="Arial"/>
                <w:sz w:val="11"/>
                <w:szCs w:val="11"/>
                <w:color w:val="0000FF"/>
              </w:rPr>
            </w:pPr>
            <w:hyperlink r:id="rId179">
              <w:r>
                <w:rPr>
                  <w:rFonts w:ascii="Arial" w:cs="Arial" w:eastAsia="Arial" w:hAnsi="Arial"/>
                  <w:sz w:val="11"/>
                  <w:szCs w:val="11"/>
                  <w:color w:val="0000FF"/>
                </w:rPr>
                <w:t>001-38672) filed with the SEC on June 21, 2023).</w:t>
              </w:r>
            </w:hyperlink>
          </w:p>
        </w:tc>
        <w:tc>
          <w:tcPr>
            <w:tcW w:w="5580" w:type="dxa"/>
            <w:vAlign w:val="bottom"/>
            <w:tcBorders>
              <w:top w:val="single" w:sz="8" w:color="0000FF"/>
            </w:tcBorders>
            <w:gridSpan w:val="3"/>
          </w:tcPr>
          <w:p>
            <w:pPr>
              <w:spacing w:after="0"/>
              <w:rPr>
                <w:sz w:val="8"/>
                <w:szCs w:val="8"/>
                <w:color w:val="auto"/>
              </w:rPr>
            </w:pPr>
          </w:p>
        </w:tc>
        <w:tc>
          <w:tcPr>
            <w:tcW w:w="200" w:type="dxa"/>
            <w:vAlign w:val="bottom"/>
            <w:gridSpan w:val="2"/>
          </w:tcPr>
          <w:p>
            <w:pPr>
              <w:spacing w:after="0"/>
              <w:rPr>
                <w:sz w:val="8"/>
                <w:szCs w:val="8"/>
                <w:color w:val="auto"/>
              </w:rPr>
            </w:pPr>
          </w:p>
        </w:tc>
      </w:tr>
      <w:tr>
        <w:trPr>
          <w:trHeight w:val="196"/>
        </w:trPr>
        <w:tc>
          <w:tcPr>
            <w:tcW w:w="1120" w:type="dxa"/>
            <w:vAlign w:val="bottom"/>
          </w:tcPr>
          <w:p>
            <w:pPr>
              <w:jc w:val="right"/>
              <w:ind w:right="825"/>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7"/>
                <w:szCs w:val="17"/>
                <w:color w:val="auto"/>
              </w:rPr>
            </w:pPr>
          </w:p>
        </w:tc>
        <w:tc>
          <w:tcPr>
            <w:tcW w:w="8420" w:type="dxa"/>
            <w:vAlign w:val="bottom"/>
            <w:gridSpan w:val="7"/>
          </w:tcPr>
          <w:p>
            <w:pPr>
              <w:spacing w:after="0"/>
              <w:rPr>
                <w:rFonts w:ascii="Arial" w:cs="Arial" w:eastAsia="Arial" w:hAnsi="Arial"/>
                <w:sz w:val="12"/>
                <w:szCs w:val="12"/>
                <w:color w:val="0000FF"/>
              </w:rPr>
            </w:pPr>
            <w:hyperlink r:id="rId180">
              <w:r>
                <w:rPr>
                  <w:rFonts w:ascii="Arial" w:cs="Arial" w:eastAsia="Arial" w:hAnsi="Arial"/>
                  <w:sz w:val="12"/>
                  <w:szCs w:val="12"/>
                  <w:color w:val="0000FF"/>
                </w:rPr>
                <w:t>Specimen Stock Certificate evidencing the shares of common stock (incorporated by reference to Exhibit 4.1 to the Registrant's Registration Statement on</w:t>
              </w:r>
            </w:hyperlink>
          </w:p>
        </w:tc>
      </w:tr>
      <w:tr>
        <w:trPr>
          <w:trHeight w:val="115"/>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180" w:type="dxa"/>
            <w:vAlign w:val="bottom"/>
            <w:tcBorders>
              <w:top w:val="single" w:sz="8" w:color="0000FF"/>
            </w:tcBorders>
            <w:gridSpan w:val="4"/>
          </w:tcPr>
          <w:p>
            <w:pPr>
              <w:spacing w:after="0" w:line="115" w:lineRule="exact"/>
              <w:rPr>
                <w:rFonts w:ascii="Arial" w:cs="Arial" w:eastAsia="Arial" w:hAnsi="Arial"/>
                <w:sz w:val="12"/>
                <w:szCs w:val="12"/>
                <w:color w:val="0000FF"/>
              </w:rPr>
            </w:pPr>
            <w:hyperlink r:id="rId180">
              <w:r>
                <w:rPr>
                  <w:rFonts w:ascii="Arial" w:cs="Arial" w:eastAsia="Arial" w:hAnsi="Arial"/>
                  <w:sz w:val="12"/>
                  <w:szCs w:val="12"/>
                  <w:color w:val="0000FF"/>
                </w:rPr>
                <w:t>Form S-1 (File No. 333-227112) filed with the SEC on August 30, 2018)</w:t>
              </w:r>
              <w:r>
                <w:rPr>
                  <w:rFonts w:ascii="Arial" w:cs="Arial" w:eastAsia="Arial" w:hAnsi="Arial"/>
                  <w:sz w:val="12"/>
                  <w:szCs w:val="12"/>
                  <w:color w:val="000000"/>
                </w:rPr>
                <w:t>.</w:t>
              </w:r>
            </w:hyperlink>
          </w:p>
        </w:tc>
        <w:tc>
          <w:tcPr>
            <w:tcW w:w="240" w:type="dxa"/>
            <w:vAlign w:val="bottom"/>
            <w:gridSpan w:val="3"/>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1">
            <w:col w:w="11308"/>
          </w:cols>
          <w:pgMar w:left="292" w:top="883" w:right="299" w:bottom="1440" w:gutter="0" w:footer="0" w:header="0"/>
        </w:sectPr>
      </w:pPr>
    </w:p>
    <w:p>
      <w:pPr>
        <w:ind w:left="88"/>
        <w:spacing w:after="0"/>
        <w:rPr>
          <w:sz w:val="20"/>
          <w:szCs w:val="20"/>
          <w:color w:val="auto"/>
        </w:rPr>
      </w:pPr>
      <w:r>
        <w:rPr>
          <w:rFonts w:ascii="Arial" w:cs="Arial" w:eastAsia="Arial" w:hAnsi="Arial"/>
          <w:sz w:val="11"/>
          <w:szCs w:val="11"/>
          <w:color w:val="auto"/>
        </w:rPr>
        <w:t>4.2</w:t>
      </w:r>
    </w:p>
    <w:p>
      <w:pPr>
        <w:spacing w:after="0" w:line="369" w:lineRule="exact"/>
        <w:rPr>
          <w:sz w:val="20"/>
          <w:szCs w:val="20"/>
          <w:color w:val="auto"/>
        </w:rPr>
      </w:pPr>
    </w:p>
    <w:p>
      <w:pPr>
        <w:ind w:left="88"/>
        <w:spacing w:after="0"/>
        <w:rPr>
          <w:sz w:val="20"/>
          <w:szCs w:val="20"/>
          <w:color w:val="auto"/>
        </w:rPr>
      </w:pPr>
      <w:r>
        <w:rPr>
          <w:rFonts w:ascii="Arial" w:cs="Arial" w:eastAsia="Arial" w:hAnsi="Arial"/>
          <w:sz w:val="11"/>
          <w:szCs w:val="11"/>
          <w:color w:val="auto"/>
        </w:rPr>
        <w:t>4.3</w:t>
      </w:r>
    </w:p>
    <w:p>
      <w:pPr>
        <w:spacing w:after="0" w:line="20" w:lineRule="exact"/>
        <w:rPr>
          <w:sz w:val="20"/>
          <w:szCs w:val="20"/>
          <w:color w:val="auto"/>
        </w:rPr>
      </w:pPr>
      <w:r>
        <w:rPr>
          <w:sz w:val="20"/>
          <w:szCs w:val="20"/>
          <w:color w:val="auto"/>
        </w:rPr>
        <w:br w:type="column"/>
      </w:r>
    </w:p>
    <w:p>
      <w:pPr>
        <w:ind w:right="1680"/>
        <w:spacing w:after="0" w:line="252" w:lineRule="auto"/>
        <w:rPr>
          <w:rFonts w:ascii="Arial" w:cs="Arial" w:eastAsia="Arial" w:hAnsi="Arial"/>
          <w:sz w:val="12"/>
          <w:szCs w:val="12"/>
          <w:color w:val="0000FF"/>
        </w:rPr>
      </w:pPr>
      <w:hyperlink r:id="rId181">
        <w:r>
          <w:rPr>
            <w:rFonts w:ascii="Arial" w:cs="Arial" w:eastAsia="Arial" w:hAnsi="Arial"/>
            <w:sz w:val="12"/>
            <w:szCs w:val="12"/>
            <w:u w:val="single" w:color="auto"/>
            <w:color w:val="0000FF"/>
          </w:rPr>
          <w:t>Second Amended and Restated Put Agreement among the Registrant, Connecticut Innovations, Incorporated and the other parties thereto, dated March 29,</w:t>
        </w:r>
      </w:hyperlink>
      <w:r>
        <w:rPr>
          <w:rFonts w:ascii="Arial" w:cs="Arial" w:eastAsia="Arial" w:hAnsi="Arial"/>
          <w:sz w:val="12"/>
          <w:szCs w:val="12"/>
          <w:u w:val="single" w:color="auto"/>
          <w:color w:val="0000FF"/>
        </w:rPr>
        <w:t xml:space="preserve"> </w:t>
      </w:r>
      <w:hyperlink r:id="rId181">
        <w:r>
          <w:rPr>
            <w:rFonts w:ascii="Arial" w:cs="Arial" w:eastAsia="Arial" w:hAnsi="Arial"/>
            <w:sz w:val="12"/>
            <w:szCs w:val="12"/>
            <w:u w:val="single" w:color="auto"/>
            <w:color w:val="0000FF"/>
          </w:rPr>
          <w:t>2018 (incorporated by reference to Exhibit 4.3 to the Registrant's Registration Statement on Form S-1 (File No. 333-2271121) filed with the SEC on August 30.</w:t>
        </w:r>
      </w:hyperlink>
      <w:r>
        <w:rPr>
          <w:rFonts w:ascii="Arial" w:cs="Arial" w:eastAsia="Arial" w:hAnsi="Arial"/>
          <w:sz w:val="12"/>
          <w:szCs w:val="12"/>
          <w:u w:val="single" w:color="auto"/>
          <w:color w:val="0000FF"/>
        </w:rPr>
        <w:t xml:space="preserve"> </w:t>
      </w:r>
      <w:hyperlink r:id="rId181">
        <w:r>
          <w:rPr>
            <w:rFonts w:ascii="Arial" w:cs="Arial" w:eastAsia="Arial" w:hAnsi="Arial"/>
            <w:sz w:val="12"/>
            <w:szCs w:val="12"/>
            <w:u w:val="single" w:color="auto"/>
            <w:color w:val="0000FF"/>
          </w:rPr>
          <w:t>2018)</w:t>
        </w:r>
        <w:r>
          <w:rPr>
            <w:rFonts w:ascii="Arial" w:cs="Arial" w:eastAsia="Arial" w:hAnsi="Arial"/>
            <w:sz w:val="12"/>
            <w:szCs w:val="12"/>
            <w:color w:val="000000"/>
            <w:highlight w:val="white"/>
          </w:rPr>
          <w:t>.</w:t>
        </w:r>
      </w:hyperlink>
    </w:p>
    <w:p>
      <w:pPr>
        <w:spacing w:after="0" w:line="42" w:lineRule="exact"/>
        <w:rPr>
          <w:rFonts w:ascii="Arial" w:cs="Arial" w:eastAsia="Arial" w:hAnsi="Arial"/>
          <w:sz w:val="12"/>
          <w:szCs w:val="12"/>
          <w:u w:val="single" w:color="auto"/>
          <w:color w:val="0000FF"/>
        </w:rPr>
      </w:pPr>
    </w:p>
    <w:p>
      <w:pPr>
        <w:ind w:right="1740"/>
        <w:spacing w:after="0" w:line="239" w:lineRule="auto"/>
        <w:rPr>
          <w:rFonts w:ascii="Arial" w:cs="Arial" w:eastAsia="Arial" w:hAnsi="Arial"/>
          <w:sz w:val="12"/>
          <w:szCs w:val="12"/>
          <w:u w:val="single" w:color="auto"/>
          <w:color w:val="0000FF"/>
          <w:highlight w:val="white"/>
        </w:rPr>
      </w:pPr>
      <w:hyperlink r:id="rId182">
        <w:r>
          <w:rPr>
            <w:rFonts w:ascii="Arial" w:cs="Arial" w:eastAsia="Arial" w:hAnsi="Arial"/>
            <w:sz w:val="12"/>
            <w:szCs w:val="12"/>
            <w:color w:val="0000FF"/>
          </w:rPr>
          <w:t>Form of Pre-Funded Wa</w:t>
        </w:r>
        <w:r>
          <w:rPr>
            <w:rFonts w:ascii="Arial" w:cs="Arial" w:eastAsia="Arial" w:hAnsi="Arial"/>
            <w:sz w:val="12"/>
            <w:szCs w:val="12"/>
            <w:u w:val="single" w:color="auto"/>
            <w:color w:val="0000FF"/>
          </w:rPr>
          <w:t>rrant (incorporated by reference to Exhibit 4.1 to the Registrant’s Current Report on Form 8-K (File No. 001-38672) filed with the SEC</w:t>
        </w:r>
      </w:hyperlink>
      <w:r>
        <w:rPr>
          <w:rFonts w:ascii="Arial" w:cs="Arial" w:eastAsia="Arial" w:hAnsi="Arial"/>
          <w:sz w:val="12"/>
          <w:szCs w:val="12"/>
          <w:color w:val="0000FF"/>
        </w:rPr>
        <w:t xml:space="preserve"> </w:t>
      </w:r>
      <w:hyperlink r:id="rId182">
        <w:r>
          <w:rPr>
            <w:rFonts w:ascii="Arial" w:cs="Arial" w:eastAsia="Arial" w:hAnsi="Arial"/>
            <w:sz w:val="12"/>
            <w:szCs w:val="12"/>
            <w:u w:val="single" w:color="auto"/>
            <w:color w:val="0000FF"/>
            <w:highlight w:val="white"/>
          </w:rPr>
          <w:t>on November 27, 2023).</w:t>
        </w:r>
      </w:hyperlink>
    </w:p>
    <w:p>
      <w:pPr>
        <w:spacing w:after="0" w:line="200" w:lineRule="exact"/>
        <w:rPr>
          <w:sz w:val="20"/>
          <w:szCs w:val="20"/>
          <w:color w:val="auto"/>
        </w:rPr>
      </w:pPr>
    </w:p>
    <w:p>
      <w:pPr>
        <w:sectPr>
          <w:pgSz w:w="11900" w:h="16838" w:orient="portrait"/>
          <w:cols w:equalWidth="0" w:num="2">
            <w:col w:w="508" w:space="720"/>
            <w:col w:w="10080"/>
          </w:cols>
          <w:pgMar w:left="292" w:top="883" w:right="29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ind w:right="12"/>
        <w:spacing w:after="0"/>
        <w:rPr>
          <w:sz w:val="20"/>
          <w:szCs w:val="20"/>
          <w:color w:val="auto"/>
        </w:rPr>
      </w:pPr>
      <w:r>
        <w:rPr>
          <w:rFonts w:ascii="Arial" w:cs="Arial" w:eastAsia="Arial" w:hAnsi="Arial"/>
          <w:sz w:val="11"/>
          <w:szCs w:val="1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3" w:right="299" w:bottom="1440" w:gutter="0" w:footer="0" w:header="0"/>
          <w:type w:val="continuous"/>
        </w:sectPr>
      </w:pPr>
    </w:p>
    <w:bookmarkStart w:id="155" w:name="page156"/>
    <w:bookmarkEnd w:id="155"/>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4.5</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10.1+</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10.2+</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10.3+</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10.4+</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10.5+</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10.6+</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10.7+</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10.8+</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10.9+</w:t>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10.10+</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10.11+</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10.12+</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10.13+</w:t>
      </w:r>
    </w:p>
    <w:p>
      <w:pPr>
        <w:spacing w:after="0" w:line="20" w:lineRule="exact"/>
        <w:rPr>
          <w:sz w:val="20"/>
          <w:szCs w:val="20"/>
          <w:color w:val="auto"/>
        </w:rPr>
      </w:pPr>
      <w:r>
        <w:rPr>
          <w:sz w:val="20"/>
          <w:szCs w:val="20"/>
          <w:color w:val="auto"/>
        </w:rPr>
        <w:br w:type="column"/>
      </w:r>
    </w:p>
    <w:p>
      <w:pPr>
        <w:ind w:right="759"/>
        <w:spacing w:after="0" w:line="239" w:lineRule="auto"/>
        <w:rPr>
          <w:rFonts w:ascii="Arial" w:cs="Arial" w:eastAsia="Arial" w:hAnsi="Arial"/>
          <w:sz w:val="12"/>
          <w:szCs w:val="12"/>
          <w:u w:val="single" w:color="auto"/>
          <w:color w:val="0000FF"/>
          <w:highlight w:val="white"/>
        </w:rPr>
      </w:pPr>
      <w:hyperlink r:id="rId184">
        <w:r>
          <w:rPr>
            <w:rFonts w:ascii="Arial" w:cs="Arial" w:eastAsia="Arial" w:hAnsi="Arial"/>
            <w:sz w:val="12"/>
            <w:szCs w:val="12"/>
            <w:color w:val="0000FF"/>
          </w:rPr>
          <w:t xml:space="preserve">Registration Rights Agreement, dated November 24, 2023, by and among the Company and the other parties thereto </w:t>
        </w:r>
        <w:r>
          <w:rPr>
            <w:rFonts w:ascii="Arial" w:cs="Arial" w:eastAsia="Arial" w:hAnsi="Arial"/>
            <w:sz w:val="12"/>
            <w:szCs w:val="12"/>
            <w:u w:val="single" w:color="auto"/>
            <w:color w:val="0000FF"/>
            <w:highlight w:val="white"/>
          </w:rPr>
          <w:t>(incorporated by reference to Exhibit</w:t>
        </w:r>
      </w:hyperlink>
      <w:r>
        <w:rPr>
          <w:rFonts w:ascii="Arial" w:cs="Arial" w:eastAsia="Arial" w:hAnsi="Arial"/>
          <w:sz w:val="12"/>
          <w:szCs w:val="12"/>
          <w:color w:val="0000FF"/>
        </w:rPr>
        <w:t xml:space="preserve"> </w:t>
      </w:r>
      <w:hyperlink r:id="rId184">
        <w:r>
          <w:rPr>
            <w:rFonts w:ascii="Arial" w:cs="Arial" w:eastAsia="Arial" w:hAnsi="Arial"/>
            <w:sz w:val="12"/>
            <w:szCs w:val="12"/>
            <w:u w:val="single" w:color="auto"/>
            <w:color w:val="0000FF"/>
            <w:highlight w:val="white"/>
          </w:rPr>
          <w:t>10.2 to the Registrant’s Current Report on Form 8-K (File No. 001-38672) filed with the SEC on November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-91440</wp:posOffset>
            </wp:positionV>
            <wp:extent cx="2286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92" w:lineRule="exact"/>
        <w:rPr>
          <w:sz w:val="20"/>
          <w:szCs w:val="20"/>
          <w:color w:val="auto"/>
        </w:rPr>
      </w:pPr>
    </w:p>
    <w:p>
      <w:pPr>
        <w:ind w:right="919"/>
        <w:spacing w:after="0" w:line="239" w:lineRule="auto"/>
        <w:rPr>
          <w:rFonts w:ascii="Arial" w:cs="Arial" w:eastAsia="Arial" w:hAnsi="Arial"/>
          <w:sz w:val="12"/>
          <w:szCs w:val="12"/>
          <w:u w:val="single" w:color="auto"/>
          <w:color w:val="0000FF"/>
        </w:rPr>
      </w:pPr>
      <w:hyperlink r:id="rId186">
        <w:r>
          <w:rPr>
            <w:rFonts w:ascii="Arial" w:cs="Arial" w:eastAsia="Arial" w:hAnsi="Arial"/>
            <w:sz w:val="12"/>
            <w:szCs w:val="12"/>
            <w:u w:val="single" w:color="auto"/>
            <w:color w:val="0000FF"/>
          </w:rPr>
          <w:t>Description of the Registrant’s Securities Registered Under Section 12 of the Exchange Act (incorporated by reference to Exhibit 4.4 to the Registrant’s</w:t>
        </w:r>
      </w:hyperlink>
      <w:r>
        <w:rPr>
          <w:rFonts w:ascii="Arial" w:cs="Arial" w:eastAsia="Arial" w:hAnsi="Arial"/>
          <w:sz w:val="12"/>
          <w:szCs w:val="12"/>
          <w:u w:val="single" w:color="auto"/>
          <w:color w:val="0000FF"/>
        </w:rPr>
        <w:t xml:space="preserve"> </w:t>
      </w:r>
      <w:hyperlink r:id="rId186">
        <w:r>
          <w:rPr>
            <w:rFonts w:ascii="Arial" w:cs="Arial" w:eastAsia="Arial" w:hAnsi="Arial"/>
            <w:sz w:val="12"/>
            <w:szCs w:val="12"/>
            <w:u w:val="single" w:color="auto"/>
            <w:color w:val="0000FF"/>
          </w:rPr>
          <w:t>Annual Report on Form 10-K (File No. 001-38672) filed with the SEC on March 16, 2020).</w:t>
        </w:r>
      </w:hyperlink>
    </w:p>
    <w:p>
      <w:pPr>
        <w:spacing w:after="0" w:line="58" w:lineRule="exact"/>
        <w:rPr>
          <w:sz w:val="20"/>
          <w:szCs w:val="20"/>
          <w:color w:val="auto"/>
        </w:rPr>
      </w:pPr>
    </w:p>
    <w:p>
      <w:pPr>
        <w:jc w:val="both"/>
        <w:ind w:right="679"/>
        <w:spacing w:after="0" w:line="260" w:lineRule="auto"/>
        <w:rPr>
          <w:rFonts w:ascii="Arial" w:cs="Arial" w:eastAsia="Arial" w:hAnsi="Arial"/>
          <w:sz w:val="12"/>
          <w:szCs w:val="12"/>
          <w:color w:val="0000FF"/>
        </w:rPr>
      </w:pPr>
      <w:hyperlink r:id="rId187">
        <w:r>
          <w:rPr>
            <w:rFonts w:ascii="Arial" w:cs="Arial" w:eastAsia="Arial" w:hAnsi="Arial"/>
            <w:sz w:val="12"/>
            <w:szCs w:val="12"/>
            <w:u w:val="single" w:color="auto"/>
            <w:color w:val="0000FF"/>
          </w:rPr>
          <w:t>Incentive Share Plan, as amended by First Amendment, dated October 16, 2015, Second Amendment, dated December 22, 2016, Third Amendment, dated</w:t>
        </w:r>
      </w:hyperlink>
      <w:r>
        <w:rPr>
          <w:rFonts w:ascii="Arial" w:cs="Arial" w:eastAsia="Arial" w:hAnsi="Arial"/>
          <w:sz w:val="12"/>
          <w:szCs w:val="12"/>
          <w:u w:val="single" w:color="auto"/>
          <w:color w:val="0000FF"/>
        </w:rPr>
        <w:t xml:space="preserve"> </w:t>
      </w:r>
      <w:hyperlink r:id="rId187">
        <w:r>
          <w:rPr>
            <w:rFonts w:ascii="Arial" w:cs="Arial" w:eastAsia="Arial" w:hAnsi="Arial"/>
            <w:sz w:val="12"/>
            <w:szCs w:val="12"/>
            <w:u w:val="single" w:color="auto"/>
            <w:color w:val="0000FF"/>
          </w:rPr>
          <w:t>September 8, 2017, and Fourth Amendment, dated March 29, 2018 (incorporated by reference to Exhibit 10.1 to the Registrant’s Registration Statement on</w:t>
        </w:r>
      </w:hyperlink>
      <w:r>
        <w:rPr>
          <w:rFonts w:ascii="Arial" w:cs="Arial" w:eastAsia="Arial" w:hAnsi="Arial"/>
          <w:sz w:val="12"/>
          <w:szCs w:val="12"/>
          <w:u w:val="single" w:color="auto"/>
          <w:color w:val="0000FF"/>
        </w:rPr>
        <w:t xml:space="preserve"> </w:t>
      </w:r>
      <w:hyperlink r:id="rId187">
        <w:r>
          <w:rPr>
            <w:rFonts w:ascii="Arial" w:cs="Arial" w:eastAsia="Arial" w:hAnsi="Arial"/>
            <w:sz w:val="12"/>
            <w:szCs w:val="12"/>
            <w:u w:val="single" w:color="auto"/>
            <w:color w:val="0000FF"/>
          </w:rPr>
          <w:t>Form S-1 (File No. 333-227112) filed with the SEC on August 30, 2018</w:t>
        </w:r>
        <w:r>
          <w:rPr>
            <w:rFonts w:ascii="Arial" w:cs="Arial" w:eastAsia="Arial" w:hAnsi="Arial"/>
            <w:sz w:val="12"/>
            <w:szCs w:val="12"/>
            <w:color w:val="000000"/>
            <w:highlight w:val="white"/>
          </w:rPr>
          <w:t>).</w:t>
        </w:r>
      </w:hyperlink>
    </w:p>
    <w:p>
      <w:pPr>
        <w:spacing w:after="0" w:line="47" w:lineRule="exact"/>
        <w:rPr>
          <w:rFonts w:ascii="Arial" w:cs="Arial" w:eastAsia="Arial" w:hAnsi="Arial"/>
          <w:sz w:val="12"/>
          <w:szCs w:val="12"/>
          <w:u w:val="single" w:color="auto"/>
          <w:color w:val="0000FF"/>
        </w:rPr>
      </w:pPr>
    </w:p>
    <w:p>
      <w:pPr>
        <w:ind w:right="519"/>
        <w:spacing w:after="0" w:line="270" w:lineRule="auto"/>
        <w:rPr>
          <w:rFonts w:ascii="Arial" w:cs="Arial" w:eastAsia="Arial" w:hAnsi="Arial"/>
          <w:sz w:val="12"/>
          <w:szCs w:val="12"/>
          <w:color w:val="0000FF"/>
        </w:rPr>
      </w:pPr>
      <w:hyperlink r:id="rId188">
        <w:r>
          <w:rPr>
            <w:rFonts w:ascii="Arial" w:cs="Arial" w:eastAsia="Arial" w:hAnsi="Arial"/>
            <w:sz w:val="12"/>
            <w:szCs w:val="12"/>
            <w:u w:val="single" w:color="auto"/>
            <w:color w:val="0000FF"/>
          </w:rPr>
          <w:t>Form of Incentive Share Award Agreement under Incentive Share Plan (incorporated by reference to Exhibit 10.2 to the Registrant’s Registration Statement on</w:t>
        </w:r>
      </w:hyperlink>
      <w:r>
        <w:rPr>
          <w:rFonts w:ascii="Arial" w:cs="Arial" w:eastAsia="Arial" w:hAnsi="Arial"/>
          <w:sz w:val="12"/>
          <w:szCs w:val="12"/>
          <w:u w:val="single" w:color="auto"/>
          <w:color w:val="0000FF"/>
        </w:rPr>
        <w:t xml:space="preserve"> </w:t>
      </w:r>
      <w:hyperlink r:id="rId188">
        <w:r>
          <w:rPr>
            <w:rFonts w:ascii="Arial" w:cs="Arial" w:eastAsia="Arial" w:hAnsi="Arial"/>
            <w:sz w:val="12"/>
            <w:szCs w:val="12"/>
            <w:u w:val="single" w:color="auto"/>
            <w:color w:val="0000FF"/>
          </w:rPr>
          <w:t>Form S-1 (File No. 333-227112) filed with the SEC on August 30, 2018</w:t>
        </w:r>
        <w:r>
          <w:rPr>
            <w:rFonts w:ascii="Arial" w:cs="Arial" w:eastAsia="Arial" w:hAnsi="Arial"/>
            <w:sz w:val="12"/>
            <w:szCs w:val="12"/>
            <w:color w:val="000000"/>
            <w:highlight w:val="white"/>
          </w:rPr>
          <w:t>).</w:t>
        </w:r>
      </w:hyperlink>
    </w:p>
    <w:p>
      <w:pPr>
        <w:spacing w:after="0" w:line="50" w:lineRule="exact"/>
        <w:rPr>
          <w:sz w:val="20"/>
          <w:szCs w:val="20"/>
          <w:color w:val="auto"/>
        </w:rPr>
      </w:pPr>
    </w:p>
    <w:p>
      <w:pPr>
        <w:ind w:right="539"/>
        <w:spacing w:after="0" w:line="270" w:lineRule="auto"/>
        <w:rPr>
          <w:rFonts w:ascii="Arial" w:cs="Arial" w:eastAsia="Arial" w:hAnsi="Arial"/>
          <w:sz w:val="12"/>
          <w:szCs w:val="12"/>
          <w:color w:val="0000FF"/>
        </w:rPr>
      </w:pPr>
      <w:hyperlink r:id="rId189">
        <w:r>
          <w:rPr>
            <w:rFonts w:ascii="Arial" w:cs="Arial" w:eastAsia="Arial" w:hAnsi="Arial"/>
            <w:sz w:val="12"/>
            <w:szCs w:val="12"/>
            <w:u w:val="single" w:color="auto"/>
            <w:color w:val="0000FF"/>
          </w:rPr>
          <w:t>Form of Restricted Stock Agreement under Incentive Share Plan (incorporated by reference to Exhibit 10.3 to the Registrant’s Registration Statement on Form</w:t>
        </w:r>
      </w:hyperlink>
      <w:r>
        <w:rPr>
          <w:rFonts w:ascii="Arial" w:cs="Arial" w:eastAsia="Arial" w:hAnsi="Arial"/>
          <w:sz w:val="12"/>
          <w:szCs w:val="12"/>
          <w:u w:val="single" w:color="auto"/>
          <w:color w:val="0000FF"/>
        </w:rPr>
        <w:t xml:space="preserve"> </w:t>
      </w:r>
      <w:hyperlink r:id="rId189">
        <w:r>
          <w:rPr>
            <w:rFonts w:ascii="Arial" w:cs="Arial" w:eastAsia="Arial" w:hAnsi="Arial"/>
            <w:sz w:val="12"/>
            <w:szCs w:val="12"/>
            <w:u w:val="single" w:color="auto"/>
            <w:color w:val="0000FF"/>
          </w:rPr>
          <w:t>S-1/A (File No. 333-227112) filed with the SEC on September 14, 2018</w:t>
        </w:r>
        <w:r>
          <w:rPr>
            <w:rFonts w:ascii="Arial" w:cs="Arial" w:eastAsia="Arial" w:hAnsi="Arial"/>
            <w:sz w:val="12"/>
            <w:szCs w:val="12"/>
            <w:color w:val="000000"/>
          </w:rPr>
          <w:t>).</w:t>
        </w:r>
      </w:hyperlink>
    </w:p>
    <w:p>
      <w:pPr>
        <w:spacing w:after="0" w:line="50" w:lineRule="exact"/>
        <w:rPr>
          <w:sz w:val="20"/>
          <w:szCs w:val="20"/>
          <w:color w:val="auto"/>
        </w:rPr>
      </w:pPr>
    </w:p>
    <w:p>
      <w:pPr>
        <w:ind w:right="559"/>
        <w:spacing w:after="0" w:line="270" w:lineRule="auto"/>
        <w:rPr>
          <w:rFonts w:ascii="Arial" w:cs="Arial" w:eastAsia="Arial" w:hAnsi="Arial"/>
          <w:sz w:val="12"/>
          <w:szCs w:val="12"/>
          <w:u w:val="single" w:color="auto"/>
          <w:color w:val="0000FF"/>
        </w:rPr>
      </w:pPr>
      <w:hyperlink r:id="rId190">
        <w:r>
          <w:rPr>
            <w:rFonts w:ascii="Arial" w:cs="Arial" w:eastAsia="Arial" w:hAnsi="Arial"/>
            <w:sz w:val="12"/>
            <w:szCs w:val="12"/>
            <w:u w:val="single" w:color="auto"/>
            <w:color w:val="0000FF"/>
          </w:rPr>
          <w:t>2018 Stock Incentive Plan (incorporated by reference to Exhibit 10.4 to the Registrant’s Registration Statement on Form S-1/A (File No. 333-227112) filed with</w:t>
        </w:r>
      </w:hyperlink>
      <w:r>
        <w:rPr>
          <w:rFonts w:ascii="Arial" w:cs="Arial" w:eastAsia="Arial" w:hAnsi="Arial"/>
          <w:sz w:val="12"/>
          <w:szCs w:val="12"/>
          <w:u w:val="single" w:color="auto"/>
          <w:color w:val="0000FF"/>
        </w:rPr>
        <w:t xml:space="preserve"> </w:t>
      </w:r>
      <w:hyperlink r:id="rId190">
        <w:r>
          <w:rPr>
            <w:rFonts w:ascii="Arial" w:cs="Arial" w:eastAsia="Arial" w:hAnsi="Arial"/>
            <w:sz w:val="12"/>
            <w:szCs w:val="12"/>
            <w:u w:val="single" w:color="auto"/>
            <w:color w:val="0000FF"/>
          </w:rPr>
          <w:t>the SEC on September 14, 2018).</w:t>
        </w:r>
      </w:hyperlink>
    </w:p>
    <w:p>
      <w:pPr>
        <w:spacing w:after="0" w:line="50" w:lineRule="exact"/>
        <w:rPr>
          <w:sz w:val="20"/>
          <w:szCs w:val="20"/>
          <w:color w:val="auto"/>
        </w:rPr>
      </w:pPr>
    </w:p>
    <w:p>
      <w:pPr>
        <w:ind w:right="759"/>
        <w:spacing w:after="0" w:line="270" w:lineRule="auto"/>
        <w:rPr>
          <w:rFonts w:ascii="Arial" w:cs="Arial" w:eastAsia="Arial" w:hAnsi="Arial"/>
          <w:sz w:val="12"/>
          <w:szCs w:val="12"/>
          <w:u w:val="single" w:color="auto"/>
          <w:color w:val="0000FF"/>
        </w:rPr>
      </w:pPr>
      <w:hyperlink r:id="rId191">
        <w:r>
          <w:rPr>
            <w:rFonts w:ascii="Arial" w:cs="Arial" w:eastAsia="Arial" w:hAnsi="Arial"/>
            <w:sz w:val="12"/>
            <w:szCs w:val="12"/>
            <w:u w:val="single" w:color="auto"/>
            <w:color w:val="0000FF"/>
          </w:rPr>
          <w:t>Form of Stock Option Agreement under 2018 Stock Incentive Plan (incorporated by reference to Exhibit 10.5 to the Registrant’s Registration Statement on</w:t>
        </w:r>
      </w:hyperlink>
      <w:r>
        <w:rPr>
          <w:rFonts w:ascii="Arial" w:cs="Arial" w:eastAsia="Arial" w:hAnsi="Arial"/>
          <w:sz w:val="12"/>
          <w:szCs w:val="12"/>
          <w:u w:val="single" w:color="auto"/>
          <w:color w:val="0000FF"/>
        </w:rPr>
        <w:t xml:space="preserve"> </w:t>
      </w:r>
      <w:hyperlink r:id="rId191">
        <w:r>
          <w:rPr>
            <w:rFonts w:ascii="Arial" w:cs="Arial" w:eastAsia="Arial" w:hAnsi="Arial"/>
            <w:sz w:val="12"/>
            <w:szCs w:val="12"/>
            <w:u w:val="single" w:color="auto"/>
            <w:color w:val="0000FF"/>
          </w:rPr>
          <w:t>Form S-1/A (File No. 333-227112) filed with the SEC on September 14, 2018).</w:t>
        </w:r>
      </w:hyperlink>
    </w:p>
    <w:p>
      <w:pPr>
        <w:spacing w:after="0" w:line="50" w:lineRule="exact"/>
        <w:rPr>
          <w:sz w:val="20"/>
          <w:szCs w:val="20"/>
          <w:color w:val="auto"/>
        </w:rPr>
      </w:pPr>
    </w:p>
    <w:p>
      <w:pPr>
        <w:ind w:right="779"/>
        <w:spacing w:after="0" w:line="270" w:lineRule="auto"/>
        <w:rPr>
          <w:rFonts w:ascii="Arial" w:cs="Arial" w:eastAsia="Arial" w:hAnsi="Arial"/>
          <w:sz w:val="12"/>
          <w:szCs w:val="12"/>
          <w:u w:val="single" w:color="auto"/>
          <w:color w:val="0000FF"/>
        </w:rPr>
      </w:pPr>
      <w:hyperlink r:id="rId192">
        <w:r>
          <w:rPr>
            <w:rFonts w:ascii="Arial" w:cs="Arial" w:eastAsia="Arial" w:hAnsi="Arial"/>
            <w:sz w:val="12"/>
            <w:szCs w:val="12"/>
            <w:u w:val="single" w:color="auto"/>
            <w:color w:val="0000FF"/>
          </w:rPr>
          <w:t>Form of Restricted Stock Unit Agreement under 2018 Stock Incentive Plan (incorporated by reference to Exhibit 10.6 to the Registrant’s Annual Report on</w:t>
        </w:r>
      </w:hyperlink>
      <w:r>
        <w:rPr>
          <w:rFonts w:ascii="Arial" w:cs="Arial" w:eastAsia="Arial" w:hAnsi="Arial"/>
          <w:sz w:val="12"/>
          <w:szCs w:val="12"/>
          <w:u w:val="single" w:color="auto"/>
          <w:color w:val="0000FF"/>
        </w:rPr>
        <w:t xml:space="preserve"> </w:t>
      </w:r>
      <w:hyperlink r:id="rId192">
        <w:r>
          <w:rPr>
            <w:rFonts w:ascii="Arial" w:cs="Arial" w:eastAsia="Arial" w:hAnsi="Arial"/>
            <w:sz w:val="12"/>
            <w:szCs w:val="12"/>
            <w:u w:val="single" w:color="auto"/>
            <w:color w:val="0000FF"/>
          </w:rPr>
          <w:t>Form 10-K (File No. 001-38672) filed with the SEC on March 26, 2019).</w:t>
        </w:r>
      </w:hyperlink>
    </w:p>
    <w:p>
      <w:pPr>
        <w:spacing w:after="0" w:line="23" w:lineRule="exact"/>
        <w:rPr>
          <w:sz w:val="20"/>
          <w:szCs w:val="20"/>
          <w:color w:val="auto"/>
        </w:rPr>
      </w:pPr>
    </w:p>
    <w:p>
      <w:pPr>
        <w:spacing w:after="0"/>
        <w:rPr>
          <w:rFonts w:ascii="Arial" w:cs="Arial" w:eastAsia="Arial" w:hAnsi="Arial"/>
          <w:sz w:val="12"/>
          <w:szCs w:val="12"/>
          <w:u w:val="single" w:color="auto"/>
          <w:color w:val="0000FF"/>
        </w:rPr>
      </w:pPr>
      <w:hyperlink r:id="rId193">
        <w:r>
          <w:rPr>
            <w:rFonts w:ascii="Arial" w:cs="Arial" w:eastAsia="Arial" w:hAnsi="Arial"/>
            <w:sz w:val="12"/>
            <w:szCs w:val="12"/>
            <w:u w:val="single" w:color="auto"/>
            <w:color w:val="0000FF"/>
          </w:rPr>
          <w:t>2018 Employee Stock Purchase Plan (incorporated by reference to Exhibit 10.6 to the Registrant’s Registration Statement on Form S-1/A (File No. 333-</w:t>
        </w:r>
      </w:hyperlink>
    </w:p>
    <w:p>
      <w:pPr>
        <w:spacing w:after="0"/>
        <w:rPr>
          <w:rFonts w:ascii="Arial" w:cs="Arial" w:eastAsia="Arial" w:hAnsi="Arial"/>
          <w:sz w:val="12"/>
          <w:szCs w:val="12"/>
          <w:color w:val="0000FF"/>
        </w:rPr>
      </w:pPr>
      <w:hyperlink r:id="rId193">
        <w:r>
          <w:rPr>
            <w:rFonts w:ascii="Arial" w:cs="Arial" w:eastAsia="Arial" w:hAnsi="Arial"/>
            <w:sz w:val="12"/>
            <w:szCs w:val="12"/>
            <w:u w:val="single" w:color="auto"/>
            <w:color w:val="0000FF"/>
          </w:rPr>
          <w:t>227112) filed with the SEC on September 14, 2018)</w:t>
        </w:r>
        <w:r>
          <w:rPr>
            <w:rFonts w:ascii="Arial" w:cs="Arial" w:eastAsia="Arial" w:hAnsi="Arial"/>
            <w:sz w:val="12"/>
            <w:szCs w:val="12"/>
            <w:color w:val="000000"/>
          </w:rPr>
          <w:t>.</w:t>
        </w:r>
      </w:hyperlink>
    </w:p>
    <w:p>
      <w:pPr>
        <w:spacing w:after="0" w:line="48" w:lineRule="exact"/>
        <w:rPr>
          <w:sz w:val="20"/>
          <w:szCs w:val="20"/>
          <w:color w:val="auto"/>
        </w:rPr>
      </w:pPr>
    </w:p>
    <w:p>
      <w:pPr>
        <w:ind w:right="659"/>
        <w:spacing w:after="0" w:line="239" w:lineRule="auto"/>
        <w:rPr>
          <w:rFonts w:ascii="Arial" w:cs="Arial" w:eastAsia="Arial" w:hAnsi="Arial"/>
          <w:sz w:val="12"/>
          <w:szCs w:val="12"/>
          <w:u w:val="single" w:color="auto"/>
          <w:color w:val="0000FF"/>
        </w:rPr>
      </w:pPr>
      <w:hyperlink r:id="rId194">
        <w:r>
          <w:rPr>
            <w:rFonts w:ascii="Arial" w:cs="Arial" w:eastAsia="Arial" w:hAnsi="Arial"/>
            <w:sz w:val="12"/>
            <w:szCs w:val="12"/>
            <w:u w:val="single" w:color="auto"/>
            <w:color w:val="0000FF"/>
          </w:rPr>
          <w:t>Form of Restricted Stock Unit Agreement under 2018 Stock Incentive Plan (incorporated by reference to Exhibit 10.1 to the Registrant's Quarterly Report on</w:t>
        </w:r>
      </w:hyperlink>
      <w:r>
        <w:rPr>
          <w:rFonts w:ascii="Arial" w:cs="Arial" w:eastAsia="Arial" w:hAnsi="Arial"/>
          <w:sz w:val="12"/>
          <w:szCs w:val="12"/>
          <w:u w:val="single" w:color="auto"/>
          <w:color w:val="0000FF"/>
        </w:rPr>
        <w:t xml:space="preserve"> </w:t>
      </w:r>
      <w:hyperlink r:id="rId194">
        <w:r>
          <w:rPr>
            <w:rFonts w:ascii="Arial" w:cs="Arial" w:eastAsia="Arial" w:hAnsi="Arial"/>
            <w:sz w:val="12"/>
            <w:szCs w:val="12"/>
            <w:u w:val="single" w:color="auto"/>
            <w:color w:val="0000FF"/>
          </w:rPr>
          <w:t>Form 10-Q (File No. 001-36874) filed with the SEC on May 5, 2022).</w:t>
        </w:r>
      </w:hyperlink>
    </w:p>
    <w:p>
      <w:pPr>
        <w:spacing w:after="0" w:line="40" w:lineRule="exact"/>
        <w:rPr>
          <w:sz w:val="20"/>
          <w:szCs w:val="20"/>
          <w:color w:val="auto"/>
        </w:rPr>
      </w:pPr>
    </w:p>
    <w:p>
      <w:pPr>
        <w:ind w:right="699"/>
        <w:spacing w:after="0" w:line="239" w:lineRule="auto"/>
        <w:rPr>
          <w:rFonts w:ascii="Arial" w:cs="Arial" w:eastAsia="Arial" w:hAnsi="Arial"/>
          <w:sz w:val="12"/>
          <w:szCs w:val="12"/>
          <w:u w:val="single" w:color="auto"/>
          <w:color w:val="0000FF"/>
          <w:highlight w:val="white"/>
        </w:rPr>
      </w:pPr>
      <w:hyperlink r:id="rId195">
        <w:r>
          <w:rPr>
            <w:rFonts w:ascii="Arial" w:cs="Arial" w:eastAsia="Arial" w:hAnsi="Arial"/>
            <w:sz w:val="12"/>
            <w:szCs w:val="12"/>
            <w:color w:val="0000FF"/>
          </w:rPr>
          <w:t xml:space="preserve">Form of Inducement Stock Option Award Agreement </w:t>
        </w:r>
        <w:r>
          <w:rPr>
            <w:rFonts w:ascii="Arial" w:cs="Arial" w:eastAsia="Arial" w:hAnsi="Arial"/>
            <w:sz w:val="12"/>
            <w:szCs w:val="12"/>
            <w:color w:val="0000FF"/>
            <w:highlight w:val="white"/>
          </w:rPr>
          <w:t>(inco</w:t>
        </w:r>
        <w:r>
          <w:rPr>
            <w:rFonts w:ascii="Arial" w:cs="Arial" w:eastAsia="Arial" w:hAnsi="Arial"/>
            <w:sz w:val="12"/>
            <w:szCs w:val="12"/>
            <w:u w:val="single" w:color="auto"/>
            <w:color w:val="0000FF"/>
            <w:highlight w:val="white"/>
          </w:rPr>
          <w:t>rporated by reference to Exhibit 99.3 to the Registrant’s Registration Statement on Form S-8 (File</w:t>
        </w:r>
      </w:hyperlink>
      <w:r>
        <w:rPr>
          <w:rFonts w:ascii="Arial" w:cs="Arial" w:eastAsia="Arial" w:hAnsi="Arial"/>
          <w:sz w:val="12"/>
          <w:szCs w:val="12"/>
          <w:color w:val="0000FF"/>
        </w:rPr>
        <w:t xml:space="preserve"> </w:t>
      </w:r>
      <w:hyperlink r:id="rId195">
        <w:r>
          <w:rPr>
            <w:rFonts w:ascii="Arial" w:cs="Arial" w:eastAsia="Arial" w:hAnsi="Arial"/>
            <w:sz w:val="12"/>
            <w:szCs w:val="12"/>
            <w:u w:val="single" w:color="auto"/>
            <w:color w:val="0000FF"/>
            <w:highlight w:val="white"/>
          </w:rPr>
          <w:t>No. 333-276519) filed with the SEC on January 16, 2024).</w:t>
        </w:r>
      </w:hyperlink>
    </w:p>
    <w:p>
      <w:pPr>
        <w:spacing w:after="0" w:line="67" w:lineRule="exact"/>
        <w:rPr>
          <w:sz w:val="20"/>
          <w:szCs w:val="20"/>
          <w:color w:val="auto"/>
        </w:rPr>
      </w:pPr>
    </w:p>
    <w:p>
      <w:pPr>
        <w:ind w:right="519"/>
        <w:spacing w:after="0" w:line="239" w:lineRule="auto"/>
        <w:rPr>
          <w:rFonts w:ascii="Arial" w:cs="Arial" w:eastAsia="Arial" w:hAnsi="Arial"/>
          <w:sz w:val="12"/>
          <w:szCs w:val="12"/>
          <w:u w:val="single" w:color="auto"/>
          <w:color w:val="0000FF"/>
          <w:highlight w:val="white"/>
        </w:rPr>
      </w:pPr>
      <w:hyperlink r:id="rId196">
        <w:r>
          <w:rPr>
            <w:rFonts w:ascii="Arial" w:cs="Arial" w:eastAsia="Arial" w:hAnsi="Arial"/>
            <w:sz w:val="12"/>
            <w:szCs w:val="12"/>
            <w:color w:val="0000FF"/>
          </w:rPr>
          <w:t>Form of Inducement Restricted Stock Unit Award Agreement (i</w:t>
        </w:r>
        <w:r>
          <w:rPr>
            <w:rFonts w:ascii="Arial" w:cs="Arial" w:eastAsia="Arial" w:hAnsi="Arial"/>
            <w:sz w:val="12"/>
            <w:szCs w:val="12"/>
            <w:u w:val="single" w:color="auto"/>
            <w:color w:val="0000FF"/>
          </w:rPr>
          <w:t>ncorporated by reference to Exhibit 99.4 to the Registrant’s Registration Statement on Form S-8</w:t>
        </w:r>
      </w:hyperlink>
      <w:r>
        <w:rPr>
          <w:rFonts w:ascii="Arial" w:cs="Arial" w:eastAsia="Arial" w:hAnsi="Arial"/>
          <w:sz w:val="12"/>
          <w:szCs w:val="12"/>
          <w:color w:val="0000FF"/>
        </w:rPr>
        <w:t xml:space="preserve"> </w:t>
      </w:r>
      <w:hyperlink r:id="rId196">
        <w:r>
          <w:rPr>
            <w:rFonts w:ascii="Arial" w:cs="Arial" w:eastAsia="Arial" w:hAnsi="Arial"/>
            <w:sz w:val="12"/>
            <w:szCs w:val="12"/>
            <w:u w:val="single" w:color="auto"/>
            <w:color w:val="0000FF"/>
            <w:highlight w:val="white"/>
          </w:rPr>
          <w:t>(File No. 333-276519) filed with the SEC on January 16, 2024).</w:t>
        </w:r>
      </w:hyperlink>
    </w:p>
    <w:p>
      <w:pPr>
        <w:spacing w:after="0" w:line="58" w:lineRule="exact"/>
        <w:rPr>
          <w:sz w:val="20"/>
          <w:szCs w:val="20"/>
          <w:color w:val="auto"/>
        </w:rPr>
      </w:pPr>
    </w:p>
    <w:p>
      <w:pPr>
        <w:ind w:right="679"/>
        <w:spacing w:after="0" w:line="270" w:lineRule="auto"/>
        <w:rPr>
          <w:rFonts w:ascii="Arial" w:cs="Arial" w:eastAsia="Arial" w:hAnsi="Arial"/>
          <w:sz w:val="12"/>
          <w:szCs w:val="12"/>
          <w:color w:val="0000FF"/>
        </w:rPr>
      </w:pPr>
      <w:hyperlink r:id="rId197">
        <w:r>
          <w:rPr>
            <w:rFonts w:ascii="Arial" w:cs="Arial" w:eastAsia="Arial" w:hAnsi="Arial"/>
            <w:sz w:val="12"/>
            <w:szCs w:val="12"/>
            <w:u w:val="single" w:color="auto"/>
            <w:color w:val="0000FF"/>
          </w:rPr>
          <w:t>Form of Director and Officer Indemnification Agreement (incorporated by reference to Exhibit 10.7 to the Registrant’s Registration Statement on Form S-1/A</w:t>
        </w:r>
      </w:hyperlink>
      <w:r>
        <w:rPr>
          <w:rFonts w:ascii="Arial" w:cs="Arial" w:eastAsia="Arial" w:hAnsi="Arial"/>
          <w:sz w:val="12"/>
          <w:szCs w:val="12"/>
          <w:u w:val="single" w:color="auto"/>
          <w:color w:val="0000FF"/>
        </w:rPr>
        <w:t xml:space="preserve"> </w:t>
      </w:r>
      <w:hyperlink r:id="rId197">
        <w:r>
          <w:rPr>
            <w:rFonts w:ascii="Arial" w:cs="Arial" w:eastAsia="Arial" w:hAnsi="Arial"/>
            <w:sz w:val="12"/>
            <w:szCs w:val="12"/>
            <w:u w:val="single" w:color="auto"/>
            <w:color w:val="0000FF"/>
          </w:rPr>
          <w:t>(File No. 333-227112) filed with the SEC on September 14, 2018)</w:t>
        </w:r>
        <w:r>
          <w:rPr>
            <w:rFonts w:ascii="Arial" w:cs="Arial" w:eastAsia="Arial" w:hAnsi="Arial"/>
            <w:sz w:val="12"/>
            <w:szCs w:val="12"/>
            <w:color w:val="000000"/>
            <w:highlight w:val="white"/>
          </w:rPr>
          <w:t>.</w:t>
        </w:r>
      </w:hyperlink>
    </w:p>
    <w:p>
      <w:pPr>
        <w:spacing w:after="0" w:line="50" w:lineRule="exact"/>
        <w:rPr>
          <w:sz w:val="20"/>
          <w:szCs w:val="20"/>
          <w:color w:val="auto"/>
        </w:rPr>
      </w:pPr>
    </w:p>
    <w:p>
      <w:pPr>
        <w:ind w:right="959"/>
        <w:spacing w:after="0" w:line="270" w:lineRule="auto"/>
        <w:rPr>
          <w:rFonts w:ascii="Arial" w:cs="Arial" w:eastAsia="Arial" w:hAnsi="Arial"/>
          <w:sz w:val="12"/>
          <w:szCs w:val="12"/>
          <w:u w:val="single" w:color="auto"/>
          <w:color w:val="0000FF"/>
        </w:rPr>
      </w:pPr>
      <w:hyperlink r:id="rId198">
        <w:r>
          <w:rPr>
            <w:rFonts w:ascii="Arial" w:cs="Arial" w:eastAsia="Arial" w:hAnsi="Arial"/>
            <w:sz w:val="12"/>
            <w:szCs w:val="12"/>
            <w:u w:val="single" w:color="auto"/>
            <w:color w:val="0000FF"/>
          </w:rPr>
          <w:t>Employment Agreement between the Registrant and John Houston, Ph.D., dated September 13, 2018 (incorporated by reference to Exhibit 10.8 to the</w:t>
        </w:r>
      </w:hyperlink>
      <w:r>
        <w:rPr>
          <w:rFonts w:ascii="Arial" w:cs="Arial" w:eastAsia="Arial" w:hAnsi="Arial"/>
          <w:sz w:val="12"/>
          <w:szCs w:val="12"/>
          <w:u w:val="single" w:color="auto"/>
          <w:color w:val="0000FF"/>
        </w:rPr>
        <w:t xml:space="preserve"> </w:t>
      </w:r>
      <w:hyperlink r:id="rId198">
        <w:r>
          <w:rPr>
            <w:rFonts w:ascii="Arial" w:cs="Arial" w:eastAsia="Arial" w:hAnsi="Arial"/>
            <w:sz w:val="12"/>
            <w:szCs w:val="12"/>
            <w:u w:val="single" w:color="auto"/>
            <w:color w:val="0000FF"/>
          </w:rPr>
          <w:t>Registrant’s Registration Statement on Form S-1/A (File No. 333-227112) filed with the SEC on September 14, 2018).</w:t>
        </w:r>
      </w:hyperlink>
    </w:p>
    <w:p>
      <w:pPr>
        <w:spacing w:after="0" w:line="50" w:lineRule="exact"/>
        <w:rPr>
          <w:sz w:val="20"/>
          <w:szCs w:val="20"/>
          <w:color w:val="auto"/>
        </w:rPr>
      </w:pPr>
    </w:p>
    <w:p>
      <w:pPr>
        <w:ind w:right="879"/>
        <w:spacing w:after="0" w:line="270" w:lineRule="auto"/>
        <w:rPr>
          <w:rFonts w:ascii="Arial" w:cs="Arial" w:eastAsia="Arial" w:hAnsi="Arial"/>
          <w:sz w:val="12"/>
          <w:szCs w:val="12"/>
          <w:u w:val="single" w:color="auto"/>
          <w:color w:val="0000FF"/>
        </w:rPr>
      </w:pPr>
      <w:hyperlink r:id="rId199">
        <w:r>
          <w:rPr>
            <w:rFonts w:ascii="Arial" w:cs="Arial" w:eastAsia="Arial" w:hAnsi="Arial"/>
            <w:sz w:val="12"/>
            <w:szCs w:val="12"/>
            <w:u w:val="single" w:color="auto"/>
            <w:color w:val="0000FF"/>
          </w:rPr>
          <w:t>Employment Agreement between the Registrant and Sean Cassidy, dated August 28, 2018 (incorporated by reference to Exhibit 10.9 to the Registrant’s</w:t>
        </w:r>
      </w:hyperlink>
      <w:r>
        <w:rPr>
          <w:rFonts w:ascii="Arial" w:cs="Arial" w:eastAsia="Arial" w:hAnsi="Arial"/>
          <w:sz w:val="12"/>
          <w:szCs w:val="12"/>
          <w:u w:val="single" w:color="auto"/>
          <w:color w:val="0000FF"/>
        </w:rPr>
        <w:t xml:space="preserve"> </w:t>
      </w:r>
      <w:hyperlink r:id="rId199">
        <w:r>
          <w:rPr>
            <w:rFonts w:ascii="Arial" w:cs="Arial" w:eastAsia="Arial" w:hAnsi="Arial"/>
            <w:sz w:val="12"/>
            <w:szCs w:val="12"/>
            <w:u w:val="single" w:color="auto"/>
            <w:color w:val="0000FF"/>
          </w:rPr>
          <w:t>Registration Statement on Form S-1/A (File No. 333-227112) filed with the SEC on September 14, 2018).</w:t>
        </w:r>
      </w:hyperlink>
    </w:p>
    <w:p>
      <w:pPr>
        <w:spacing w:after="0" w:line="200" w:lineRule="exact"/>
        <w:rPr>
          <w:sz w:val="20"/>
          <w:szCs w:val="20"/>
          <w:color w:val="auto"/>
        </w:rPr>
      </w:pPr>
    </w:p>
    <w:p>
      <w:pPr>
        <w:spacing w:after="0" w:line="282"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45085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420" w:space="720"/>
            <w:col w:w="8939"/>
          </w:cols>
          <w:pgMar w:left="380" w:top="838" w:right="1440" w:bottom="1440" w:gutter="0" w:footer="0" w:header="0"/>
        </w:sectPr>
      </w:pPr>
    </w:p>
    <w:bookmarkStart w:id="156" w:name="page157"/>
    <w:bookmarkEnd w:id="156"/>
    <w:p>
      <w:pPr>
        <w:ind w:left="80"/>
        <w:spacing w:after="0"/>
        <w:rPr>
          <w:sz w:val="20"/>
          <w:szCs w:val="20"/>
          <w:color w:val="auto"/>
        </w:rPr>
      </w:pPr>
      <w:r>
        <w:rPr>
          <w:rFonts w:ascii="Arial" w:cs="Arial" w:eastAsia="Arial" w:hAnsi="Arial"/>
          <w:sz w:val="11"/>
          <w:szCs w:val="11"/>
          <w:color w:val="auto"/>
        </w:rPr>
        <w:t>10.14+</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10.15+</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10.16+</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10.17+</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10.18+</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10.19</w:t>
      </w:r>
    </w:p>
    <w:p>
      <w:pPr>
        <w:spacing w:after="0" w:line="3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w:t>
      </w:r>
    </w:p>
    <w:p>
      <w:pPr>
        <w:spacing w:after="0" w:line="222"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10.21</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10.22</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10.23</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10.24*</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10.25*</w:t>
      </w:r>
    </w:p>
    <w:p>
      <w:pPr>
        <w:spacing w:after="0" w:line="20" w:lineRule="exact"/>
        <w:rPr>
          <w:sz w:val="20"/>
          <w:szCs w:val="20"/>
          <w:color w:val="auto"/>
        </w:rPr>
      </w:pPr>
      <w:r>
        <w:rPr>
          <w:sz w:val="20"/>
          <w:szCs w:val="20"/>
          <w:color w:val="auto"/>
        </w:rPr>
        <w:br w:type="column"/>
      </w:r>
    </w:p>
    <w:p>
      <w:pPr>
        <w:ind w:right="1800"/>
        <w:spacing w:after="0" w:line="270" w:lineRule="auto"/>
        <w:rPr>
          <w:rFonts w:ascii="Arial" w:cs="Arial" w:eastAsia="Arial" w:hAnsi="Arial"/>
          <w:sz w:val="12"/>
          <w:szCs w:val="12"/>
          <w:u w:val="single" w:color="auto"/>
          <w:color w:val="0000FF"/>
        </w:rPr>
      </w:pPr>
      <w:hyperlink r:id="rId201">
        <w:r>
          <w:rPr>
            <w:rFonts w:ascii="Arial" w:cs="Arial" w:eastAsia="Arial" w:hAnsi="Arial"/>
            <w:sz w:val="12"/>
            <w:szCs w:val="12"/>
            <w:u w:val="single" w:color="auto"/>
            <w:color w:val="0000FF"/>
          </w:rPr>
          <w:t>Employment Agreement between the Registrant and Ian Taylor, Ph.D., dated August 28, 2018 (incorporated by reference to Exhibit 10.10 to the Registrant’s</w:t>
        </w:r>
      </w:hyperlink>
      <w:r>
        <w:rPr>
          <w:rFonts w:ascii="Arial" w:cs="Arial" w:eastAsia="Arial" w:hAnsi="Arial"/>
          <w:sz w:val="12"/>
          <w:szCs w:val="12"/>
          <w:u w:val="single" w:color="auto"/>
          <w:color w:val="0000FF"/>
        </w:rPr>
        <w:t xml:space="preserve"> </w:t>
      </w:r>
      <w:hyperlink r:id="rId201">
        <w:r>
          <w:rPr>
            <w:rFonts w:ascii="Arial" w:cs="Arial" w:eastAsia="Arial" w:hAnsi="Arial"/>
            <w:sz w:val="12"/>
            <w:szCs w:val="12"/>
            <w:u w:val="single" w:color="auto"/>
            <w:color w:val="0000FF"/>
          </w:rPr>
          <w:t>Registration Statement on Form S-1/A (File No. 333-227112) filed with the SEC on September 14, 2018).</w:t>
        </w:r>
      </w:hyperlink>
    </w:p>
    <w:p>
      <w:pPr>
        <w:spacing w:after="0" w:line="50" w:lineRule="exact"/>
        <w:rPr>
          <w:sz w:val="20"/>
          <w:szCs w:val="20"/>
          <w:color w:val="auto"/>
        </w:rPr>
      </w:pPr>
    </w:p>
    <w:p>
      <w:pPr>
        <w:ind w:right="1960"/>
        <w:spacing w:after="0" w:line="270" w:lineRule="auto"/>
        <w:rPr>
          <w:rFonts w:ascii="Arial" w:cs="Arial" w:eastAsia="Arial" w:hAnsi="Arial"/>
          <w:sz w:val="12"/>
          <w:szCs w:val="12"/>
          <w:color w:val="0000FF"/>
        </w:rPr>
      </w:pPr>
      <w:hyperlink r:id="rId202">
        <w:r>
          <w:rPr>
            <w:rFonts w:ascii="Arial" w:cs="Arial" w:eastAsia="Arial" w:hAnsi="Arial"/>
            <w:sz w:val="12"/>
            <w:szCs w:val="12"/>
            <w:u w:val="single" w:color="auto"/>
            <w:color w:val="0000FF"/>
          </w:rPr>
          <w:t>Employment Agreement between the Registrant and Noah Berko</w:t>
        </w:r>
        <w:r>
          <w:rPr>
            <w:rFonts w:ascii="Arial" w:cs="Arial" w:eastAsia="Arial" w:hAnsi="Arial"/>
            <w:sz w:val="12"/>
            <w:szCs w:val="12"/>
            <w:u w:val="single" w:color="auto"/>
            <w:color w:val="0000FF"/>
            <w:highlight w:val="white"/>
          </w:rPr>
          <w:t>witz</w:t>
        </w:r>
        <w:r>
          <w:rPr>
            <w:rFonts w:ascii="Arial" w:cs="Arial" w:eastAsia="Arial" w:hAnsi="Arial"/>
            <w:sz w:val="12"/>
            <w:szCs w:val="12"/>
            <w:color w:val="0000FF"/>
          </w:rPr>
          <w:t xml:space="preserve"> M.D., Ph.D., dated </w:t>
        </w:r>
        <w:r>
          <w:rPr>
            <w:rFonts w:ascii="Arial" w:cs="Arial" w:eastAsia="Arial" w:hAnsi="Arial"/>
            <w:sz w:val="12"/>
            <w:szCs w:val="12"/>
            <w:u w:val="single" w:color="auto"/>
            <w:color w:val="0000FF"/>
            <w:highlight w:val="white"/>
          </w:rPr>
          <w:t>March 18, 2024</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(incorporated by reference to Exhibit 10.1 to the</w:t>
        </w:r>
      </w:hyperlink>
      <w:r>
        <w:rPr>
          <w:rFonts w:ascii="Arial" w:cs="Arial" w:eastAsia="Arial" w:hAnsi="Arial"/>
          <w:sz w:val="12"/>
          <w:szCs w:val="12"/>
          <w:color w:val="0000FF"/>
        </w:rPr>
        <w:t xml:space="preserve"> </w:t>
      </w:r>
      <w:hyperlink r:id="rId202">
        <w:r>
          <w:rPr>
            <w:rFonts w:ascii="Arial" w:cs="Arial" w:eastAsia="Arial" w:hAnsi="Arial"/>
            <w:sz w:val="12"/>
            <w:szCs w:val="12"/>
            <w:u w:val="single" w:color="auto"/>
            <w:color w:val="0000FF"/>
          </w:rPr>
          <w:t>Registrant’s Quarterly Report on Form 10-Q (File No. 001-38672) filed with the SEC on</w:t>
        </w:r>
        <w:r>
          <w:rPr>
            <w:rFonts w:ascii="Arial" w:cs="Arial" w:eastAsia="Arial" w:hAnsi="Arial"/>
            <w:sz w:val="12"/>
            <w:szCs w:val="12"/>
            <w:color w:val="0000FF"/>
          </w:rPr>
          <w:t xml:space="preserve"> </w:t>
        </w:r>
        <w:r>
          <w:rPr>
            <w:rFonts w:ascii="Arial" w:cs="Arial" w:eastAsia="Arial" w:hAnsi="Arial"/>
            <w:sz w:val="12"/>
            <w:szCs w:val="12"/>
            <w:color w:val="0000FF"/>
            <w:highlight w:val="white"/>
          </w:rPr>
          <w:t>May 7, 2024</w:t>
        </w:r>
        <w:r>
          <w:rPr>
            <w:rFonts w:ascii="Arial" w:cs="Arial" w:eastAsia="Arial" w:hAnsi="Arial"/>
            <w:sz w:val="12"/>
            <w:szCs w:val="12"/>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-188595</wp:posOffset>
            </wp:positionV>
            <wp:extent cx="668655"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668655" cy="8572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-28575</wp:posOffset>
            </wp:positionV>
            <wp:extent cx="46545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2" w:lineRule="exact"/>
        <w:rPr>
          <w:sz w:val="20"/>
          <w:szCs w:val="20"/>
          <w:color w:val="auto"/>
        </w:rPr>
      </w:pPr>
    </w:p>
    <w:p>
      <w:pPr>
        <w:ind w:right="1680"/>
        <w:spacing w:after="0" w:line="239" w:lineRule="auto"/>
        <w:rPr>
          <w:rFonts w:ascii="Arial" w:cs="Arial" w:eastAsia="Arial" w:hAnsi="Arial"/>
          <w:sz w:val="12"/>
          <w:szCs w:val="12"/>
          <w:u w:val="single" w:color="auto"/>
          <w:color w:val="0000FF"/>
        </w:rPr>
      </w:pPr>
      <w:hyperlink r:id="rId205">
        <w:r>
          <w:rPr>
            <w:rFonts w:ascii="Arial" w:cs="Arial" w:eastAsia="Arial" w:hAnsi="Arial"/>
            <w:sz w:val="12"/>
            <w:szCs w:val="12"/>
            <w:u w:val="single" w:color="auto"/>
            <w:color w:val="0000FF"/>
          </w:rPr>
          <w:t>Promotion Letter for Randy Teel, Ph.D., dated April 21, 2024 (incorporated by reference to Exhibit 10.2 to the Registrant’s Quarterly Report on Form 10-Q (File</w:t>
        </w:r>
      </w:hyperlink>
      <w:r>
        <w:rPr>
          <w:rFonts w:ascii="Arial" w:cs="Arial" w:eastAsia="Arial" w:hAnsi="Arial"/>
          <w:sz w:val="12"/>
          <w:szCs w:val="12"/>
          <w:u w:val="single" w:color="auto"/>
          <w:color w:val="0000FF"/>
        </w:rPr>
        <w:t xml:space="preserve"> </w:t>
      </w:r>
      <w:hyperlink r:id="rId205">
        <w:r>
          <w:rPr>
            <w:rFonts w:ascii="Arial" w:cs="Arial" w:eastAsia="Arial" w:hAnsi="Arial"/>
            <w:sz w:val="12"/>
            <w:szCs w:val="12"/>
            <w:u w:val="single" w:color="auto"/>
            <w:color w:val="0000FF"/>
          </w:rPr>
          <w:t>No. 001-38672) filed with the SEC on May 7, 2024).</w:t>
        </w:r>
      </w:hyperlink>
    </w:p>
    <w:p>
      <w:pPr>
        <w:spacing w:after="0" w:line="49" w:lineRule="exact"/>
        <w:rPr>
          <w:sz w:val="20"/>
          <w:szCs w:val="20"/>
          <w:color w:val="auto"/>
        </w:rPr>
      </w:pPr>
    </w:p>
    <w:p>
      <w:pPr>
        <w:ind w:right="2180"/>
        <w:spacing w:after="0" w:line="239" w:lineRule="auto"/>
        <w:rPr>
          <w:rFonts w:ascii="Arial" w:cs="Arial" w:eastAsia="Arial" w:hAnsi="Arial"/>
          <w:sz w:val="12"/>
          <w:szCs w:val="12"/>
          <w:u w:val="single" w:color="auto"/>
          <w:color w:val="0000FF"/>
        </w:rPr>
      </w:pPr>
      <w:hyperlink r:id="rId206">
        <w:r>
          <w:rPr>
            <w:rFonts w:ascii="Arial" w:cs="Arial" w:eastAsia="Arial" w:hAnsi="Arial"/>
            <w:sz w:val="12"/>
            <w:szCs w:val="12"/>
            <w:u w:val="single" w:color="auto"/>
            <w:color w:val="0000FF"/>
          </w:rPr>
          <w:t>Employment Agreement between the Registrant and Andrew Saik, dated June 17, 2024 (incorporated by reference to Exhibit 10.1 to the Registrant’s</w:t>
        </w:r>
      </w:hyperlink>
      <w:r>
        <w:rPr>
          <w:rFonts w:ascii="Arial" w:cs="Arial" w:eastAsia="Arial" w:hAnsi="Arial"/>
          <w:sz w:val="12"/>
          <w:szCs w:val="12"/>
          <w:u w:val="single" w:color="auto"/>
          <w:color w:val="0000FF"/>
        </w:rPr>
        <w:t xml:space="preserve"> </w:t>
      </w:r>
      <w:hyperlink r:id="rId206">
        <w:r>
          <w:rPr>
            <w:rFonts w:ascii="Arial" w:cs="Arial" w:eastAsia="Arial" w:hAnsi="Arial"/>
            <w:sz w:val="12"/>
            <w:szCs w:val="12"/>
            <w:u w:val="single" w:color="auto"/>
            <w:color w:val="0000FF"/>
          </w:rPr>
          <w:t>Quarterly Report on Form 10-Q (File No. 001-38672) filed with the SEC on July 30, 2024).</w:t>
        </w:r>
      </w:hyperlink>
    </w:p>
    <w:p>
      <w:pPr>
        <w:spacing w:after="0" w:line="76" w:lineRule="exact"/>
        <w:rPr>
          <w:sz w:val="20"/>
          <w:szCs w:val="20"/>
          <w:color w:val="auto"/>
        </w:rPr>
      </w:pPr>
    </w:p>
    <w:p>
      <w:pPr>
        <w:ind w:right="1820"/>
        <w:spacing w:after="0" w:line="239" w:lineRule="auto"/>
        <w:rPr>
          <w:rFonts w:ascii="Arial" w:cs="Arial" w:eastAsia="Arial" w:hAnsi="Arial"/>
          <w:sz w:val="12"/>
          <w:szCs w:val="12"/>
          <w:u w:val="single" w:color="auto"/>
          <w:color w:val="0000FF"/>
        </w:rPr>
      </w:pPr>
      <w:hyperlink r:id="rId207">
        <w:r>
          <w:rPr>
            <w:rFonts w:ascii="Arial" w:cs="Arial" w:eastAsia="Arial" w:hAnsi="Arial"/>
            <w:sz w:val="12"/>
            <w:szCs w:val="12"/>
            <w:u w:val="single" w:color="auto"/>
            <w:color w:val="0000FF"/>
          </w:rPr>
          <w:t>Promotion Letter for Angela Cacace, Ph.D., dated July 8, 2024 (incorporated by reference to Exhibit 10.2 to the Registrant’s Quarterly Report on Form 10-Q</w:t>
        </w:r>
      </w:hyperlink>
      <w:r>
        <w:rPr>
          <w:rFonts w:ascii="Arial" w:cs="Arial" w:eastAsia="Arial" w:hAnsi="Arial"/>
          <w:sz w:val="12"/>
          <w:szCs w:val="12"/>
          <w:u w:val="single" w:color="auto"/>
          <w:color w:val="0000FF"/>
        </w:rPr>
        <w:t xml:space="preserve"> </w:t>
      </w:r>
      <w:hyperlink r:id="rId207">
        <w:r>
          <w:rPr>
            <w:rFonts w:ascii="Arial" w:cs="Arial" w:eastAsia="Arial" w:hAnsi="Arial"/>
            <w:sz w:val="12"/>
            <w:szCs w:val="12"/>
            <w:u w:val="single" w:color="auto"/>
            <w:color w:val="0000FF"/>
          </w:rPr>
          <w:t>(File No. 001-38672) filed with the SEC on July 30, 2024).</w:t>
        </w:r>
      </w:hyperlink>
    </w:p>
    <w:p>
      <w:pPr>
        <w:spacing w:after="0" w:line="13" w:lineRule="exact"/>
        <w:rPr>
          <w:sz w:val="20"/>
          <w:szCs w:val="20"/>
          <w:color w:val="auto"/>
        </w:rPr>
      </w:pPr>
    </w:p>
    <w:p>
      <w:pPr>
        <w:ind w:right="1860"/>
        <w:spacing w:after="0" w:line="221" w:lineRule="auto"/>
        <w:rPr>
          <w:rFonts w:ascii="Arial" w:cs="Arial" w:eastAsia="Arial" w:hAnsi="Arial"/>
          <w:sz w:val="12"/>
          <w:szCs w:val="12"/>
          <w:u w:val="single" w:color="auto"/>
          <w:color w:val="0000FF"/>
        </w:rPr>
      </w:pPr>
      <w:hyperlink r:id="rId208">
        <w:r>
          <w:rPr>
            <w:rFonts w:ascii="Arial" w:cs="Arial" w:eastAsia="Arial" w:hAnsi="Arial"/>
            <w:sz w:val="12"/>
            <w:szCs w:val="12"/>
            <w:u w:val="single" w:color="auto"/>
            <w:color w:val="0000FF"/>
          </w:rPr>
          <w:t>Lease Agreement between the Arvinas Operations, Inc. (formerly Arvinas, Inc.) and Science Park Development Corporation, dated December 31, 2017, as</w:t>
        </w:r>
      </w:hyperlink>
      <w:r>
        <w:rPr>
          <w:rFonts w:ascii="Arial" w:cs="Arial" w:eastAsia="Arial" w:hAnsi="Arial"/>
          <w:sz w:val="12"/>
          <w:szCs w:val="12"/>
          <w:u w:val="single" w:color="auto"/>
          <w:color w:val="0000FF"/>
        </w:rPr>
        <w:t xml:space="preserve"> </w:t>
      </w:r>
      <w:hyperlink r:id="rId208">
        <w:r>
          <w:rPr>
            <w:rFonts w:ascii="Arial" w:cs="Arial" w:eastAsia="Arial" w:hAnsi="Arial"/>
            <w:sz w:val="12"/>
            <w:szCs w:val="12"/>
            <w:u w:val="single" w:color="auto"/>
            <w:color w:val="0000FF"/>
          </w:rPr>
          <w:t>amended by First Amendment to Lease, dated May 23, 2018, and Second Amendment to Lease, dated September 4, 2018 (incorporated by reference to</w:t>
        </w:r>
      </w:hyperlink>
    </w:p>
    <w:p>
      <w:pPr>
        <w:spacing w:after="0" w:line="1" w:lineRule="exact"/>
        <w:rPr>
          <w:sz w:val="20"/>
          <w:szCs w:val="20"/>
          <w:color w:val="auto"/>
        </w:rPr>
      </w:pPr>
    </w:p>
    <w:p>
      <w:pPr>
        <w:spacing w:after="0"/>
        <w:rPr>
          <w:rFonts w:ascii="Arial" w:cs="Arial" w:eastAsia="Arial" w:hAnsi="Arial"/>
          <w:sz w:val="12"/>
          <w:szCs w:val="12"/>
          <w:u w:val="single" w:color="auto"/>
          <w:color w:val="0000FF"/>
        </w:rPr>
      </w:pPr>
      <w:hyperlink r:id="rId208">
        <w:r>
          <w:rPr>
            <w:rFonts w:ascii="Arial" w:cs="Arial" w:eastAsia="Arial" w:hAnsi="Arial"/>
            <w:sz w:val="12"/>
            <w:szCs w:val="12"/>
            <w:u w:val="single" w:color="auto"/>
            <w:color w:val="0000FF"/>
          </w:rPr>
          <w:t>Exhibit 10.12 to the Registrant’s Registration Statement on Form S-1/A (File No. 333-227112) filed with the SEC on September 14, 2018).</w:t>
        </w:r>
      </w:hyperlink>
    </w:p>
    <w:p>
      <w:pPr>
        <w:spacing w:after="0" w:line="57" w:lineRule="exact"/>
        <w:rPr>
          <w:sz w:val="20"/>
          <w:szCs w:val="20"/>
          <w:color w:val="auto"/>
        </w:rPr>
      </w:pPr>
    </w:p>
    <w:p>
      <w:pPr>
        <w:ind w:right="1980"/>
        <w:spacing w:after="0" w:line="270" w:lineRule="auto"/>
        <w:rPr>
          <w:rFonts w:ascii="Arial" w:cs="Arial" w:eastAsia="Arial" w:hAnsi="Arial"/>
          <w:sz w:val="12"/>
          <w:szCs w:val="12"/>
          <w:u w:val="single" w:color="auto"/>
          <w:color w:val="0000FF"/>
        </w:rPr>
      </w:pPr>
      <w:hyperlink r:id="rId209">
        <w:r>
          <w:rPr>
            <w:rFonts w:ascii="Arial" w:cs="Arial" w:eastAsia="Arial" w:hAnsi="Arial"/>
            <w:sz w:val="12"/>
            <w:szCs w:val="12"/>
            <w:u w:val="single" w:color="auto"/>
            <w:color w:val="0000FF"/>
          </w:rPr>
          <w:t>Third Amendment to Lease between Arvinas Operations, Inc. (formerly Arvinas, Inc.) and Science Park Development Corporation, dated March 12, 2019</w:t>
        </w:r>
      </w:hyperlink>
      <w:r>
        <w:rPr>
          <w:rFonts w:ascii="Arial" w:cs="Arial" w:eastAsia="Arial" w:hAnsi="Arial"/>
          <w:sz w:val="12"/>
          <w:szCs w:val="12"/>
          <w:u w:val="single" w:color="auto"/>
          <w:color w:val="0000FF"/>
        </w:rPr>
        <w:t xml:space="preserve"> </w:t>
      </w:r>
      <w:hyperlink r:id="rId209">
        <w:r>
          <w:rPr>
            <w:rFonts w:ascii="Arial" w:cs="Arial" w:eastAsia="Arial" w:hAnsi="Arial"/>
            <w:sz w:val="12"/>
            <w:szCs w:val="12"/>
            <w:u w:val="single" w:color="auto"/>
            <w:color w:val="0000FF"/>
          </w:rPr>
          <w:t>(incorporated by reference to Exhibit 10.1 to the Registrant’s Current Report on Form 8-K (File No. 001-38672) filed with the SEC on March 15, 2019).</w:t>
        </w:r>
      </w:hyperlink>
    </w:p>
    <w:p>
      <w:pPr>
        <w:spacing w:after="0" w:line="41" w:lineRule="exact"/>
        <w:rPr>
          <w:sz w:val="20"/>
          <w:szCs w:val="20"/>
          <w:color w:val="auto"/>
        </w:rPr>
      </w:pPr>
    </w:p>
    <w:p>
      <w:pPr>
        <w:ind w:right="1820"/>
        <w:spacing w:after="0" w:line="282" w:lineRule="auto"/>
        <w:rPr>
          <w:rFonts w:ascii="Arial" w:cs="Arial" w:eastAsia="Arial" w:hAnsi="Arial"/>
          <w:sz w:val="11"/>
          <w:szCs w:val="11"/>
          <w:u w:val="single" w:color="auto"/>
          <w:color w:val="0000FF"/>
        </w:rPr>
      </w:pPr>
      <w:hyperlink r:id="rId210">
        <w:r>
          <w:rPr>
            <w:rFonts w:ascii="Arial" w:cs="Arial" w:eastAsia="Arial" w:hAnsi="Arial"/>
            <w:sz w:val="11"/>
            <w:szCs w:val="11"/>
            <w:u w:val="single" w:color="auto"/>
            <w:color w:val="0000FF"/>
          </w:rPr>
          <w:t>Fourth Amendment to Lease between Arvinas Operations, Inc. (formerly Arvinas, Inc.) and Science Park Development Corporation, dated January 31, 2020</w:t>
        </w:r>
      </w:hyperlink>
      <w:r>
        <w:rPr>
          <w:rFonts w:ascii="Arial" w:cs="Arial" w:eastAsia="Arial" w:hAnsi="Arial"/>
          <w:sz w:val="11"/>
          <w:szCs w:val="11"/>
          <w:u w:val="single" w:color="auto"/>
          <w:color w:val="0000FF"/>
        </w:rPr>
        <w:t xml:space="preserve"> </w:t>
      </w:r>
      <w:hyperlink r:id="rId210">
        <w:r>
          <w:rPr>
            <w:rFonts w:ascii="Arial" w:cs="Arial" w:eastAsia="Arial" w:hAnsi="Arial"/>
            <w:sz w:val="11"/>
            <w:szCs w:val="11"/>
            <w:u w:val="single" w:color="auto"/>
            <w:color w:val="0000FF"/>
          </w:rPr>
          <w:t>(incorporated by reference to Exhibit 10.14 to the Registrant’s Annual Report on Form 10-K (File No. 001-38672) filed with the SEC on March 16, 2020).</w:t>
        </w:r>
      </w:hyperlink>
    </w:p>
    <w:p>
      <w:pPr>
        <w:spacing w:after="0" w:line="27" w:lineRule="exact"/>
        <w:rPr>
          <w:sz w:val="20"/>
          <w:szCs w:val="20"/>
          <w:color w:val="auto"/>
        </w:rPr>
      </w:pPr>
    </w:p>
    <w:p>
      <w:pPr>
        <w:ind w:right="2000"/>
        <w:spacing w:after="0" w:line="282" w:lineRule="auto"/>
        <w:rPr>
          <w:rFonts w:ascii="Arial" w:cs="Arial" w:eastAsia="Arial" w:hAnsi="Arial"/>
          <w:sz w:val="11"/>
          <w:szCs w:val="11"/>
          <w:u w:val="single" w:color="auto"/>
          <w:color w:val="0000FF"/>
        </w:rPr>
      </w:pPr>
      <w:hyperlink r:id="rId211">
        <w:r>
          <w:rPr>
            <w:rFonts w:ascii="Arial" w:cs="Arial" w:eastAsia="Arial" w:hAnsi="Arial"/>
            <w:sz w:val="11"/>
            <w:szCs w:val="11"/>
            <w:u w:val="single" w:color="auto"/>
            <w:color w:val="0000FF"/>
          </w:rPr>
          <w:t>Fifth Amendment to Lease between Arvinas Operations, Inc. (formerly Arvinas, Inc.) and Science Park Development Corporation, dated January 4, 2021</w:t>
        </w:r>
      </w:hyperlink>
      <w:r>
        <w:rPr>
          <w:rFonts w:ascii="Arial" w:cs="Arial" w:eastAsia="Arial" w:hAnsi="Arial"/>
          <w:sz w:val="11"/>
          <w:szCs w:val="11"/>
          <w:u w:val="single" w:color="auto"/>
          <w:color w:val="0000FF"/>
        </w:rPr>
        <w:t xml:space="preserve"> </w:t>
      </w:r>
      <w:hyperlink r:id="rId211">
        <w:r>
          <w:rPr>
            <w:rFonts w:ascii="Arial" w:cs="Arial" w:eastAsia="Arial" w:hAnsi="Arial"/>
            <w:sz w:val="11"/>
            <w:szCs w:val="11"/>
            <w:u w:val="single" w:color="auto"/>
            <w:color w:val="0000FF"/>
          </w:rPr>
          <w:t>(incorporated by reference to Exhibit 10.34 to the Registrant's Annual Report on Form 10-K (File No. 001-38672) filed with the SEC on March 1, 2021).</w:t>
        </w:r>
      </w:hyperlink>
    </w:p>
    <w:p>
      <w:pPr>
        <w:spacing w:after="0" w:line="18" w:lineRule="exact"/>
        <w:rPr>
          <w:sz w:val="20"/>
          <w:szCs w:val="20"/>
          <w:color w:val="auto"/>
        </w:rPr>
      </w:pPr>
    </w:p>
    <w:p>
      <w:pPr>
        <w:ind w:right="1920"/>
        <w:spacing w:after="0" w:line="282" w:lineRule="auto"/>
        <w:rPr>
          <w:rFonts w:ascii="Arial" w:cs="Arial" w:eastAsia="Arial" w:hAnsi="Arial"/>
          <w:sz w:val="11"/>
          <w:szCs w:val="11"/>
          <w:u w:val="single" w:color="auto"/>
          <w:color w:val="0000FF"/>
        </w:rPr>
      </w:pPr>
      <w:hyperlink r:id="rId212">
        <w:r>
          <w:rPr>
            <w:rFonts w:ascii="Arial" w:cs="Arial" w:eastAsia="Arial" w:hAnsi="Arial"/>
            <w:sz w:val="11"/>
            <w:szCs w:val="11"/>
            <w:u w:val="single" w:color="auto"/>
            <w:color w:val="0000FF"/>
          </w:rPr>
          <w:t>Sixth Amendment to Lease between Arvinas Operations, Inc. (formerly Arvinas, Inc.) and Science Park Development Corporation, dated June 13, 2023</w:t>
        </w:r>
      </w:hyperlink>
      <w:r>
        <w:rPr>
          <w:rFonts w:ascii="Arial" w:cs="Arial" w:eastAsia="Arial" w:hAnsi="Arial"/>
          <w:sz w:val="11"/>
          <w:szCs w:val="11"/>
          <w:u w:val="single" w:color="auto"/>
          <w:color w:val="0000FF"/>
        </w:rPr>
        <w:t xml:space="preserve"> </w:t>
      </w:r>
      <w:hyperlink r:id="rId212">
        <w:r>
          <w:rPr>
            <w:rFonts w:ascii="Arial" w:cs="Arial" w:eastAsia="Arial" w:hAnsi="Arial"/>
            <w:sz w:val="11"/>
            <w:szCs w:val="11"/>
            <w:u w:val="single" w:color="auto"/>
            <w:color w:val="0000FF"/>
          </w:rPr>
          <w:t>(incorporated by reference to Exhibit 10.11 to the Registrant’s Quarterly Report on Form 10-Q (File No. 001-38672) filed with the SEC on August 8, 2023).</w:t>
        </w:r>
      </w:hyperlink>
    </w:p>
    <w:p>
      <w:pPr>
        <w:spacing w:after="0" w:line="18" w:lineRule="exact"/>
        <w:rPr>
          <w:sz w:val="20"/>
          <w:szCs w:val="20"/>
          <w:color w:val="auto"/>
        </w:rPr>
      </w:pPr>
    </w:p>
    <w:p>
      <w:pPr>
        <w:ind w:right="1900"/>
        <w:spacing w:after="0" w:line="239" w:lineRule="auto"/>
        <w:rPr>
          <w:sz w:val="20"/>
          <w:szCs w:val="20"/>
          <w:color w:val="auto"/>
        </w:rPr>
      </w:pPr>
      <w:r>
        <w:rPr>
          <w:rFonts w:ascii="Arial" w:cs="Arial" w:eastAsia="Arial" w:hAnsi="Arial"/>
          <w:sz w:val="12"/>
          <w:szCs w:val="12"/>
          <w:u w:val="single" w:color="auto"/>
          <w:color w:val="0000FF"/>
        </w:rPr>
        <w:t>Seventh Amendment to Lease between Arvinas Operations, Inc. (formerly Arvinas, Inc.) and Science Park Development Corporation, dated December 13, 2024.</w:t>
      </w:r>
    </w:p>
    <w:p>
      <w:pPr>
        <w:spacing w:after="0" w:line="40" w:lineRule="exact"/>
        <w:rPr>
          <w:sz w:val="20"/>
          <w:szCs w:val="20"/>
          <w:color w:val="auto"/>
        </w:rPr>
      </w:pPr>
    </w:p>
    <w:p>
      <w:pPr>
        <w:ind w:right="2000"/>
        <w:spacing w:after="0" w:line="239" w:lineRule="auto"/>
        <w:rPr>
          <w:sz w:val="20"/>
          <w:szCs w:val="20"/>
          <w:color w:val="auto"/>
        </w:rPr>
      </w:pPr>
      <w:r>
        <w:rPr>
          <w:rFonts w:ascii="Arial" w:cs="Arial" w:eastAsia="Arial" w:hAnsi="Arial"/>
          <w:sz w:val="12"/>
          <w:szCs w:val="12"/>
          <w:u w:val="single" w:color="auto"/>
          <w:color w:val="0000FF"/>
        </w:rPr>
        <w:t>Eighth Amendment to Lease between Arvinas Operations, Inc. (formerly Arvinas, Inc.) and Science Park Development Corporation, dated December 31, 2024.</w:t>
      </w:r>
    </w:p>
    <w:p>
      <w:pPr>
        <w:spacing w:after="0" w:line="49" w:lineRule="exact"/>
        <w:rPr>
          <w:sz w:val="20"/>
          <w:szCs w:val="20"/>
          <w:color w:val="auto"/>
        </w:rPr>
      </w:pPr>
    </w:p>
    <w:p>
      <w:pPr>
        <w:sectPr>
          <w:pgSz w:w="11900" w:h="16838" w:orient="portrait"/>
          <w:cols w:equalWidth="0" w:num="2">
            <w:col w:w="500" w:space="720"/>
            <w:col w:w="10080"/>
          </w:cols>
          <w:pgMar w:left="300" w:top="847" w:right="299" w:bottom="1440" w:gutter="0" w:footer="0" w:header="0"/>
        </w:sectPr>
      </w:pPr>
    </w:p>
    <w:tbl>
      <w:tblPr>
        <w:tblLayout w:type="fixed"/>
        <w:tblInd w:w="0" w:type="dxa"/>
        <w:tblCellMar>
          <w:top w:w="0" w:type="dxa"/>
          <w:left w:w="0" w:type="dxa"/>
          <w:bottom w:w="0" w:type="dxa"/>
          <w:right w:w="0" w:type="dxa"/>
        </w:tblCellMar>
      </w:tblPr>
      <w:tr>
        <w:trPr>
          <w:trHeight w:val="139"/>
        </w:trPr>
        <w:tc>
          <w:tcPr>
            <w:tcW w:w="1220" w:type="dxa"/>
            <w:vAlign w:val="bottom"/>
          </w:tcPr>
          <w:p>
            <w:pPr>
              <w:ind w:left="80"/>
              <w:spacing w:after="0"/>
              <w:rPr>
                <w:sz w:val="20"/>
                <w:szCs w:val="20"/>
                <w:color w:val="auto"/>
              </w:rPr>
            </w:pPr>
            <w:r>
              <w:rPr>
                <w:rFonts w:ascii="Arial" w:cs="Arial" w:eastAsia="Arial" w:hAnsi="Arial"/>
                <w:sz w:val="12"/>
                <w:szCs w:val="12"/>
                <w:color w:val="auto"/>
              </w:rPr>
              <w:t>10.26*</w:t>
            </w:r>
          </w:p>
        </w:tc>
        <w:tc>
          <w:tcPr>
            <w:tcW w:w="10080" w:type="dxa"/>
            <w:vAlign w:val="bottom"/>
            <w:gridSpan w:val="6"/>
          </w:tcPr>
          <w:p>
            <w:pPr>
              <w:spacing w:after="0"/>
              <w:rPr>
                <w:sz w:val="20"/>
                <w:szCs w:val="20"/>
                <w:color w:val="auto"/>
              </w:rPr>
            </w:pPr>
            <w:r>
              <w:rPr>
                <w:rFonts w:ascii="Arial" w:cs="Arial" w:eastAsia="Arial" w:hAnsi="Arial"/>
                <w:sz w:val="12"/>
                <w:szCs w:val="12"/>
                <w:color w:val="0000FF"/>
              </w:rPr>
              <w:t>Ninth Amendment to Lease between Arvinas Operations, Inc. (formerly Arvinas, Inc.) and Science Park Development Corporation, dated Februar</w:t>
            </w:r>
            <w:r>
              <w:rPr>
                <w:rFonts w:ascii="Arial" w:cs="Arial" w:eastAsia="Arial" w:hAnsi="Arial"/>
                <w:sz w:val="12"/>
                <w:szCs w:val="12"/>
                <w:color w:val="0000FF"/>
                <w:highlight w:val="white"/>
              </w:rPr>
              <w:t>y 10, 20</w:t>
            </w:r>
            <w:r>
              <w:rPr>
                <w:rFonts w:ascii="Arial" w:cs="Arial" w:eastAsia="Arial" w:hAnsi="Arial"/>
                <w:sz w:val="12"/>
                <w:szCs w:val="12"/>
                <w:color w:val="0000FF"/>
              </w:rPr>
              <w:t>25.</w:t>
            </w:r>
          </w:p>
        </w:tc>
      </w:tr>
      <w:tr>
        <w:trPr>
          <w:trHeight w:val="178"/>
        </w:trPr>
        <w:tc>
          <w:tcPr>
            <w:tcW w:w="1220" w:type="dxa"/>
            <w:vAlign w:val="bottom"/>
          </w:tcPr>
          <w:p>
            <w:pPr>
              <w:ind w:left="80"/>
              <w:spacing w:after="0"/>
              <w:rPr>
                <w:sz w:val="20"/>
                <w:szCs w:val="20"/>
                <w:color w:val="auto"/>
              </w:rPr>
            </w:pPr>
            <w:r>
              <w:rPr>
                <w:rFonts w:ascii="Arial" w:cs="Arial" w:eastAsia="Arial" w:hAnsi="Arial"/>
                <w:sz w:val="12"/>
                <w:szCs w:val="12"/>
                <w:color w:val="auto"/>
              </w:rPr>
              <w:t>10.27</w:t>
            </w:r>
          </w:p>
        </w:tc>
        <w:tc>
          <w:tcPr>
            <w:tcW w:w="8280" w:type="dxa"/>
            <w:vAlign w:val="bottom"/>
            <w:tcBorders>
              <w:top w:val="single" w:sz="8" w:color="0000FF"/>
            </w:tcBorders>
            <w:gridSpan w:val="4"/>
          </w:tcPr>
          <w:p>
            <w:pPr>
              <w:spacing w:after="0"/>
              <w:rPr>
                <w:rFonts w:ascii="Arial" w:cs="Arial" w:eastAsia="Arial" w:hAnsi="Arial"/>
                <w:sz w:val="12"/>
                <w:szCs w:val="12"/>
                <w:color w:val="0000FF"/>
              </w:rPr>
            </w:pPr>
            <w:hyperlink r:id="rId213">
              <w:r>
                <w:rPr>
                  <w:rFonts w:ascii="Arial" w:cs="Arial" w:eastAsia="Arial" w:hAnsi="Arial"/>
                  <w:sz w:val="12"/>
                  <w:szCs w:val="12"/>
                  <w:color w:val="0000FF"/>
                </w:rPr>
                <w:t>Lease Agreement between Arvinas Operations, Inc. and Science Park Development Corporation, dated November 15, 2019 (incorporated by reference to</w:t>
              </w:r>
            </w:hyperlink>
          </w:p>
        </w:tc>
        <w:tc>
          <w:tcPr>
            <w:tcW w:w="1800" w:type="dxa"/>
            <w:vAlign w:val="bottom"/>
            <w:gridSpan w:val="2"/>
          </w:tcPr>
          <w:p>
            <w:pPr>
              <w:spacing w:after="0"/>
              <w:rPr>
                <w:sz w:val="15"/>
                <w:szCs w:val="15"/>
                <w:color w:val="auto"/>
              </w:rPr>
            </w:pPr>
          </w:p>
        </w:tc>
      </w:tr>
      <w:tr>
        <w:trPr>
          <w:trHeight w:val="97"/>
        </w:trPr>
        <w:tc>
          <w:tcPr>
            <w:tcW w:w="1220" w:type="dxa"/>
            <w:vAlign w:val="bottom"/>
          </w:tcPr>
          <w:p>
            <w:pPr>
              <w:spacing w:after="0"/>
              <w:rPr>
                <w:sz w:val="8"/>
                <w:szCs w:val="8"/>
                <w:color w:val="auto"/>
              </w:rPr>
            </w:pPr>
          </w:p>
        </w:tc>
        <w:tc>
          <w:tcPr>
            <w:tcW w:w="8160" w:type="dxa"/>
            <w:vAlign w:val="bottom"/>
            <w:tcBorders>
              <w:top w:val="single" w:sz="8" w:color="0000FF"/>
            </w:tcBorders>
            <w:gridSpan w:val="3"/>
          </w:tcPr>
          <w:p>
            <w:pPr>
              <w:spacing w:after="0" w:line="97" w:lineRule="exact"/>
              <w:rPr>
                <w:rFonts w:ascii="Arial" w:cs="Arial" w:eastAsia="Arial" w:hAnsi="Arial"/>
                <w:sz w:val="11"/>
                <w:szCs w:val="11"/>
                <w:color w:val="0000FF"/>
              </w:rPr>
            </w:pPr>
            <w:hyperlink r:id="rId213">
              <w:r>
                <w:rPr>
                  <w:rFonts w:ascii="Arial" w:cs="Arial" w:eastAsia="Arial" w:hAnsi="Arial"/>
                  <w:sz w:val="11"/>
                  <w:szCs w:val="11"/>
                  <w:color w:val="0000FF"/>
                </w:rPr>
                <w:t>Exhibit 10.15 to the Registrant’s Annual Report on Form 10-K (File No. 001-38672) filed with the SEC on March 16, 2020).</w:t>
              </w:r>
            </w:hyperlink>
          </w:p>
        </w:tc>
        <w:tc>
          <w:tcPr>
            <w:tcW w:w="24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r>
      <w:tr>
        <w:trPr>
          <w:trHeight w:val="20"/>
        </w:trPr>
        <w:tc>
          <w:tcPr>
            <w:tcW w:w="1220" w:type="dxa"/>
            <w:vAlign w:val="bottom"/>
          </w:tcPr>
          <w:p>
            <w:pPr>
              <w:spacing w:after="0" w:line="20" w:lineRule="exact"/>
              <w:rPr>
                <w:sz w:val="1"/>
                <w:szCs w:val="1"/>
                <w:color w:val="auto"/>
              </w:rPr>
            </w:pPr>
          </w:p>
        </w:tc>
        <w:tc>
          <w:tcPr>
            <w:tcW w:w="6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7"/>
        </w:trPr>
        <w:tc>
          <w:tcPr>
            <w:tcW w:w="1220" w:type="dxa"/>
            <w:vAlign w:val="bottom"/>
          </w:tcPr>
          <w:p>
            <w:pPr>
              <w:ind w:left="80"/>
              <w:spacing w:after="0"/>
              <w:rPr>
                <w:sz w:val="20"/>
                <w:szCs w:val="20"/>
                <w:color w:val="auto"/>
              </w:rPr>
            </w:pPr>
            <w:r>
              <w:rPr>
                <w:rFonts w:ascii="Arial" w:cs="Arial" w:eastAsia="Arial" w:hAnsi="Arial"/>
                <w:sz w:val="12"/>
                <w:szCs w:val="12"/>
                <w:color w:val="auto"/>
              </w:rPr>
              <w:t>10.28</w:t>
            </w:r>
          </w:p>
        </w:tc>
        <w:tc>
          <w:tcPr>
            <w:tcW w:w="10080" w:type="dxa"/>
            <w:vAlign w:val="bottom"/>
            <w:gridSpan w:val="6"/>
          </w:tcPr>
          <w:p>
            <w:pPr>
              <w:spacing w:after="0"/>
              <w:rPr>
                <w:rFonts w:ascii="Arial" w:cs="Arial" w:eastAsia="Arial" w:hAnsi="Arial"/>
                <w:sz w:val="12"/>
                <w:szCs w:val="12"/>
                <w:color w:val="0000FF"/>
              </w:rPr>
            </w:pPr>
            <w:hyperlink r:id="rId214">
              <w:r>
                <w:rPr>
                  <w:rFonts w:ascii="Arial" w:cs="Arial" w:eastAsia="Arial" w:hAnsi="Arial"/>
                  <w:sz w:val="12"/>
                  <w:szCs w:val="12"/>
                  <w:color w:val="0000FF"/>
                </w:rPr>
                <w:t>First Amendment to Lease between Arvinas Operations, Inc. and Science Park Development Corporation, dated February 27, 2020 (incorporated by reference</w:t>
              </w:r>
            </w:hyperlink>
          </w:p>
        </w:tc>
      </w:tr>
      <w:tr>
        <w:trPr>
          <w:trHeight w:val="97"/>
        </w:trPr>
        <w:tc>
          <w:tcPr>
            <w:tcW w:w="1220" w:type="dxa"/>
            <w:vAlign w:val="bottom"/>
          </w:tcPr>
          <w:p>
            <w:pPr>
              <w:spacing w:after="0"/>
              <w:rPr>
                <w:sz w:val="8"/>
                <w:szCs w:val="8"/>
                <w:color w:val="auto"/>
              </w:rPr>
            </w:pPr>
          </w:p>
        </w:tc>
        <w:tc>
          <w:tcPr>
            <w:tcW w:w="8400" w:type="dxa"/>
            <w:vAlign w:val="bottom"/>
            <w:tcBorders>
              <w:top w:val="single" w:sz="8" w:color="0000FF"/>
            </w:tcBorders>
            <w:gridSpan w:val="5"/>
          </w:tcPr>
          <w:p>
            <w:pPr>
              <w:spacing w:after="0" w:line="97" w:lineRule="exact"/>
              <w:rPr>
                <w:rFonts w:ascii="Arial" w:cs="Arial" w:eastAsia="Arial" w:hAnsi="Arial"/>
                <w:sz w:val="11"/>
                <w:szCs w:val="11"/>
                <w:color w:val="0000FF"/>
              </w:rPr>
            </w:pPr>
            <w:hyperlink r:id="rId214">
              <w:r>
                <w:rPr>
                  <w:rFonts w:ascii="Arial" w:cs="Arial" w:eastAsia="Arial" w:hAnsi="Arial"/>
                  <w:sz w:val="11"/>
                  <w:szCs w:val="11"/>
                  <w:color w:val="0000FF"/>
                </w:rPr>
                <w:t>to Exhibit 10.16 to the Registrant’s Annual Report on Form 10-K (File No. 001-38672) filed with the SEC on March 16, 2020).</w:t>
              </w:r>
            </w:hyperlink>
          </w:p>
        </w:tc>
        <w:tc>
          <w:tcPr>
            <w:tcW w:w="1680" w:type="dxa"/>
            <w:vAlign w:val="bottom"/>
          </w:tcPr>
          <w:p>
            <w:pPr>
              <w:spacing w:after="0"/>
              <w:rPr>
                <w:sz w:val="8"/>
                <w:szCs w:val="8"/>
                <w:color w:val="auto"/>
              </w:rPr>
            </w:pPr>
          </w:p>
        </w:tc>
      </w:tr>
      <w:tr>
        <w:trPr>
          <w:trHeight w:val="657"/>
        </w:trPr>
        <w:tc>
          <w:tcPr>
            <w:tcW w:w="1220" w:type="dxa"/>
            <w:vAlign w:val="bottom"/>
          </w:tcPr>
          <w:p>
            <w:pPr>
              <w:spacing w:after="0"/>
              <w:rPr>
                <w:sz w:val="24"/>
                <w:szCs w:val="24"/>
                <w:color w:val="auto"/>
              </w:rPr>
            </w:pPr>
          </w:p>
        </w:tc>
        <w:tc>
          <w:tcPr>
            <w:tcW w:w="6480" w:type="dxa"/>
            <w:vAlign w:val="bottom"/>
            <w:tcBorders>
              <w:top w:val="single" w:sz="8" w:color="0000FF"/>
            </w:tcBorders>
          </w:tcPr>
          <w:p>
            <w:pPr>
              <w:ind w:left="4320"/>
              <w:spacing w:after="0"/>
              <w:rPr>
                <w:sz w:val="20"/>
                <w:szCs w:val="20"/>
                <w:color w:val="auto"/>
              </w:rPr>
            </w:pPr>
            <w:r>
              <w:rPr>
                <w:rFonts w:ascii="Arial" w:cs="Arial" w:eastAsia="Arial" w:hAnsi="Arial"/>
                <w:sz w:val="12"/>
                <w:szCs w:val="12"/>
                <w:color w:val="auto"/>
              </w:rPr>
              <w:t>156</w:t>
            </w:r>
          </w:p>
        </w:tc>
        <w:tc>
          <w:tcPr>
            <w:tcW w:w="14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0"/>
        </w:trPr>
        <w:tc>
          <w:tcPr>
            <w:tcW w:w="1220" w:type="dxa"/>
            <w:vAlign w:val="bottom"/>
            <w:tcBorders>
              <w:bottom w:val="single" w:sz="8" w:color="9A9A9A"/>
            </w:tcBorders>
          </w:tcPr>
          <w:p>
            <w:pPr>
              <w:spacing w:after="0"/>
              <w:rPr>
                <w:sz w:val="6"/>
                <w:szCs w:val="6"/>
                <w:color w:val="auto"/>
              </w:rPr>
            </w:pPr>
          </w:p>
        </w:tc>
        <w:tc>
          <w:tcPr>
            <w:tcW w:w="6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-965200</wp:posOffset>
            </wp:positionV>
            <wp:extent cx="108585"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108585" cy="85725"/>
                    </a:xfrm>
                    <a:prstGeom prst="rect">
                      <a:avLst/>
                    </a:prstGeom>
                    <a:noFill/>
                  </pic:spPr>
                </pic:pic>
              </a:graphicData>
            </a:graphic>
          </wp:anchor>
        </w:drawing>
      </w:r>
    </w:p>
    <w:p>
      <w:pPr>
        <w:sectPr>
          <w:pgSz w:w="11900" w:h="16838" w:orient="portrait"/>
          <w:cols w:equalWidth="0" w:num="1">
            <w:col w:w="11300"/>
          </w:cols>
          <w:pgMar w:left="300" w:top="847" w:right="29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20"/>
                <w:szCs w:val="20"/>
                <w:color w:val="auto"/>
              </w:rPr>
            </w:pPr>
            <w:r>
              <w:rPr>
                <w:rFonts w:ascii="Arial" w:cs="Arial" w:eastAsia="Arial" w:hAnsi="Arial"/>
                <w:sz w:val="12"/>
                <w:szCs w:val="12"/>
                <w:color w:val="auto"/>
              </w:rPr>
              <w:t>10.29</w:t>
            </w:r>
          </w:p>
        </w:tc>
        <w:tc>
          <w:tcPr>
            <w:tcW w:w="8360" w:type="dxa"/>
            <w:vAlign w:val="bottom"/>
            <w:gridSpan w:val="3"/>
          </w:tcPr>
          <w:p>
            <w:pPr>
              <w:spacing w:after="0"/>
              <w:rPr>
                <w:rFonts w:ascii="Arial" w:cs="Arial" w:eastAsia="Arial" w:hAnsi="Arial"/>
                <w:sz w:val="12"/>
                <w:szCs w:val="12"/>
                <w:color w:val="0000FF"/>
              </w:rPr>
            </w:pPr>
            <w:hyperlink r:id="rId218">
              <w:r>
                <w:rPr>
                  <w:rFonts w:ascii="Arial" w:cs="Arial" w:eastAsia="Arial" w:hAnsi="Arial"/>
                  <w:sz w:val="12"/>
                  <w:szCs w:val="12"/>
                  <w:color w:val="0000FF"/>
                </w:rPr>
                <w:t>Second Amendment to Lease between Arvinas Operations, Inc. (formerly Arvinas, Inc.) and Science Park Development Corporation, dated January 4, 2021</w:t>
              </w:r>
            </w:hyperlink>
          </w:p>
        </w:tc>
      </w:tr>
      <w:tr>
        <w:trPr>
          <w:trHeight w:val="97"/>
        </w:trPr>
        <w:tc>
          <w:tcPr>
            <w:tcW w:w="1140" w:type="dxa"/>
            <w:vAlign w:val="bottom"/>
          </w:tcPr>
          <w:p>
            <w:pPr>
              <w:spacing w:after="0"/>
              <w:rPr>
                <w:sz w:val="8"/>
                <w:szCs w:val="8"/>
                <w:color w:val="auto"/>
              </w:rPr>
            </w:pPr>
          </w:p>
        </w:tc>
        <w:tc>
          <w:tcPr>
            <w:tcW w:w="800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rPr>
            </w:pPr>
            <w:hyperlink r:id="rId218">
              <w:r>
                <w:rPr>
                  <w:rFonts w:ascii="Arial" w:cs="Arial" w:eastAsia="Arial" w:hAnsi="Arial"/>
                  <w:sz w:val="11"/>
                  <w:szCs w:val="11"/>
                  <w:color w:val="0000FF"/>
                </w:rPr>
                <w:t>(incorporated by reference to Exhibit 10.35 to the Registrant's Annual Report on Form 10-K (File No. 001-38672) filed with the SEC on March 1, 2021).</w:t>
              </w:r>
            </w:hyperlink>
          </w:p>
        </w:tc>
        <w:tc>
          <w:tcPr>
            <w:tcW w:w="26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2"/>
                <w:szCs w:val="12"/>
                <w:color w:val="auto"/>
              </w:rPr>
              <w:t>10.30*</w:t>
            </w:r>
          </w:p>
        </w:tc>
        <w:tc>
          <w:tcPr>
            <w:tcW w:w="836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99"/>
              </w:rPr>
              <w:t>Third Amendment to Lease between Arvinas Operations, Inc. (formerly Arvinas, Inc.) and Science Park Development Corporation, dated December 13, 2024.</w:t>
            </w:r>
          </w:p>
        </w:tc>
      </w:tr>
    </w:tbl>
    <w:p>
      <w:pPr>
        <w:spacing w:after="0" w:line="194" w:lineRule="exact"/>
        <w:rPr>
          <w:sz w:val="20"/>
          <w:szCs w:val="20"/>
          <w:color w:val="auto"/>
        </w:rPr>
      </w:pPr>
    </w:p>
    <w:p>
      <w:pPr>
        <w:sectPr>
          <w:pgSz w:w="11900" w:h="16838" w:orient="portrait"/>
          <w:cols w:equalWidth="0" w:num="1">
            <w:col w:w="10079"/>
          </w:cols>
          <w:pgMar w:left="380" w:top="839" w:right="1440" w:bottom="1440" w:gutter="0" w:footer="0" w:header="0"/>
        </w:sectPr>
      </w:pPr>
    </w:p>
    <w:p>
      <w:pPr>
        <w:spacing w:after="0"/>
        <w:rPr>
          <w:sz w:val="20"/>
          <w:szCs w:val="20"/>
          <w:color w:val="auto"/>
        </w:rPr>
      </w:pPr>
      <w:r>
        <w:rPr>
          <w:rFonts w:ascii="Arial" w:cs="Arial" w:eastAsia="Arial" w:hAnsi="Arial"/>
          <w:sz w:val="12"/>
          <w:szCs w:val="12"/>
          <w:color w:val="auto"/>
        </w:rPr>
        <w:t>10.31*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10.32</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10.33</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color w:val="auto"/>
        </w:rPr>
        <w:t>10.34†</w:t>
      </w: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10.35†</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10.36†</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10.37†</w:t>
      </w: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10.38†</w:t>
      </w: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10.39†</w:t>
      </w: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auto"/>
        </w:rPr>
        <w:t>10.40†</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10.41†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10.42†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u w:val="single" w:color="auto"/>
          <w:color w:val="0000FF"/>
        </w:rPr>
        <w:t>Lease Termination Agreement between Arvinas Operations, Inc. (formerly Arvinas, Inc.) and Science Park Development Corporation, dated January 15, 2025.</w:t>
      </w:r>
    </w:p>
    <w:p>
      <w:pPr>
        <w:spacing w:after="0" w:line="90" w:lineRule="exact"/>
        <w:rPr>
          <w:sz w:val="20"/>
          <w:szCs w:val="20"/>
          <w:color w:val="auto"/>
        </w:rPr>
      </w:pPr>
    </w:p>
    <w:p>
      <w:pPr>
        <w:ind w:right="959"/>
        <w:spacing w:after="0" w:line="239" w:lineRule="auto"/>
        <w:rPr>
          <w:rFonts w:ascii="Arial" w:cs="Arial" w:eastAsia="Arial" w:hAnsi="Arial"/>
          <w:sz w:val="12"/>
          <w:szCs w:val="12"/>
          <w:u w:val="single" w:color="auto"/>
          <w:color w:val="0000FF"/>
        </w:rPr>
      </w:pPr>
      <w:hyperlink r:id="rId219">
        <w:r>
          <w:rPr>
            <w:rFonts w:ascii="Arial" w:cs="Arial" w:eastAsia="Arial" w:hAnsi="Arial"/>
            <w:sz w:val="12"/>
            <w:szCs w:val="12"/>
            <w:u w:val="single" w:color="auto"/>
            <w:color w:val="0000FF"/>
          </w:rPr>
          <w:t>Lease between 101 College Street, LLC and Arvinas Operations, Inc., dated May 4, 2021 (incorporated by reference to Exhibit 10.1 to the Registrant's</w:t>
        </w:r>
      </w:hyperlink>
      <w:r>
        <w:rPr>
          <w:rFonts w:ascii="Arial" w:cs="Arial" w:eastAsia="Arial" w:hAnsi="Arial"/>
          <w:sz w:val="12"/>
          <w:szCs w:val="12"/>
          <w:u w:val="single" w:color="auto"/>
          <w:color w:val="0000FF"/>
        </w:rPr>
        <w:t xml:space="preserve"> </w:t>
      </w:r>
      <w:hyperlink r:id="rId219">
        <w:r>
          <w:rPr>
            <w:rFonts w:ascii="Arial" w:cs="Arial" w:eastAsia="Arial" w:hAnsi="Arial"/>
            <w:sz w:val="12"/>
            <w:szCs w:val="12"/>
            <w:u w:val="single" w:color="auto"/>
            <w:color w:val="0000FF"/>
          </w:rPr>
          <w:t>Quarterly Report on Form 10-Q (File No. 001-36874) filed with the SEC on August 5, 2021).</w:t>
        </w:r>
      </w:hyperlink>
    </w:p>
    <w:p>
      <w:pPr>
        <w:spacing w:after="0" w:line="40" w:lineRule="exact"/>
        <w:rPr>
          <w:sz w:val="20"/>
          <w:szCs w:val="20"/>
          <w:color w:val="auto"/>
        </w:rPr>
      </w:pPr>
    </w:p>
    <w:p>
      <w:pPr>
        <w:ind w:right="599"/>
        <w:spacing w:after="0" w:line="239" w:lineRule="auto"/>
        <w:rPr>
          <w:rFonts w:ascii="Arial" w:cs="Arial" w:eastAsia="Arial" w:hAnsi="Arial"/>
          <w:sz w:val="12"/>
          <w:szCs w:val="12"/>
          <w:u w:val="single" w:color="auto"/>
          <w:color w:val="0000FF"/>
        </w:rPr>
      </w:pPr>
      <w:hyperlink r:id="rId220">
        <w:r>
          <w:rPr>
            <w:rFonts w:ascii="Arial" w:cs="Arial" w:eastAsia="Arial" w:hAnsi="Arial"/>
            <w:sz w:val="12"/>
            <w:szCs w:val="12"/>
            <w:u w:val="single" w:color="auto"/>
            <w:color w:val="0000FF"/>
          </w:rPr>
          <w:t>First Amendment to Lease between 101 College Street, LLC and Arvinas Operations, Inc., dated August 5, 2022 (incorporated by reference to Exhibit 10.1 to</w:t>
        </w:r>
      </w:hyperlink>
      <w:r>
        <w:rPr>
          <w:rFonts w:ascii="Arial" w:cs="Arial" w:eastAsia="Arial" w:hAnsi="Arial"/>
          <w:sz w:val="12"/>
          <w:szCs w:val="12"/>
          <w:u w:val="single" w:color="auto"/>
          <w:color w:val="0000FF"/>
        </w:rPr>
        <w:t xml:space="preserve"> </w:t>
      </w:r>
      <w:hyperlink r:id="rId220">
        <w:r>
          <w:rPr>
            <w:rFonts w:ascii="Arial" w:cs="Arial" w:eastAsia="Arial" w:hAnsi="Arial"/>
            <w:sz w:val="12"/>
            <w:szCs w:val="12"/>
            <w:u w:val="single" w:color="auto"/>
            <w:color w:val="0000FF"/>
          </w:rPr>
          <w:t>the Registrant's Quarterly Report on Form 10-Q (File No. 001-36874) filed with the SEC on November 9, 2022).</w:t>
        </w:r>
      </w:hyperlink>
    </w:p>
    <w:p>
      <w:pPr>
        <w:spacing w:after="0" w:line="40" w:lineRule="exact"/>
        <w:rPr>
          <w:sz w:val="20"/>
          <w:szCs w:val="20"/>
          <w:color w:val="auto"/>
        </w:rPr>
      </w:pPr>
    </w:p>
    <w:p>
      <w:pPr>
        <w:ind w:right="579"/>
        <w:spacing w:after="0" w:line="239" w:lineRule="auto"/>
        <w:rPr>
          <w:rFonts w:ascii="Arial" w:cs="Arial" w:eastAsia="Arial" w:hAnsi="Arial"/>
          <w:sz w:val="12"/>
          <w:szCs w:val="12"/>
          <w:color w:val="0000FF"/>
          <w:highlight w:val="white"/>
        </w:rPr>
      </w:pPr>
      <w:hyperlink r:id="rId221">
        <w:r>
          <w:rPr>
            <w:rFonts w:ascii="Arial" w:cs="Arial" w:eastAsia="Arial" w:hAnsi="Arial"/>
            <w:sz w:val="12"/>
            <w:szCs w:val="12"/>
            <w:color w:val="0000FF"/>
          </w:rPr>
          <w:t>Second Amendment to Lease between 101 College Street, LLC and Arvinas Operations, Inc., dated December 2</w:t>
        </w:r>
        <w:r>
          <w:rPr>
            <w:rFonts w:ascii="Arial" w:cs="Arial" w:eastAsia="Arial" w:hAnsi="Arial"/>
            <w:sz w:val="12"/>
            <w:szCs w:val="12"/>
            <w:u w:val="single" w:color="auto"/>
            <w:color w:val="0000FF"/>
          </w:rPr>
          <w:t>0, 2023</w:t>
        </w:r>
        <w:r>
          <w:rPr>
            <w:rFonts w:ascii="Arial" w:cs="Arial" w:eastAsia="Arial" w:hAnsi="Arial"/>
            <w:sz w:val="12"/>
            <w:szCs w:val="12"/>
            <w:color w:val="0000FF"/>
          </w:rPr>
          <w:t xml:space="preserve"> </w:t>
        </w:r>
        <w:r>
          <w:rPr>
            <w:rFonts w:ascii="Arial" w:cs="Arial" w:eastAsia="Arial" w:hAnsi="Arial"/>
            <w:sz w:val="12"/>
            <w:szCs w:val="12"/>
            <w:u w:val="single" w:color="auto"/>
            <w:color w:val="0000FF"/>
            <w:highlight w:val="white"/>
          </w:rPr>
          <w:t>(incorporated by reference to Exhibit</w:t>
        </w:r>
      </w:hyperlink>
      <w:r>
        <w:rPr>
          <w:rFonts w:ascii="Arial" w:cs="Arial" w:eastAsia="Arial" w:hAnsi="Arial"/>
          <w:sz w:val="12"/>
          <w:szCs w:val="12"/>
          <w:color w:val="0000FF"/>
        </w:rPr>
        <w:t xml:space="preserve"> </w:t>
      </w:r>
      <w:hyperlink r:id="rId221">
        <w:r>
          <w:rPr>
            <w:rFonts w:ascii="Arial" w:cs="Arial" w:eastAsia="Arial" w:hAnsi="Arial"/>
            <w:sz w:val="12"/>
            <w:szCs w:val="12"/>
            <w:u w:val="single" w:color="auto"/>
            <w:color w:val="0000FF"/>
            <w:highlight w:val="white"/>
          </w:rPr>
          <w:t>10.3</w:t>
        </w:r>
        <w:r>
          <w:rPr>
            <w:rFonts w:ascii="Arial" w:cs="Arial" w:eastAsia="Arial" w:hAnsi="Arial"/>
            <w:sz w:val="12"/>
            <w:szCs w:val="12"/>
            <w:color w:val="0000FF"/>
            <w:highlight w:val="white"/>
          </w:rPr>
          <w:t xml:space="preserve"> to the Registrant's Quarterly Report on Form 10-Q (File No. 001-36874) filed with the SEC on May 7, 2024</w:t>
        </w:r>
        <w:r>
          <w:rPr>
            <w:rFonts w:ascii="Arial" w:cs="Arial" w:eastAsia="Arial" w:hAnsi="Arial"/>
            <w:sz w:val="12"/>
            <w:szCs w:val="12"/>
            <w:u w:val="single" w:color="auto"/>
            <w:color w:val="0000FF"/>
            <w:highlight w:val="whit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-165735</wp:posOffset>
            </wp:positionV>
            <wp:extent cx="3926840" cy="160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3926840" cy="160020"/>
                    </a:xfrm>
                    <a:prstGeom prst="rect">
                      <a:avLst/>
                    </a:prstGeom>
                    <a:noFill/>
                  </pic:spPr>
                </pic:pic>
              </a:graphicData>
            </a:graphic>
          </wp:anchor>
        </w:drawing>
      </w:r>
    </w:p>
    <w:p>
      <w:pPr>
        <w:spacing w:after="0" w:line="47" w:lineRule="exact"/>
        <w:rPr>
          <w:sz w:val="20"/>
          <w:szCs w:val="20"/>
          <w:color w:val="auto"/>
        </w:rPr>
      </w:pPr>
    </w:p>
    <w:p>
      <w:pPr>
        <w:ind w:right="799"/>
        <w:spacing w:after="0" w:line="239" w:lineRule="auto"/>
        <w:rPr>
          <w:rFonts w:ascii="Arial" w:cs="Arial" w:eastAsia="Arial" w:hAnsi="Arial"/>
          <w:sz w:val="12"/>
          <w:szCs w:val="12"/>
          <w:u w:val="single" w:color="auto"/>
          <w:color w:val="0000FF"/>
        </w:rPr>
      </w:pPr>
      <w:hyperlink r:id="rId223">
        <w:r>
          <w:rPr>
            <w:rFonts w:ascii="Arial" w:cs="Arial" w:eastAsia="Arial" w:hAnsi="Arial"/>
            <w:sz w:val="12"/>
            <w:szCs w:val="12"/>
            <w:u w:val="single" w:color="auto"/>
            <w:color w:val="0000FF"/>
          </w:rPr>
          <w:t>Lease Termination Agreement, dated August 15, 2024, by and among Arvinas Operations, Inc. and 101 College Street, LLC (incorporated by reference to</w:t>
        </w:r>
      </w:hyperlink>
      <w:r>
        <w:rPr>
          <w:rFonts w:ascii="Arial" w:cs="Arial" w:eastAsia="Arial" w:hAnsi="Arial"/>
          <w:sz w:val="12"/>
          <w:szCs w:val="12"/>
          <w:u w:val="single" w:color="auto"/>
          <w:color w:val="0000FF"/>
        </w:rPr>
        <w:t xml:space="preserve"> </w:t>
      </w:r>
      <w:hyperlink r:id="rId223">
        <w:r>
          <w:rPr>
            <w:rFonts w:ascii="Arial" w:cs="Arial" w:eastAsia="Arial" w:hAnsi="Arial"/>
            <w:sz w:val="12"/>
            <w:szCs w:val="12"/>
            <w:u w:val="single" w:color="auto"/>
            <w:color w:val="0000FF"/>
          </w:rPr>
          <w:t>Exhibit 10.2 to the Registrant's Quarterly Report on Form 10-Q (File No. 001-36874) filed with the SEC on October 30, 2024).</w:t>
        </w:r>
      </w:hyperlink>
    </w:p>
    <w:p>
      <w:pPr>
        <w:spacing w:after="0" w:line="58" w:lineRule="exact"/>
        <w:rPr>
          <w:sz w:val="20"/>
          <w:szCs w:val="20"/>
          <w:color w:val="auto"/>
        </w:rPr>
      </w:pPr>
    </w:p>
    <w:p>
      <w:pPr>
        <w:ind w:right="599"/>
        <w:spacing w:after="0" w:line="270" w:lineRule="auto"/>
        <w:rPr>
          <w:rFonts w:ascii="Arial" w:cs="Arial" w:eastAsia="Arial" w:hAnsi="Arial"/>
          <w:sz w:val="12"/>
          <w:szCs w:val="12"/>
          <w:color w:val="0000FF"/>
        </w:rPr>
      </w:pPr>
      <w:hyperlink r:id="rId224">
        <w:r>
          <w:rPr>
            <w:rFonts w:ascii="Arial" w:cs="Arial" w:eastAsia="Arial" w:hAnsi="Arial"/>
            <w:sz w:val="12"/>
            <w:szCs w:val="12"/>
            <w:u w:val="single" w:color="auto"/>
            <w:color w:val="0000FF"/>
          </w:rPr>
          <w:t>Amended and Restated</w:t>
        </w:r>
        <w:r>
          <w:rPr>
            <w:rFonts w:ascii="Arial" w:cs="Arial" w:eastAsia="Arial" w:hAnsi="Arial"/>
            <w:sz w:val="12"/>
            <w:szCs w:val="12"/>
            <w:color w:val="0000FF"/>
          </w:rPr>
          <w:t xml:space="preserve"> </w:t>
        </w:r>
        <w:r>
          <w:rPr>
            <w:rFonts w:ascii="Arial" w:cs="Arial" w:eastAsia="Arial" w:hAnsi="Arial"/>
            <w:sz w:val="12"/>
            <w:szCs w:val="12"/>
            <w:u w:val="single" w:color="auto"/>
            <w:color w:val="0000FF"/>
            <w:highlight w:val="white"/>
          </w:rPr>
          <w:t>License Agreement between Yale University and Arvinas Operations, Inc. (formerly Arvinas, Inc.), dated</w:t>
        </w:r>
        <w:r>
          <w:rPr>
            <w:rFonts w:ascii="Arial" w:cs="Arial" w:eastAsia="Arial" w:hAnsi="Arial"/>
            <w:sz w:val="12"/>
            <w:szCs w:val="12"/>
            <w:color w:val="0000FF"/>
          </w:rPr>
          <w:t xml:space="preserve"> </w:t>
        </w:r>
        <w:r>
          <w:rPr>
            <w:rFonts w:ascii="Arial" w:cs="Arial" w:eastAsia="Arial" w:hAnsi="Arial"/>
            <w:sz w:val="12"/>
            <w:szCs w:val="12"/>
            <w:color w:val="0000FF"/>
            <w:highlight w:val="white"/>
          </w:rPr>
          <w:t>Ju</w:t>
        </w:r>
        <w:r>
          <w:rPr>
            <w:rFonts w:ascii="Arial" w:cs="Arial" w:eastAsia="Arial" w:hAnsi="Arial"/>
            <w:sz w:val="12"/>
            <w:szCs w:val="12"/>
            <w:u w:val="single" w:color="auto"/>
            <w:color w:val="0000FF"/>
          </w:rPr>
          <w:t>ne 18, 2024</w:t>
        </w:r>
        <w:r>
          <w:rPr>
            <w:rFonts w:ascii="Arial" w:cs="Arial" w:eastAsia="Arial" w:hAnsi="Arial"/>
            <w:sz w:val="12"/>
            <w:szCs w:val="12"/>
            <w:color w:val="0000FF"/>
          </w:rPr>
          <w:t xml:space="preserve"> </w:t>
        </w:r>
        <w:r>
          <w:rPr>
            <w:rFonts w:ascii="Arial" w:cs="Arial" w:eastAsia="Arial" w:hAnsi="Arial"/>
            <w:sz w:val="12"/>
            <w:szCs w:val="12"/>
            <w:u w:val="single" w:color="auto"/>
            <w:color w:val="0000FF"/>
            <w:highlight w:val="white"/>
          </w:rPr>
          <w:t>(incorporated</w:t>
        </w:r>
      </w:hyperlink>
      <w:r>
        <w:rPr>
          <w:rFonts w:ascii="Arial" w:cs="Arial" w:eastAsia="Arial" w:hAnsi="Arial"/>
          <w:sz w:val="12"/>
          <w:szCs w:val="12"/>
          <w:color w:val="0000FF"/>
        </w:rPr>
        <w:t xml:space="preserve"> </w:t>
      </w:r>
      <w:hyperlink r:id="rId224">
        <w:r>
          <w:rPr>
            <w:rFonts w:ascii="Arial" w:cs="Arial" w:eastAsia="Arial" w:hAnsi="Arial"/>
            <w:sz w:val="12"/>
            <w:szCs w:val="12"/>
            <w:u w:val="single" w:color="auto"/>
            <w:color w:val="0000FF"/>
          </w:rPr>
          <w:t>by reference to Exhibit 10.6</w:t>
        </w:r>
        <w:r>
          <w:rPr>
            <w:rFonts w:ascii="Arial" w:cs="Arial" w:eastAsia="Arial" w:hAnsi="Arial"/>
            <w:sz w:val="12"/>
            <w:szCs w:val="12"/>
            <w:color w:val="0000FF"/>
          </w:rPr>
          <w:t xml:space="preserve"> </w:t>
        </w:r>
        <w:r>
          <w:rPr>
            <w:rFonts w:ascii="Arial" w:cs="Arial" w:eastAsia="Arial" w:hAnsi="Arial"/>
            <w:sz w:val="12"/>
            <w:szCs w:val="12"/>
            <w:u w:val="single" w:color="auto"/>
            <w:color w:val="0000FF"/>
            <w:highlight w:val="white"/>
          </w:rPr>
          <w:t>to the Registrant’s Quarterly Report on Form 10-Q (File No. 001-36874) filed with the SEC on</w:t>
        </w:r>
        <w:r>
          <w:rPr>
            <w:rFonts w:ascii="Arial" w:cs="Arial" w:eastAsia="Arial" w:hAnsi="Arial"/>
            <w:sz w:val="12"/>
            <w:szCs w:val="12"/>
            <w:color w:val="0000FF"/>
          </w:rPr>
          <w:t xml:space="preserve"> </w:t>
        </w:r>
        <w:r>
          <w:rPr>
            <w:rFonts w:ascii="Arial" w:cs="Arial" w:eastAsia="Arial" w:hAnsi="Arial"/>
            <w:sz w:val="12"/>
            <w:szCs w:val="12"/>
            <w:color w:val="0000FF"/>
            <w:highlight w:val="white"/>
          </w:rPr>
          <w:t>Jul</w:t>
        </w:r>
        <w:r>
          <w:rPr>
            <w:rFonts w:ascii="Arial" w:cs="Arial" w:eastAsia="Arial" w:hAnsi="Arial"/>
            <w:sz w:val="12"/>
            <w:szCs w:val="12"/>
            <w:u w:val="single" w:color="auto"/>
            <w:color w:val="0000FF"/>
            <w:highlight w:val="white"/>
          </w:rPr>
          <w:t>y 30,</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-28575</wp:posOffset>
            </wp:positionV>
            <wp:extent cx="952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95250" cy="5715"/>
                    </a:xfrm>
                    <a:prstGeom prst="rect">
                      <a:avLst/>
                    </a:prstGeom>
                    <a:noFill/>
                  </pic:spPr>
                </pic:pic>
              </a:graphicData>
            </a:graphic>
          </wp:anchor>
        </w:drawing>
      </w:r>
    </w:p>
    <w:p>
      <w:pPr>
        <w:spacing w:after="0" w:line="66" w:lineRule="exact"/>
        <w:rPr>
          <w:sz w:val="20"/>
          <w:szCs w:val="20"/>
          <w:color w:val="auto"/>
        </w:rPr>
      </w:pPr>
    </w:p>
    <w:p>
      <w:pPr>
        <w:jc w:val="both"/>
        <w:ind w:right="719"/>
        <w:spacing w:after="0" w:line="260" w:lineRule="auto"/>
        <w:rPr>
          <w:rFonts w:ascii="Arial" w:cs="Arial" w:eastAsia="Arial" w:hAnsi="Arial"/>
          <w:sz w:val="12"/>
          <w:szCs w:val="12"/>
          <w:color w:val="0000FF"/>
        </w:rPr>
      </w:pPr>
      <w:hyperlink r:id="rId226">
        <w:r>
          <w:rPr>
            <w:rFonts w:ascii="Arial" w:cs="Arial" w:eastAsia="Arial" w:hAnsi="Arial"/>
            <w:sz w:val="12"/>
            <w:szCs w:val="12"/>
            <w:u w:val="single" w:color="auto"/>
            <w:color w:val="0000FF"/>
          </w:rPr>
          <w:t>Amended and Restated License and Option Agreement among Genentech, Inc., F. Hoffmann-La Roche Ltd and Arvinas Operations, Inc. (formerly Arvinas,</w:t>
        </w:r>
      </w:hyperlink>
      <w:r>
        <w:rPr>
          <w:rFonts w:ascii="Arial" w:cs="Arial" w:eastAsia="Arial" w:hAnsi="Arial"/>
          <w:sz w:val="12"/>
          <w:szCs w:val="12"/>
          <w:u w:val="single" w:color="auto"/>
          <w:color w:val="0000FF"/>
        </w:rPr>
        <w:t xml:space="preserve"> </w:t>
      </w:r>
      <w:hyperlink r:id="rId226">
        <w:r>
          <w:rPr>
            <w:rFonts w:ascii="Arial" w:cs="Arial" w:eastAsia="Arial" w:hAnsi="Arial"/>
            <w:sz w:val="12"/>
            <w:szCs w:val="12"/>
            <w:u w:val="single" w:color="auto"/>
            <w:color w:val="0000FF"/>
          </w:rPr>
          <w:t>Inc.), dated November 8, 2017 (incorporated by reference to Exhibit 10.16 to the Registrant’s Registration Statement on Form S-1/A (File No. 333-227112)</w:t>
        </w:r>
      </w:hyperlink>
      <w:r>
        <w:rPr>
          <w:rFonts w:ascii="Arial" w:cs="Arial" w:eastAsia="Arial" w:hAnsi="Arial"/>
          <w:sz w:val="12"/>
          <w:szCs w:val="12"/>
          <w:u w:val="single" w:color="auto"/>
          <w:color w:val="0000FF"/>
        </w:rPr>
        <w:t xml:space="preserve"> </w:t>
      </w:r>
      <w:hyperlink r:id="rId226">
        <w:r>
          <w:rPr>
            <w:rFonts w:ascii="Arial" w:cs="Arial" w:eastAsia="Arial" w:hAnsi="Arial"/>
            <w:sz w:val="12"/>
            <w:szCs w:val="12"/>
            <w:u w:val="single" w:color="auto"/>
            <w:color w:val="0000FF"/>
          </w:rPr>
          <w:t>filed with the SEC on September 14, 2018)</w:t>
        </w:r>
        <w:r>
          <w:rPr>
            <w:rFonts w:ascii="Arial" w:cs="Arial" w:eastAsia="Arial" w:hAnsi="Arial"/>
            <w:sz w:val="12"/>
            <w:szCs w:val="12"/>
            <w:color w:val="000000"/>
          </w:rPr>
          <w:t>.</w:t>
        </w:r>
      </w:hyperlink>
    </w:p>
    <w:p>
      <w:pPr>
        <w:spacing w:after="0" w:line="47" w:lineRule="exact"/>
        <w:rPr>
          <w:rFonts w:ascii="Arial" w:cs="Arial" w:eastAsia="Arial" w:hAnsi="Arial"/>
          <w:sz w:val="12"/>
          <w:szCs w:val="12"/>
          <w:u w:val="single" w:color="auto"/>
          <w:color w:val="0000FF"/>
        </w:rPr>
      </w:pPr>
    </w:p>
    <w:p>
      <w:pPr>
        <w:ind w:right="639"/>
        <w:spacing w:after="0" w:line="260" w:lineRule="auto"/>
        <w:rPr>
          <w:rFonts w:ascii="Arial" w:cs="Arial" w:eastAsia="Arial" w:hAnsi="Arial"/>
          <w:sz w:val="12"/>
          <w:szCs w:val="12"/>
          <w:color w:val="0000FF"/>
        </w:rPr>
      </w:pPr>
      <w:hyperlink r:id="rId227">
        <w:r>
          <w:rPr>
            <w:rFonts w:ascii="Arial" w:cs="Arial" w:eastAsia="Arial" w:hAnsi="Arial"/>
            <w:sz w:val="12"/>
            <w:szCs w:val="12"/>
            <w:u w:val="single" w:color="auto"/>
            <w:color w:val="0000FF"/>
          </w:rPr>
          <w:t>Research Collaboration and License Agreement between Pfizer Inc. and Arvinas Operations, Inc. (formerly Arvinas, Inc.), dated December 22, 2017</w:t>
        </w:r>
      </w:hyperlink>
      <w:r>
        <w:rPr>
          <w:rFonts w:ascii="Arial" w:cs="Arial" w:eastAsia="Arial" w:hAnsi="Arial"/>
          <w:sz w:val="12"/>
          <w:szCs w:val="12"/>
          <w:u w:val="single" w:color="auto"/>
          <w:color w:val="0000FF"/>
        </w:rPr>
        <w:t xml:space="preserve"> </w:t>
      </w:r>
      <w:hyperlink r:id="rId227">
        <w:r>
          <w:rPr>
            <w:rFonts w:ascii="Arial" w:cs="Arial" w:eastAsia="Arial" w:hAnsi="Arial"/>
            <w:sz w:val="12"/>
            <w:szCs w:val="12"/>
            <w:u w:val="single" w:color="auto"/>
            <w:color w:val="0000FF"/>
          </w:rPr>
          <w:t>(incorporated by reference to Exhibit 10.17 to the Registrant’s Registration Statement on Form S-1/A (File No. 333-227112) filed with the SEC on September</w:t>
        </w:r>
      </w:hyperlink>
      <w:r>
        <w:rPr>
          <w:rFonts w:ascii="Arial" w:cs="Arial" w:eastAsia="Arial" w:hAnsi="Arial"/>
          <w:sz w:val="12"/>
          <w:szCs w:val="12"/>
          <w:u w:val="single" w:color="auto"/>
          <w:color w:val="0000FF"/>
        </w:rPr>
        <w:t xml:space="preserve"> </w:t>
      </w:r>
      <w:hyperlink r:id="rId227">
        <w:r>
          <w:rPr>
            <w:rFonts w:ascii="Arial" w:cs="Arial" w:eastAsia="Arial" w:hAnsi="Arial"/>
            <w:sz w:val="12"/>
            <w:szCs w:val="12"/>
            <w:u w:val="single" w:color="auto"/>
            <w:color w:val="0000FF"/>
          </w:rPr>
          <w:t>14, 2018)</w:t>
        </w:r>
        <w:r>
          <w:rPr>
            <w:rFonts w:ascii="Arial" w:cs="Arial" w:eastAsia="Arial" w:hAnsi="Arial"/>
            <w:sz w:val="12"/>
            <w:szCs w:val="12"/>
            <w:color w:val="000000"/>
          </w:rPr>
          <w:t>.</w:t>
        </w:r>
      </w:hyperlink>
    </w:p>
    <w:p>
      <w:pPr>
        <w:spacing w:after="0" w:line="38" w:lineRule="exact"/>
        <w:rPr>
          <w:rFonts w:ascii="Arial" w:cs="Arial" w:eastAsia="Arial" w:hAnsi="Arial"/>
          <w:sz w:val="12"/>
          <w:szCs w:val="12"/>
          <w:u w:val="single" w:color="auto"/>
          <w:color w:val="0000FF"/>
        </w:rPr>
      </w:pPr>
    </w:p>
    <w:p>
      <w:pPr>
        <w:ind w:right="799"/>
        <w:spacing w:after="0" w:line="221" w:lineRule="auto"/>
        <w:rPr>
          <w:rFonts w:ascii="Arial" w:cs="Arial" w:eastAsia="Arial" w:hAnsi="Arial"/>
          <w:sz w:val="12"/>
          <w:szCs w:val="12"/>
          <w:u w:val="single" w:color="auto"/>
          <w:color w:val="0000FF"/>
        </w:rPr>
      </w:pPr>
      <w:hyperlink r:id="rId228">
        <w:r>
          <w:rPr>
            <w:rFonts w:ascii="Arial" w:cs="Arial" w:eastAsia="Arial" w:hAnsi="Arial"/>
            <w:sz w:val="12"/>
            <w:szCs w:val="12"/>
            <w:u w:val="single" w:color="auto"/>
            <w:color w:val="0000FF"/>
          </w:rPr>
          <w:t>Amendment No. 1 to Research Collaboration and License Agreement between Pfizer Inc. and Arvinas Operations, Inc. (formerly Arvinas, Inc.), dated</w:t>
        </w:r>
      </w:hyperlink>
      <w:r>
        <w:rPr>
          <w:rFonts w:ascii="Arial" w:cs="Arial" w:eastAsia="Arial" w:hAnsi="Arial"/>
          <w:sz w:val="12"/>
          <w:szCs w:val="12"/>
          <w:u w:val="single" w:color="auto"/>
          <w:color w:val="0000FF"/>
        </w:rPr>
        <w:t xml:space="preserve"> </w:t>
      </w:r>
      <w:hyperlink r:id="rId228">
        <w:r>
          <w:rPr>
            <w:rFonts w:ascii="Arial" w:cs="Arial" w:eastAsia="Arial" w:hAnsi="Arial"/>
            <w:sz w:val="12"/>
            <w:szCs w:val="12"/>
            <w:u w:val="single" w:color="auto"/>
            <w:color w:val="0000FF"/>
          </w:rPr>
          <w:t>December 9, 2019 (incorporated by reference to Exhibit 10.24 to the Registrant’s Annual Report on Form 10-K (File No. 001-38672) filed with the SEC on</w:t>
        </w:r>
      </w:hyperlink>
    </w:p>
    <w:p>
      <w:pPr>
        <w:spacing w:after="0" w:line="1" w:lineRule="exact"/>
        <w:rPr>
          <w:sz w:val="20"/>
          <w:szCs w:val="20"/>
          <w:color w:val="auto"/>
        </w:rPr>
      </w:pPr>
    </w:p>
    <w:p>
      <w:pPr>
        <w:spacing w:after="0"/>
        <w:rPr>
          <w:rFonts w:ascii="Arial" w:cs="Arial" w:eastAsia="Arial" w:hAnsi="Arial"/>
          <w:sz w:val="12"/>
          <w:szCs w:val="12"/>
          <w:u w:val="single" w:color="auto"/>
          <w:color w:val="0000FF"/>
        </w:rPr>
      </w:pPr>
      <w:hyperlink r:id="rId228">
        <w:r>
          <w:rPr>
            <w:rFonts w:ascii="Arial" w:cs="Arial" w:eastAsia="Arial" w:hAnsi="Arial"/>
            <w:sz w:val="12"/>
            <w:szCs w:val="12"/>
            <w:u w:val="single" w:color="auto"/>
            <w:color w:val="0000FF"/>
          </w:rPr>
          <w:t>March 16, 2020).</w:t>
        </w:r>
      </w:hyperlink>
    </w:p>
    <w:p>
      <w:pPr>
        <w:spacing w:after="0" w:line="66" w:lineRule="exact"/>
        <w:rPr>
          <w:sz w:val="20"/>
          <w:szCs w:val="20"/>
          <w:color w:val="auto"/>
        </w:rPr>
      </w:pPr>
    </w:p>
    <w:p>
      <w:pPr>
        <w:ind w:right="579"/>
        <w:spacing w:after="0" w:line="221" w:lineRule="auto"/>
        <w:rPr>
          <w:rFonts w:ascii="Arial" w:cs="Arial" w:eastAsia="Arial" w:hAnsi="Arial"/>
          <w:sz w:val="12"/>
          <w:szCs w:val="12"/>
          <w:u w:val="single" w:color="auto"/>
          <w:color w:val="0000FF"/>
        </w:rPr>
      </w:pPr>
      <w:hyperlink r:id="rId229">
        <w:r>
          <w:rPr>
            <w:rFonts w:ascii="Arial" w:cs="Arial" w:eastAsia="Arial" w:hAnsi="Arial"/>
            <w:sz w:val="12"/>
            <w:szCs w:val="12"/>
            <w:u w:val="single" w:color="auto"/>
            <w:color w:val="0000FF"/>
          </w:rPr>
          <w:t>Amendment No. 2 to Research Collaboration and License Agreement between Pfizer Inc. and Arvinas Operations, Inc. (formerly Arvinas, Inc.), dated January</w:t>
        </w:r>
      </w:hyperlink>
      <w:r>
        <w:rPr>
          <w:rFonts w:ascii="Arial" w:cs="Arial" w:eastAsia="Arial" w:hAnsi="Arial"/>
          <w:sz w:val="12"/>
          <w:szCs w:val="12"/>
          <w:u w:val="single" w:color="auto"/>
          <w:color w:val="0000FF"/>
        </w:rPr>
        <w:t xml:space="preserve"> </w:t>
      </w:r>
      <w:hyperlink r:id="rId229">
        <w:r>
          <w:rPr>
            <w:rFonts w:ascii="Arial" w:cs="Arial" w:eastAsia="Arial" w:hAnsi="Arial"/>
            <w:sz w:val="12"/>
            <w:szCs w:val="12"/>
            <w:u w:val="single" w:color="auto"/>
            <w:color w:val="0000FF"/>
          </w:rPr>
          <w:t>14, 2022 (incorporated by reference to Exhibit 10.1 to the Registrant’s Quarterly Report on Form 10-Q (File No. 001-38672) filed with the SEC on May 5,</w:t>
        </w:r>
      </w:hyperlink>
    </w:p>
    <w:p>
      <w:pPr>
        <w:spacing w:after="0" w:line="1" w:lineRule="exact"/>
        <w:rPr>
          <w:sz w:val="20"/>
          <w:szCs w:val="20"/>
          <w:color w:val="auto"/>
        </w:rPr>
      </w:pPr>
    </w:p>
    <w:p>
      <w:pPr>
        <w:spacing w:after="0"/>
        <w:rPr>
          <w:rFonts w:ascii="Arial" w:cs="Arial" w:eastAsia="Arial" w:hAnsi="Arial"/>
          <w:sz w:val="12"/>
          <w:szCs w:val="12"/>
          <w:u w:val="single" w:color="auto"/>
          <w:color w:val="0000FF"/>
        </w:rPr>
      </w:pPr>
      <w:hyperlink r:id="rId229">
        <w:r>
          <w:rPr>
            <w:rFonts w:ascii="Arial" w:cs="Arial" w:eastAsia="Arial" w:hAnsi="Arial"/>
            <w:sz w:val="12"/>
            <w:szCs w:val="12"/>
            <w:u w:val="single" w:color="auto"/>
            <w:color w:val="0000FF"/>
          </w:rPr>
          <w:t>2022).</w:t>
        </w:r>
      </w:hyperlink>
    </w:p>
    <w:p>
      <w:pPr>
        <w:spacing w:after="0" w:line="39" w:lineRule="exact"/>
        <w:rPr>
          <w:sz w:val="20"/>
          <w:szCs w:val="20"/>
          <w:color w:val="auto"/>
        </w:rPr>
      </w:pPr>
    </w:p>
    <w:p>
      <w:pPr>
        <w:ind w:right="739"/>
        <w:spacing w:after="0" w:line="241" w:lineRule="auto"/>
        <w:rPr>
          <w:rFonts w:ascii="Arial" w:cs="Arial" w:eastAsia="Arial" w:hAnsi="Arial"/>
          <w:sz w:val="11"/>
          <w:szCs w:val="11"/>
          <w:u w:val="single" w:color="auto"/>
          <w:color w:val="0000FF"/>
        </w:rPr>
      </w:pPr>
      <w:hyperlink r:id="rId230">
        <w:r>
          <w:rPr>
            <w:rFonts w:ascii="Arial" w:cs="Arial" w:eastAsia="Arial" w:hAnsi="Arial"/>
            <w:sz w:val="11"/>
            <w:szCs w:val="11"/>
            <w:u w:val="single" w:color="auto"/>
            <w:color w:val="0000FF"/>
          </w:rPr>
          <w:t>Amendment No. 3 to Research Collaboration and License Agreement between Pfizer Inc. and Arvinas Operations, Inc (formerly Arvinas, Inc.), dated</w:t>
        </w:r>
      </w:hyperlink>
      <w:r>
        <w:rPr>
          <w:rFonts w:ascii="Arial" w:cs="Arial" w:eastAsia="Arial" w:hAnsi="Arial"/>
          <w:sz w:val="11"/>
          <w:szCs w:val="11"/>
          <w:u w:val="single" w:color="auto"/>
          <w:color w:val="0000FF"/>
        </w:rPr>
        <w:t xml:space="preserve"> </w:t>
      </w:r>
      <w:hyperlink r:id="rId230">
        <w:r>
          <w:rPr>
            <w:rFonts w:ascii="Arial" w:cs="Arial" w:eastAsia="Arial" w:hAnsi="Arial"/>
            <w:sz w:val="11"/>
            <w:szCs w:val="11"/>
            <w:u w:val="single" w:color="auto"/>
            <w:color w:val="0000FF"/>
          </w:rPr>
          <w:t>December 21, 2022 (incorporated by reference to Exhibit 10.32 to the Registrant’s Annual Report on Form 10-K (File No. 001-38672) filed with the SEC on</w:t>
        </w:r>
      </w:hyperlink>
    </w:p>
    <w:p>
      <w:pPr>
        <w:spacing w:after="0" w:line="1" w:lineRule="exact"/>
        <w:rPr>
          <w:sz w:val="20"/>
          <w:szCs w:val="20"/>
          <w:color w:val="auto"/>
        </w:rPr>
      </w:pPr>
    </w:p>
    <w:p>
      <w:pPr>
        <w:spacing w:after="0"/>
        <w:rPr>
          <w:rFonts w:ascii="Arial" w:cs="Arial" w:eastAsia="Arial" w:hAnsi="Arial"/>
          <w:sz w:val="12"/>
          <w:szCs w:val="12"/>
          <w:u w:val="single" w:color="auto"/>
          <w:color w:val="0000FF"/>
        </w:rPr>
      </w:pPr>
      <w:hyperlink r:id="rId230">
        <w:r>
          <w:rPr>
            <w:rFonts w:ascii="Arial" w:cs="Arial" w:eastAsia="Arial" w:hAnsi="Arial"/>
            <w:sz w:val="12"/>
            <w:szCs w:val="12"/>
            <w:u w:val="single" w:color="auto"/>
            <w:color w:val="0000FF"/>
          </w:rPr>
          <w:t>February 23, 2023)</w:t>
        </w:r>
      </w:hyperlink>
    </w:p>
    <w:p>
      <w:pPr>
        <w:spacing w:after="0" w:line="57" w:lineRule="exact"/>
        <w:rPr>
          <w:sz w:val="20"/>
          <w:szCs w:val="20"/>
          <w:color w:val="auto"/>
        </w:rPr>
      </w:pPr>
    </w:p>
    <w:p>
      <w:pPr>
        <w:ind w:right="679"/>
        <w:spacing w:after="0" w:line="270" w:lineRule="auto"/>
        <w:rPr>
          <w:rFonts w:ascii="Arial" w:cs="Arial" w:eastAsia="Arial" w:hAnsi="Arial"/>
          <w:sz w:val="12"/>
          <w:szCs w:val="12"/>
          <w:u w:val="single" w:color="auto"/>
          <w:color w:val="0000FF"/>
        </w:rPr>
      </w:pPr>
      <w:hyperlink r:id="rId231">
        <w:r>
          <w:rPr>
            <w:rFonts w:ascii="Arial" w:cs="Arial" w:eastAsia="Arial" w:hAnsi="Arial"/>
            <w:sz w:val="12"/>
            <w:szCs w:val="12"/>
            <w:u w:val="single" w:color="auto"/>
            <w:color w:val="0000FF"/>
          </w:rPr>
          <w:t>Collaboration and License Agreement between Arvinas Operations, Inc. and Bayer AG, dated June 3, 2019 (incorporated by reference to Exhibit 10.3 to the</w:t>
        </w:r>
      </w:hyperlink>
      <w:r>
        <w:rPr>
          <w:rFonts w:ascii="Arial" w:cs="Arial" w:eastAsia="Arial" w:hAnsi="Arial"/>
          <w:sz w:val="12"/>
          <w:szCs w:val="12"/>
          <w:u w:val="single" w:color="auto"/>
          <w:color w:val="0000FF"/>
        </w:rPr>
        <w:t xml:space="preserve"> </w:t>
      </w:r>
      <w:hyperlink r:id="rId231">
        <w:r>
          <w:rPr>
            <w:rFonts w:ascii="Arial" w:cs="Arial" w:eastAsia="Arial" w:hAnsi="Arial"/>
            <w:sz w:val="12"/>
            <w:szCs w:val="12"/>
            <w:u w:val="single" w:color="auto"/>
            <w:color w:val="0000FF"/>
          </w:rPr>
          <w:t>Registrant’s Quarterly Report on Form 10-Q (File No. 001-38672) filed with the SEC on August 5, 2019).</w:t>
        </w:r>
      </w:hyperlink>
    </w:p>
    <w:p>
      <w:pPr>
        <w:spacing w:after="0" w:line="200" w:lineRule="exact"/>
        <w:rPr>
          <w:sz w:val="20"/>
          <w:szCs w:val="20"/>
          <w:color w:val="auto"/>
        </w:rPr>
      </w:pPr>
    </w:p>
    <w:p>
      <w:pPr>
        <w:sectPr>
          <w:pgSz w:w="11900" w:h="16838" w:orient="portrait"/>
          <w:cols w:equalWidth="0" w:num="2">
            <w:col w:w="420" w:space="720"/>
            <w:col w:w="8939"/>
          </w:cols>
          <w:pgMar w:left="380" w:top="839" w:right="1440" w:bottom="1440" w:gutter="0" w:footer="0" w:header="0"/>
          <w:type w:val="continuous"/>
        </w:sectPr>
      </w:pPr>
    </w:p>
    <w:p>
      <w:pPr>
        <w:spacing w:after="0" w:line="282" w:lineRule="exact"/>
        <w:rPr>
          <w:sz w:val="20"/>
          <w:szCs w:val="20"/>
          <w:color w:val="auto"/>
        </w:rPr>
      </w:pPr>
    </w:p>
    <w:p>
      <w:pPr>
        <w:ind w:left="5460"/>
        <w:spacing w:after="0"/>
        <w:rPr>
          <w:sz w:val="20"/>
          <w:szCs w:val="20"/>
          <w:color w:val="auto"/>
        </w:rPr>
      </w:pPr>
      <w:r>
        <w:rPr>
          <w:rFonts w:ascii="Arial" w:cs="Arial" w:eastAsia="Arial" w:hAnsi="Arial"/>
          <w:sz w:val="11"/>
          <w:szCs w:val="1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52070</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079"/>
          </w:cols>
          <w:pgMar w:left="380" w:top="839" w:right="1440" w:bottom="1440" w:gutter="0" w:footer="0" w:header="0"/>
          <w:type w:val="continuous"/>
        </w:sectPr>
      </w:pPr>
    </w:p>
    <w:bookmarkStart w:id="158" w:name="page159"/>
    <w:bookmarkEnd w:id="158"/>
    <w:tbl>
      <w:tblPr>
        <w:tblLayout w:type="fixed"/>
        <w:tblInd w:w="80" w:type="dxa"/>
        <w:tblCellMar>
          <w:top w:w="0" w:type="dxa"/>
          <w:left w:w="0" w:type="dxa"/>
          <w:bottom w:w="0" w:type="dxa"/>
          <w:right w:w="0" w:type="dxa"/>
        </w:tblCellMar>
      </w:tblPr>
      <w:tr>
        <w:trPr>
          <w:trHeight w:val="138"/>
        </w:trPr>
        <w:tc>
          <w:tcPr>
            <w:tcW w:w="1140" w:type="dxa"/>
            <w:vAlign w:val="bottom"/>
          </w:tcPr>
          <w:p>
            <w:pPr>
              <w:spacing w:after="0"/>
              <w:rPr>
                <w:sz w:val="20"/>
                <w:szCs w:val="20"/>
                <w:color w:val="auto"/>
              </w:rPr>
            </w:pPr>
            <w:r>
              <w:rPr>
                <w:rFonts w:ascii="Arial" w:cs="Arial" w:eastAsia="Arial" w:hAnsi="Arial"/>
                <w:sz w:val="12"/>
                <w:szCs w:val="12"/>
                <w:color w:val="auto"/>
              </w:rPr>
              <w:t>10.43</w:t>
            </w:r>
          </w:p>
        </w:tc>
        <w:tc>
          <w:tcPr>
            <w:tcW w:w="8440" w:type="dxa"/>
            <w:vAlign w:val="bottom"/>
            <w:gridSpan w:val="10"/>
          </w:tcPr>
          <w:p>
            <w:pPr>
              <w:spacing w:after="0"/>
              <w:rPr>
                <w:rFonts w:ascii="Arial" w:cs="Arial" w:eastAsia="Arial" w:hAnsi="Arial"/>
                <w:sz w:val="12"/>
                <w:szCs w:val="12"/>
                <w:color w:val="0000FF"/>
              </w:rPr>
            </w:pPr>
            <w:hyperlink r:id="rId233">
              <w:r>
                <w:rPr>
                  <w:rFonts w:ascii="Arial" w:cs="Arial" w:eastAsia="Arial" w:hAnsi="Arial"/>
                  <w:sz w:val="12"/>
                  <w:szCs w:val="12"/>
                  <w:color w:val="0000FF"/>
                </w:rPr>
                <w:t xml:space="preserve">First Amendment to Collaboration and License Agreement between Arvinas Operations, Inc. and Bayer AG, dated June 30, 2023 </w:t>
              </w:r>
              <w:r>
                <w:rPr>
                  <w:rFonts w:ascii="Arial" w:cs="Arial" w:eastAsia="Arial" w:hAnsi="Arial"/>
                  <w:sz w:val="12"/>
                  <w:szCs w:val="12"/>
                  <w:color w:val="0000FF"/>
                  <w:highlight w:val="white"/>
                </w:rPr>
                <w:t>(incorporated by reference to</w:t>
              </w:r>
            </w:hyperlink>
          </w:p>
        </w:tc>
      </w:tr>
      <w:tr>
        <w:trPr>
          <w:trHeight w:val="98"/>
        </w:trPr>
        <w:tc>
          <w:tcPr>
            <w:tcW w:w="1140" w:type="dxa"/>
            <w:vAlign w:val="bottom"/>
          </w:tcPr>
          <w:p>
            <w:pPr>
              <w:spacing w:after="0"/>
              <w:rPr>
                <w:sz w:val="8"/>
                <w:szCs w:val="8"/>
                <w:color w:val="auto"/>
              </w:rPr>
            </w:pPr>
          </w:p>
        </w:tc>
        <w:tc>
          <w:tcPr>
            <w:tcW w:w="6520" w:type="dxa"/>
            <w:vAlign w:val="bottom"/>
            <w:tcBorders>
              <w:bottom w:val="single" w:sz="8" w:color="0000FF"/>
            </w:tcBorders>
          </w:tcPr>
          <w:p>
            <w:pPr>
              <w:spacing w:after="0" w:line="98" w:lineRule="exact"/>
              <w:rPr>
                <w:rFonts w:ascii="Arial" w:cs="Arial" w:eastAsia="Arial" w:hAnsi="Arial"/>
                <w:sz w:val="11"/>
                <w:szCs w:val="11"/>
                <w:color w:val="0000FF"/>
                <w:highlight w:val="white"/>
              </w:rPr>
            </w:pPr>
            <w:hyperlink r:id="rId233">
              <w:r>
                <w:rPr>
                  <w:rFonts w:ascii="Arial" w:cs="Arial" w:eastAsia="Arial" w:hAnsi="Arial"/>
                  <w:sz w:val="11"/>
                  <w:szCs w:val="11"/>
                  <w:color w:val="0000FF"/>
                  <w:highlight w:val="white"/>
                </w:rPr>
                <w:t>Exhibit 10.2 to the Registrant’s Quarterly Report on Form 10-Q (File No. 001-38672) filed with the SEC on August 8, 2023).</w:t>
              </w:r>
            </w:hyperlink>
          </w:p>
        </w:tc>
        <w:tc>
          <w:tcPr>
            <w:tcW w:w="20" w:type="dxa"/>
            <w:vAlign w:val="bottom"/>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r>
      <w:tr>
        <w:trPr>
          <w:trHeight w:val="187"/>
        </w:trPr>
        <w:tc>
          <w:tcPr>
            <w:tcW w:w="1140" w:type="dxa"/>
            <w:vAlign w:val="bottom"/>
          </w:tcPr>
          <w:p>
            <w:pPr>
              <w:spacing w:after="0"/>
              <w:rPr>
                <w:sz w:val="20"/>
                <w:szCs w:val="20"/>
                <w:color w:val="auto"/>
              </w:rPr>
            </w:pPr>
            <w:r>
              <w:rPr>
                <w:rFonts w:ascii="Arial" w:cs="Arial" w:eastAsia="Arial" w:hAnsi="Arial"/>
                <w:sz w:val="12"/>
                <w:szCs w:val="12"/>
                <w:color w:val="auto"/>
              </w:rPr>
              <w:t>10.44†</w:t>
            </w:r>
          </w:p>
        </w:tc>
        <w:tc>
          <w:tcPr>
            <w:tcW w:w="8440" w:type="dxa"/>
            <w:vAlign w:val="bottom"/>
            <w:gridSpan w:val="10"/>
          </w:tcPr>
          <w:p>
            <w:pPr>
              <w:spacing w:after="0"/>
              <w:rPr>
                <w:rFonts w:ascii="Arial" w:cs="Arial" w:eastAsia="Arial" w:hAnsi="Arial"/>
                <w:sz w:val="12"/>
                <w:szCs w:val="12"/>
                <w:color w:val="0000FF"/>
              </w:rPr>
            </w:pPr>
            <w:hyperlink r:id="rId234">
              <w:r>
                <w:rPr>
                  <w:rFonts w:ascii="Arial" w:cs="Arial" w:eastAsia="Arial" w:hAnsi="Arial"/>
                  <w:sz w:val="12"/>
                  <w:szCs w:val="12"/>
                  <w:color w:val="0000FF"/>
                </w:rPr>
                <w:t>Amended and Restated IP Contribution Agreement between Arvinas Operations, Inc. and Oerth Bio LLC f/k/a Protag LLC, effective December 20, 2022</w:t>
              </w:r>
            </w:hyperlink>
          </w:p>
        </w:tc>
      </w:tr>
      <w:tr>
        <w:trPr>
          <w:trHeight w:val="20"/>
        </w:trPr>
        <w:tc>
          <w:tcPr>
            <w:tcW w:w="1140" w:type="dxa"/>
            <w:vAlign w:val="bottom"/>
          </w:tcPr>
          <w:p>
            <w:pPr>
              <w:spacing w:after="0" w:line="20" w:lineRule="exact"/>
              <w:rPr>
                <w:sz w:val="1"/>
                <w:szCs w:val="1"/>
                <w:color w:val="auto"/>
              </w:rPr>
            </w:pPr>
          </w:p>
        </w:tc>
        <w:tc>
          <w:tcPr>
            <w:tcW w:w="78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97"/>
        </w:trPr>
        <w:tc>
          <w:tcPr>
            <w:tcW w:w="1140" w:type="dxa"/>
            <w:vAlign w:val="bottom"/>
          </w:tcPr>
          <w:p>
            <w:pPr>
              <w:spacing w:after="0"/>
              <w:rPr>
                <w:sz w:val="8"/>
                <w:szCs w:val="8"/>
                <w:color w:val="auto"/>
              </w:rPr>
            </w:pPr>
          </w:p>
        </w:tc>
        <w:tc>
          <w:tcPr>
            <w:tcW w:w="8440" w:type="dxa"/>
            <w:vAlign w:val="bottom"/>
            <w:gridSpan w:val="10"/>
          </w:tcPr>
          <w:p>
            <w:pPr>
              <w:spacing w:after="0" w:line="97" w:lineRule="exact"/>
              <w:rPr>
                <w:rFonts w:ascii="Arial" w:cs="Arial" w:eastAsia="Arial" w:hAnsi="Arial"/>
                <w:sz w:val="11"/>
                <w:szCs w:val="11"/>
                <w:color w:val="0000FF"/>
              </w:rPr>
            </w:pPr>
            <w:hyperlink r:id="rId234">
              <w:r>
                <w:rPr>
                  <w:rFonts w:ascii="Arial" w:cs="Arial" w:eastAsia="Arial" w:hAnsi="Arial"/>
                  <w:sz w:val="11"/>
                  <w:szCs w:val="11"/>
                  <w:color w:val="0000FF"/>
                </w:rPr>
                <w:t>(incorporated by reference to Exhibit 10.34 to the Registrant’s Annual Report on Form 10-K (File No. 001-38672) filed with the SEC on February 23, 2023).</w:t>
              </w:r>
            </w:hyperlink>
          </w:p>
        </w:tc>
      </w:tr>
      <w:tr>
        <w:trPr>
          <w:trHeight w:val="178"/>
        </w:trPr>
        <w:tc>
          <w:tcPr>
            <w:tcW w:w="1140" w:type="dxa"/>
            <w:vAlign w:val="bottom"/>
          </w:tcPr>
          <w:p>
            <w:pPr>
              <w:spacing w:after="0"/>
              <w:rPr>
                <w:sz w:val="20"/>
                <w:szCs w:val="20"/>
                <w:color w:val="auto"/>
              </w:rPr>
            </w:pPr>
            <w:r>
              <w:rPr>
                <w:rFonts w:ascii="Arial" w:cs="Arial" w:eastAsia="Arial" w:hAnsi="Arial"/>
                <w:sz w:val="12"/>
                <w:szCs w:val="12"/>
                <w:color w:val="auto"/>
              </w:rPr>
              <w:t>10.45†</w:t>
            </w:r>
          </w:p>
        </w:tc>
        <w:tc>
          <w:tcPr>
            <w:tcW w:w="8200" w:type="dxa"/>
            <w:vAlign w:val="bottom"/>
            <w:tcBorders>
              <w:top w:val="single" w:sz="8" w:color="0000FF"/>
            </w:tcBorders>
            <w:gridSpan w:val="8"/>
          </w:tcPr>
          <w:p>
            <w:pPr>
              <w:spacing w:after="0"/>
              <w:rPr>
                <w:rFonts w:ascii="Arial" w:cs="Arial" w:eastAsia="Arial" w:hAnsi="Arial"/>
                <w:sz w:val="12"/>
                <w:szCs w:val="12"/>
                <w:color w:val="0000FF"/>
              </w:rPr>
            </w:pPr>
            <w:hyperlink r:id="rId235">
              <w:r>
                <w:rPr>
                  <w:rFonts w:ascii="Arial" w:cs="Arial" w:eastAsia="Arial" w:hAnsi="Arial"/>
                  <w:sz w:val="12"/>
                  <w:szCs w:val="12"/>
                  <w:color w:val="0000FF"/>
                </w:rPr>
                <w:t>Collaboration Agreement by and between Arvinas, Inc., Arvinas Operations, Inc., Arvinas Estrogen Receptor, Inc. and Pfizer, Inc., dated July 21, 2021</w:t>
              </w:r>
            </w:hyperlink>
          </w:p>
        </w:tc>
        <w:tc>
          <w:tcPr>
            <w:tcW w:w="240" w:type="dxa"/>
            <w:vAlign w:val="bottom"/>
            <w:gridSpan w:val="2"/>
          </w:tcPr>
          <w:p>
            <w:pPr>
              <w:spacing w:after="0"/>
              <w:rPr>
                <w:sz w:val="15"/>
                <w:szCs w:val="15"/>
                <w:color w:val="auto"/>
              </w:rPr>
            </w:pPr>
          </w:p>
        </w:tc>
      </w:tr>
      <w:tr>
        <w:trPr>
          <w:trHeight w:val="97"/>
        </w:trPr>
        <w:tc>
          <w:tcPr>
            <w:tcW w:w="1140" w:type="dxa"/>
            <w:vAlign w:val="bottom"/>
          </w:tcPr>
          <w:p>
            <w:pPr>
              <w:spacing w:after="0"/>
              <w:rPr>
                <w:sz w:val="8"/>
                <w:szCs w:val="8"/>
                <w:color w:val="auto"/>
              </w:rPr>
            </w:pPr>
          </w:p>
        </w:tc>
        <w:tc>
          <w:tcPr>
            <w:tcW w:w="7800" w:type="dxa"/>
            <w:vAlign w:val="bottom"/>
            <w:tcBorders>
              <w:top w:val="single" w:sz="8" w:color="0000FF"/>
              <w:bottom w:val="single" w:sz="8" w:color="0000FF"/>
            </w:tcBorders>
            <w:gridSpan w:val="5"/>
          </w:tcPr>
          <w:p>
            <w:pPr>
              <w:spacing w:after="0" w:line="97" w:lineRule="exact"/>
              <w:rPr>
                <w:rFonts w:ascii="Arial" w:cs="Arial" w:eastAsia="Arial" w:hAnsi="Arial"/>
                <w:sz w:val="11"/>
                <w:szCs w:val="11"/>
                <w:color w:val="0000FF"/>
              </w:rPr>
            </w:pPr>
            <w:hyperlink r:id="rId235">
              <w:r>
                <w:rPr>
                  <w:rFonts w:ascii="Arial" w:cs="Arial" w:eastAsia="Arial" w:hAnsi="Arial"/>
                  <w:sz w:val="11"/>
                  <w:szCs w:val="11"/>
                  <w:color w:val="0000FF"/>
                </w:rPr>
                <w:t>(incorporated by reference to Exhibit 10.1 to the Registrant's Current Report on Form 8-K (File No. 001-38672) filed with the SEC on July 22, 2021)</w:t>
              </w:r>
            </w:hyperlink>
          </w:p>
        </w:tc>
        <w:tc>
          <w:tcPr>
            <w:tcW w:w="140" w:type="dxa"/>
            <w:vAlign w:val="bottom"/>
            <w:tcBorders>
              <w:top w:val="single" w:sz="8" w:color="0000FF"/>
            </w:tcBorders>
          </w:tcPr>
          <w:p>
            <w:pPr>
              <w:spacing w:after="0"/>
              <w:rPr>
                <w:sz w:val="8"/>
                <w:szCs w:val="8"/>
                <w:color w:val="auto"/>
              </w:rPr>
            </w:pPr>
          </w:p>
        </w:tc>
        <w:tc>
          <w:tcPr>
            <w:tcW w:w="500" w:type="dxa"/>
            <w:vAlign w:val="bottom"/>
            <w:gridSpan w:val="4"/>
          </w:tcPr>
          <w:p>
            <w:pPr>
              <w:spacing w:after="0"/>
              <w:rPr>
                <w:sz w:val="8"/>
                <w:szCs w:val="8"/>
                <w:color w:val="auto"/>
              </w:rPr>
            </w:pPr>
          </w:p>
        </w:tc>
      </w:tr>
    </w:tbl>
    <w:p>
      <w:pPr>
        <w:spacing w:after="0" w:line="59" w:lineRule="exact"/>
        <w:rPr>
          <w:sz w:val="20"/>
          <w:szCs w:val="20"/>
          <w:color w:val="auto"/>
        </w:rPr>
      </w:pPr>
    </w:p>
    <w:p>
      <w:pPr>
        <w:sectPr>
          <w:pgSz w:w="11900" w:h="16838" w:orient="portrait"/>
          <w:cols w:equalWidth="0" w:num="1">
            <w:col w:w="11300"/>
          </w:cols>
          <w:pgMar w:left="300" w:top="829" w:right="299" w:bottom="1440" w:gutter="0" w:footer="0" w:header="0"/>
        </w:sectPr>
      </w:pPr>
    </w:p>
    <w:p>
      <w:pPr>
        <w:spacing w:after="0" w:line="9"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10.46†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10.47†</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10.48†</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10.49†</w:t>
      </w:r>
    </w:p>
    <w:p>
      <w:pPr>
        <w:spacing w:after="0" w:line="20" w:lineRule="exact"/>
        <w:rPr>
          <w:sz w:val="20"/>
          <w:szCs w:val="20"/>
          <w:color w:val="auto"/>
        </w:rPr>
      </w:pPr>
      <w:r>
        <w:rPr>
          <w:sz w:val="20"/>
          <w:szCs w:val="20"/>
          <w:color w:val="auto"/>
        </w:rPr>
        <w:br w:type="column"/>
      </w:r>
    </w:p>
    <w:p>
      <w:pPr>
        <w:ind w:right="1820"/>
        <w:spacing w:after="0" w:line="239" w:lineRule="auto"/>
        <w:rPr>
          <w:rFonts w:ascii="Arial" w:cs="Arial" w:eastAsia="Arial" w:hAnsi="Arial"/>
          <w:sz w:val="12"/>
          <w:szCs w:val="12"/>
          <w:u w:val="single" w:color="auto"/>
          <w:color w:val="0000FF"/>
          <w:highlight w:val="white"/>
        </w:rPr>
      </w:pPr>
      <w:hyperlink r:id="rId236">
        <w:r>
          <w:rPr>
            <w:rFonts w:ascii="Arial" w:cs="Arial" w:eastAsia="Arial" w:hAnsi="Arial"/>
            <w:sz w:val="12"/>
            <w:szCs w:val="12"/>
            <w:color w:val="0000FF"/>
          </w:rPr>
          <w:t>Master In Vitro Diagnostics Agreement between Foundation Medicine, Inc. and Arvinas Ope</w:t>
        </w:r>
        <w:r>
          <w:rPr>
            <w:rFonts w:ascii="Arial" w:cs="Arial" w:eastAsia="Arial" w:hAnsi="Arial"/>
            <w:sz w:val="12"/>
            <w:szCs w:val="12"/>
            <w:u w:val="single" w:color="auto"/>
            <w:color w:val="0000FF"/>
          </w:rPr>
          <w:t>rations, Inc., dated June 4, 2022 Exhibit 10.1 to the Registrant’s</w:t>
        </w:r>
      </w:hyperlink>
      <w:r>
        <w:rPr>
          <w:rFonts w:ascii="Arial" w:cs="Arial" w:eastAsia="Arial" w:hAnsi="Arial"/>
          <w:sz w:val="12"/>
          <w:szCs w:val="12"/>
          <w:color w:val="0000FF"/>
        </w:rPr>
        <w:t xml:space="preserve"> </w:t>
      </w:r>
      <w:hyperlink r:id="rId236">
        <w:r>
          <w:rPr>
            <w:rFonts w:ascii="Arial" w:cs="Arial" w:eastAsia="Arial" w:hAnsi="Arial"/>
            <w:sz w:val="12"/>
            <w:szCs w:val="12"/>
            <w:u w:val="single" w:color="auto"/>
            <w:color w:val="0000FF"/>
            <w:highlight w:val="white"/>
          </w:rPr>
          <w:t>Quarterly Report on Form 10-Q (File No. 001-38672) filed with the SEC on August 4, 2022).</w:t>
        </w:r>
      </w:hyperlink>
    </w:p>
    <w:p>
      <w:pPr>
        <w:spacing w:after="0" w:line="94" w:lineRule="exact"/>
        <w:rPr>
          <w:sz w:val="20"/>
          <w:szCs w:val="20"/>
          <w:color w:val="auto"/>
        </w:rPr>
      </w:pPr>
    </w:p>
    <w:p>
      <w:pPr>
        <w:ind w:right="1700"/>
        <w:spacing w:after="0" w:line="270" w:lineRule="auto"/>
        <w:rPr>
          <w:rFonts w:ascii="Arial" w:cs="Arial" w:eastAsia="Arial" w:hAnsi="Arial"/>
          <w:sz w:val="12"/>
          <w:szCs w:val="12"/>
          <w:u w:val="single" w:color="auto"/>
          <w:color w:val="0000FF"/>
        </w:rPr>
      </w:pPr>
      <w:hyperlink r:id="rId237">
        <w:r>
          <w:rPr>
            <w:rFonts w:ascii="Arial" w:cs="Arial" w:eastAsia="Arial" w:hAnsi="Arial"/>
            <w:sz w:val="12"/>
            <w:szCs w:val="12"/>
            <w:u w:val="single" w:color="auto"/>
            <w:color w:val="0000FF"/>
          </w:rPr>
          <w:t>Stock Purchase Agreement between the Registrant and Bayer AG, dated June 3, 2019 (incorporated by reference to Exhibit 10.5 to the Registrant’s Quarterly</w:t>
        </w:r>
      </w:hyperlink>
      <w:r>
        <w:rPr>
          <w:rFonts w:ascii="Arial" w:cs="Arial" w:eastAsia="Arial" w:hAnsi="Arial"/>
          <w:sz w:val="12"/>
          <w:szCs w:val="12"/>
          <w:u w:val="single" w:color="auto"/>
          <w:color w:val="0000FF"/>
        </w:rPr>
        <w:t xml:space="preserve"> </w:t>
      </w:r>
      <w:hyperlink r:id="rId237">
        <w:r>
          <w:rPr>
            <w:rFonts w:ascii="Arial" w:cs="Arial" w:eastAsia="Arial" w:hAnsi="Arial"/>
            <w:sz w:val="12"/>
            <w:szCs w:val="12"/>
            <w:u w:val="single" w:color="auto"/>
            <w:color w:val="0000FF"/>
          </w:rPr>
          <w:t>Report on Form 10-Q (File No. 001-38672) filed with the SEC on August 5, 2019).</w:t>
        </w:r>
      </w:hyperlink>
    </w:p>
    <w:p>
      <w:pPr>
        <w:spacing w:after="0" w:line="50" w:lineRule="exact"/>
        <w:rPr>
          <w:sz w:val="20"/>
          <w:szCs w:val="20"/>
          <w:color w:val="auto"/>
        </w:rPr>
      </w:pPr>
    </w:p>
    <w:p>
      <w:pPr>
        <w:ind w:right="1700"/>
        <w:spacing w:after="0" w:line="270" w:lineRule="auto"/>
        <w:rPr>
          <w:rFonts w:ascii="Arial" w:cs="Arial" w:eastAsia="Arial" w:hAnsi="Arial"/>
          <w:sz w:val="12"/>
          <w:szCs w:val="12"/>
          <w:u w:val="single" w:color="auto"/>
          <w:color w:val="0000FF"/>
        </w:rPr>
      </w:pPr>
      <w:hyperlink r:id="rId238">
        <w:r>
          <w:rPr>
            <w:rFonts w:ascii="Arial" w:cs="Arial" w:eastAsia="Arial" w:hAnsi="Arial"/>
            <w:sz w:val="12"/>
            <w:szCs w:val="12"/>
            <w:u w:val="single" w:color="auto"/>
            <w:color w:val="0000FF"/>
          </w:rPr>
          <w:t>Investor Agreement between the Registrant and Bayer AG, dated July 16, 2019 (incorporated by reference to Exhibit 10.6 to the Registrant’s Quarterly Report</w:t>
        </w:r>
      </w:hyperlink>
      <w:r>
        <w:rPr>
          <w:rFonts w:ascii="Arial" w:cs="Arial" w:eastAsia="Arial" w:hAnsi="Arial"/>
          <w:sz w:val="12"/>
          <w:szCs w:val="12"/>
          <w:u w:val="single" w:color="auto"/>
          <w:color w:val="0000FF"/>
        </w:rPr>
        <w:t xml:space="preserve"> </w:t>
      </w:r>
      <w:hyperlink r:id="rId238">
        <w:r>
          <w:rPr>
            <w:rFonts w:ascii="Arial" w:cs="Arial" w:eastAsia="Arial" w:hAnsi="Arial"/>
            <w:sz w:val="12"/>
            <w:szCs w:val="12"/>
            <w:u w:val="single" w:color="auto"/>
            <w:color w:val="0000FF"/>
          </w:rPr>
          <w:t>on Form 10-Q (File No. 001-38672) filed with the SEC on August 5, 2019).</w:t>
        </w:r>
      </w:hyperlink>
    </w:p>
    <w:p>
      <w:pPr>
        <w:spacing w:after="0" w:line="32" w:lineRule="exact"/>
        <w:rPr>
          <w:sz w:val="20"/>
          <w:szCs w:val="20"/>
          <w:color w:val="auto"/>
        </w:rPr>
      </w:pPr>
    </w:p>
    <w:p>
      <w:pPr>
        <w:ind w:right="1840"/>
        <w:spacing w:after="0" w:line="239" w:lineRule="auto"/>
        <w:rPr>
          <w:rFonts w:ascii="Arial" w:cs="Arial" w:eastAsia="Arial" w:hAnsi="Arial"/>
          <w:sz w:val="12"/>
          <w:szCs w:val="12"/>
          <w:u w:val="single" w:color="auto"/>
          <w:color w:val="0000FF"/>
        </w:rPr>
      </w:pPr>
      <w:hyperlink r:id="rId239">
        <w:r>
          <w:rPr>
            <w:rFonts w:ascii="Arial" w:cs="Arial" w:eastAsia="Arial" w:hAnsi="Arial"/>
            <w:sz w:val="12"/>
            <w:szCs w:val="12"/>
            <w:u w:val="single" w:color="auto"/>
            <w:color w:val="0000FF"/>
          </w:rPr>
          <w:t>Stock Purchase Agreement, dated July 21, 2021, by and between Arvinas, Inc. and Pfizer, Inc. (incorporated by reference to Exhibit 10.2 to the Registrant's</w:t>
        </w:r>
      </w:hyperlink>
      <w:r>
        <w:rPr>
          <w:rFonts w:ascii="Arial" w:cs="Arial" w:eastAsia="Arial" w:hAnsi="Arial"/>
          <w:sz w:val="12"/>
          <w:szCs w:val="12"/>
          <w:u w:val="single" w:color="auto"/>
          <w:color w:val="0000FF"/>
        </w:rPr>
        <w:t xml:space="preserve"> </w:t>
      </w:r>
      <w:hyperlink r:id="rId239">
        <w:r>
          <w:rPr>
            <w:rFonts w:ascii="Arial" w:cs="Arial" w:eastAsia="Arial" w:hAnsi="Arial"/>
            <w:sz w:val="12"/>
            <w:szCs w:val="12"/>
            <w:u w:val="single" w:color="auto"/>
            <w:color w:val="0000FF"/>
          </w:rPr>
          <w:t>Current Report on Form 8-K (File No. 001-38672) filed with the SEC on July 22, 2021).</w:t>
        </w:r>
      </w:hyperlink>
    </w:p>
    <w:p>
      <w:pPr>
        <w:spacing w:after="0" w:line="32" w:lineRule="exact"/>
        <w:rPr>
          <w:sz w:val="20"/>
          <w:szCs w:val="20"/>
          <w:color w:val="auto"/>
        </w:rPr>
      </w:pPr>
    </w:p>
    <w:p>
      <w:pPr>
        <w:sectPr>
          <w:pgSz w:w="11900" w:h="16838" w:orient="portrait"/>
          <w:cols w:equalWidth="0" w:num="2">
            <w:col w:w="500" w:space="720"/>
            <w:col w:w="10080"/>
          </w:cols>
          <w:pgMar w:left="300" w:top="829" w:right="299" w:bottom="1440" w:gutter="0" w:footer="0" w:header="0"/>
          <w:type w:val="continuous"/>
        </w:sectPr>
      </w:pPr>
    </w:p>
    <w:tbl>
      <w:tblPr>
        <w:tblLayout w:type="fixed"/>
        <w:tblInd w:w="80" w:type="dxa"/>
        <w:tblCellMar>
          <w:top w:w="0" w:type="dxa"/>
          <w:left w:w="0" w:type="dxa"/>
          <w:bottom w:w="0" w:type="dxa"/>
          <w:right w:w="0" w:type="dxa"/>
        </w:tblCellMar>
      </w:tblPr>
      <w:tr>
        <w:trPr>
          <w:trHeight w:val="138"/>
        </w:trPr>
        <w:tc>
          <w:tcPr>
            <w:tcW w:w="1140" w:type="dxa"/>
            <w:vAlign w:val="bottom"/>
          </w:tcPr>
          <w:p>
            <w:pPr>
              <w:spacing w:after="0"/>
              <w:rPr>
                <w:sz w:val="20"/>
                <w:szCs w:val="20"/>
                <w:color w:val="auto"/>
              </w:rPr>
            </w:pPr>
            <w:r>
              <w:rPr>
                <w:rFonts w:ascii="Arial" w:cs="Arial" w:eastAsia="Arial" w:hAnsi="Arial"/>
                <w:sz w:val="12"/>
                <w:szCs w:val="12"/>
                <w:color w:val="auto"/>
              </w:rPr>
              <w:t>10.50†</w:t>
            </w:r>
          </w:p>
        </w:tc>
        <w:tc>
          <w:tcPr>
            <w:tcW w:w="8380" w:type="dxa"/>
            <w:vAlign w:val="bottom"/>
            <w:gridSpan w:val="9"/>
          </w:tcPr>
          <w:p>
            <w:pPr>
              <w:spacing w:after="0"/>
              <w:rPr>
                <w:rFonts w:ascii="Arial" w:cs="Arial" w:eastAsia="Arial" w:hAnsi="Arial"/>
                <w:sz w:val="12"/>
                <w:szCs w:val="12"/>
                <w:color w:val="0000FF"/>
              </w:rPr>
            </w:pPr>
            <w:hyperlink r:id="rId240">
              <w:r>
                <w:rPr>
                  <w:rFonts w:ascii="Arial" w:cs="Arial" w:eastAsia="Arial" w:hAnsi="Arial"/>
                  <w:sz w:val="12"/>
                  <w:szCs w:val="12"/>
                  <w:color w:val="0000FF"/>
                </w:rPr>
                <w:t>Investor Agreement, dated July 21, 2021, by and between Arvinas, Inc. and Pfizer, Inc. (incorporated by reference to Exhibit 10.3 to the Registrant's Current</w:t>
              </w:r>
            </w:hyperlink>
          </w:p>
        </w:tc>
      </w:tr>
      <w:tr>
        <w:trPr>
          <w:trHeight w:val="97"/>
        </w:trPr>
        <w:tc>
          <w:tcPr>
            <w:tcW w:w="1140" w:type="dxa"/>
            <w:vAlign w:val="bottom"/>
          </w:tcPr>
          <w:p>
            <w:pPr>
              <w:spacing w:after="0"/>
              <w:rPr>
                <w:sz w:val="8"/>
                <w:szCs w:val="8"/>
                <w:color w:val="auto"/>
              </w:rPr>
            </w:pPr>
          </w:p>
        </w:tc>
        <w:tc>
          <w:tcPr>
            <w:tcW w:w="8260" w:type="dxa"/>
            <w:vAlign w:val="bottom"/>
            <w:tcBorders>
              <w:top w:val="single" w:sz="8" w:color="0000FF"/>
            </w:tcBorders>
            <w:gridSpan w:val="8"/>
          </w:tcPr>
          <w:p>
            <w:pPr>
              <w:spacing w:after="0" w:line="97" w:lineRule="exact"/>
              <w:rPr>
                <w:rFonts w:ascii="Arial" w:cs="Arial" w:eastAsia="Arial" w:hAnsi="Arial"/>
                <w:sz w:val="11"/>
                <w:szCs w:val="11"/>
                <w:color w:val="0000FF"/>
              </w:rPr>
            </w:pPr>
            <w:hyperlink r:id="rId240">
              <w:r>
                <w:rPr>
                  <w:rFonts w:ascii="Arial" w:cs="Arial" w:eastAsia="Arial" w:hAnsi="Arial"/>
                  <w:sz w:val="11"/>
                  <w:szCs w:val="11"/>
                  <w:color w:val="0000FF"/>
                </w:rPr>
                <w:t>Report on Form 8-K (File No. 001-38672) filed with the SEC on July 22, 2021).</w:t>
              </w:r>
            </w:hyperlink>
          </w:p>
        </w:tc>
        <w:tc>
          <w:tcPr>
            <w:tcW w:w="1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77"/>
        </w:trPr>
        <w:tc>
          <w:tcPr>
            <w:tcW w:w="1140" w:type="dxa"/>
            <w:vAlign w:val="bottom"/>
          </w:tcPr>
          <w:p>
            <w:pPr>
              <w:spacing w:after="0"/>
              <w:rPr>
                <w:sz w:val="20"/>
                <w:szCs w:val="20"/>
                <w:color w:val="auto"/>
              </w:rPr>
            </w:pPr>
            <w:r>
              <w:rPr>
                <w:rFonts w:ascii="Arial" w:cs="Arial" w:eastAsia="Arial" w:hAnsi="Arial"/>
                <w:sz w:val="12"/>
                <w:szCs w:val="12"/>
                <w:color w:val="auto"/>
              </w:rPr>
              <w:t>10.51</w:t>
            </w:r>
          </w:p>
        </w:tc>
        <w:tc>
          <w:tcPr>
            <w:tcW w:w="8380" w:type="dxa"/>
            <w:vAlign w:val="bottom"/>
            <w:gridSpan w:val="9"/>
          </w:tcPr>
          <w:p>
            <w:pPr>
              <w:spacing w:after="0"/>
              <w:rPr>
                <w:rFonts w:ascii="Arial" w:cs="Arial" w:eastAsia="Arial" w:hAnsi="Arial"/>
                <w:sz w:val="12"/>
                <w:szCs w:val="12"/>
                <w:color w:val="0000FF"/>
              </w:rPr>
            </w:pPr>
            <w:hyperlink r:id="rId241">
              <w:r>
                <w:rPr>
                  <w:rFonts w:ascii="Arial" w:cs="Arial" w:eastAsia="Arial" w:hAnsi="Arial"/>
                  <w:sz w:val="12"/>
                  <w:szCs w:val="12"/>
                  <w:color w:val="0000FF"/>
                </w:rPr>
                <w:t>Amended and Restated Equity Distribution Agreement, dated November 7, 2023, by and among Arvinas, Inc., Piper Sandler &amp; Co. and Cantor Fitzgerald &amp;</w:t>
              </w:r>
            </w:hyperlink>
          </w:p>
        </w:tc>
      </w:tr>
      <w:tr>
        <w:trPr>
          <w:trHeight w:val="98"/>
        </w:trPr>
        <w:tc>
          <w:tcPr>
            <w:tcW w:w="1140" w:type="dxa"/>
            <w:vAlign w:val="bottom"/>
          </w:tcPr>
          <w:p>
            <w:pPr>
              <w:spacing w:after="0"/>
              <w:rPr>
                <w:sz w:val="8"/>
                <w:szCs w:val="8"/>
                <w:color w:val="auto"/>
              </w:rPr>
            </w:pPr>
          </w:p>
        </w:tc>
        <w:tc>
          <w:tcPr>
            <w:tcW w:w="8220" w:type="dxa"/>
            <w:vAlign w:val="bottom"/>
            <w:tcBorders>
              <w:top w:val="single" w:sz="8" w:color="0000FF"/>
              <w:bottom w:val="single" w:sz="8" w:color="0000FF"/>
            </w:tcBorders>
            <w:gridSpan w:val="6"/>
          </w:tcPr>
          <w:p>
            <w:pPr>
              <w:spacing w:after="0" w:line="98" w:lineRule="exact"/>
              <w:rPr>
                <w:rFonts w:ascii="Arial" w:cs="Arial" w:eastAsia="Arial" w:hAnsi="Arial"/>
                <w:sz w:val="11"/>
                <w:szCs w:val="11"/>
                <w:color w:val="0000FF"/>
              </w:rPr>
            </w:pPr>
            <w:hyperlink r:id="rId241">
              <w:r>
                <w:rPr>
                  <w:rFonts w:ascii="Arial" w:cs="Arial" w:eastAsia="Arial" w:hAnsi="Arial"/>
                  <w:sz w:val="11"/>
                  <w:szCs w:val="11"/>
                  <w:color w:val="0000FF"/>
                </w:rPr>
                <w:t>Co. (incorporated by reference to Exhibit 1.2 to the Registrant's Registration Statement on Form S-3 (File No. 333-275377) filed with the SEC on November</w:t>
              </w:r>
            </w:hyperlink>
          </w:p>
        </w:tc>
        <w:tc>
          <w:tcPr>
            <w:tcW w:w="160" w:type="dxa"/>
            <w:vAlign w:val="bottom"/>
            <w:tcBorders>
              <w:bottom w:val="single" w:sz="8" w:color="0000FF"/>
            </w:tcBorders>
            <w:gridSpan w:val="3"/>
          </w:tcPr>
          <w:p>
            <w:pPr>
              <w:jc w:val="right"/>
              <w:spacing w:after="0" w:line="98" w:lineRule="exact"/>
              <w:rPr>
                <w:rFonts w:ascii="Arial" w:cs="Arial" w:eastAsia="Arial" w:hAnsi="Arial"/>
                <w:sz w:val="11"/>
                <w:szCs w:val="11"/>
                <w:color w:val="0000FF"/>
              </w:rPr>
            </w:pPr>
            <w:hyperlink r:id="rId241">
              <w:r>
                <w:rPr>
                  <w:rFonts w:ascii="Arial" w:cs="Arial" w:eastAsia="Arial" w:hAnsi="Arial"/>
                  <w:sz w:val="11"/>
                  <w:szCs w:val="11"/>
                  <w:color w:val="0000FF"/>
                </w:rPr>
                <w:t>7,</w:t>
              </w:r>
            </w:hyperlink>
          </w:p>
        </w:tc>
      </w:tr>
      <w:tr>
        <w:trPr>
          <w:trHeight w:val="106"/>
        </w:trPr>
        <w:tc>
          <w:tcPr>
            <w:tcW w:w="1140" w:type="dxa"/>
            <w:vAlign w:val="bottom"/>
          </w:tcPr>
          <w:p>
            <w:pPr>
              <w:spacing w:after="0"/>
              <w:rPr>
                <w:sz w:val="9"/>
                <w:szCs w:val="9"/>
                <w:color w:val="auto"/>
              </w:rPr>
            </w:pPr>
          </w:p>
        </w:tc>
        <w:tc>
          <w:tcPr>
            <w:tcW w:w="340" w:type="dxa"/>
            <w:vAlign w:val="bottom"/>
            <w:tcBorders>
              <w:bottom w:val="single" w:sz="8" w:color="0000FF"/>
            </w:tcBorders>
          </w:tcPr>
          <w:p>
            <w:pPr>
              <w:spacing w:after="0" w:line="106" w:lineRule="exact"/>
              <w:rPr>
                <w:rFonts w:ascii="Arial" w:cs="Arial" w:eastAsia="Arial" w:hAnsi="Arial"/>
                <w:sz w:val="12"/>
                <w:szCs w:val="12"/>
                <w:color w:val="0000FF"/>
                <w:w w:val="93"/>
              </w:rPr>
            </w:pPr>
            <w:hyperlink r:id="rId241">
              <w:r>
                <w:rPr>
                  <w:rFonts w:ascii="Arial" w:cs="Arial" w:eastAsia="Arial" w:hAnsi="Arial"/>
                  <w:sz w:val="12"/>
                  <w:szCs w:val="12"/>
                  <w:color w:val="0000FF"/>
                  <w:w w:val="93"/>
                </w:rPr>
                <w:t>2023).</w:t>
              </w:r>
            </w:hyperlink>
          </w:p>
        </w:tc>
        <w:tc>
          <w:tcPr>
            <w:tcW w:w="3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9"/>
        </w:trPr>
        <w:tc>
          <w:tcPr>
            <w:tcW w:w="1140" w:type="dxa"/>
            <w:vAlign w:val="bottom"/>
          </w:tcPr>
          <w:p>
            <w:pPr>
              <w:spacing w:after="0"/>
              <w:rPr>
                <w:sz w:val="20"/>
                <w:szCs w:val="20"/>
                <w:color w:val="auto"/>
              </w:rPr>
            </w:pPr>
            <w:r>
              <w:rPr>
                <w:rFonts w:ascii="Arial" w:cs="Arial" w:eastAsia="Arial" w:hAnsi="Arial"/>
                <w:sz w:val="12"/>
                <w:szCs w:val="12"/>
                <w:color w:val="auto"/>
              </w:rPr>
              <w:t>10.51</w:t>
            </w:r>
          </w:p>
        </w:tc>
        <w:tc>
          <w:tcPr>
            <w:tcW w:w="8380" w:type="dxa"/>
            <w:vAlign w:val="bottom"/>
            <w:gridSpan w:val="9"/>
          </w:tcPr>
          <w:p>
            <w:pPr>
              <w:spacing w:after="0"/>
              <w:rPr>
                <w:rFonts w:ascii="Arial" w:cs="Arial" w:eastAsia="Arial" w:hAnsi="Arial"/>
                <w:sz w:val="12"/>
                <w:szCs w:val="12"/>
                <w:color w:val="0000FF"/>
              </w:rPr>
            </w:pPr>
            <w:hyperlink r:id="rId242">
              <w:r>
                <w:rPr>
                  <w:rFonts w:ascii="Arial" w:cs="Arial" w:eastAsia="Arial" w:hAnsi="Arial"/>
                  <w:sz w:val="12"/>
                  <w:szCs w:val="12"/>
                  <w:color w:val="0000FF"/>
                </w:rPr>
                <w:t>Securities Purchase Agreement, dated November 24, 2023, by and among the Company and the other parties thereto (incorporated by reference to Exhibit</w:t>
              </w:r>
            </w:hyperlink>
          </w:p>
        </w:tc>
      </w:tr>
      <w:tr>
        <w:trPr>
          <w:trHeight w:val="97"/>
        </w:trPr>
        <w:tc>
          <w:tcPr>
            <w:tcW w:w="1140" w:type="dxa"/>
            <w:vAlign w:val="bottom"/>
          </w:tcPr>
          <w:p>
            <w:pPr>
              <w:spacing w:after="0"/>
              <w:rPr>
                <w:sz w:val="8"/>
                <w:szCs w:val="8"/>
                <w:color w:val="auto"/>
              </w:rPr>
            </w:pPr>
          </w:p>
        </w:tc>
        <w:tc>
          <w:tcPr>
            <w:tcW w:w="8240" w:type="dxa"/>
            <w:vAlign w:val="bottom"/>
            <w:tcBorders>
              <w:top w:val="single" w:sz="8" w:color="0000FF"/>
            </w:tcBorders>
            <w:gridSpan w:val="7"/>
          </w:tcPr>
          <w:p>
            <w:pPr>
              <w:spacing w:after="0" w:line="97" w:lineRule="exact"/>
              <w:rPr>
                <w:rFonts w:ascii="Arial" w:cs="Arial" w:eastAsia="Arial" w:hAnsi="Arial"/>
                <w:sz w:val="11"/>
                <w:szCs w:val="11"/>
                <w:color w:val="0000FF"/>
              </w:rPr>
            </w:pPr>
            <w:hyperlink r:id="rId242">
              <w:r>
                <w:rPr>
                  <w:rFonts w:ascii="Arial" w:cs="Arial" w:eastAsia="Arial" w:hAnsi="Arial"/>
                  <w:sz w:val="11"/>
                  <w:szCs w:val="11"/>
                  <w:color w:val="0000FF"/>
                </w:rPr>
                <w:t>10.</w:t>
              </w:r>
              <w:r>
                <w:rPr>
                  <w:rFonts w:ascii="Arial" w:cs="Arial" w:eastAsia="Arial" w:hAnsi="Arial"/>
                  <w:sz w:val="11"/>
                  <w:szCs w:val="11"/>
                  <w:u w:val="single" w:color="auto"/>
                  <w:color w:val="0000FF"/>
                </w:rPr>
                <w:t>1</w:t>
              </w:r>
              <w:r>
                <w:rPr>
                  <w:rFonts w:ascii="Arial" w:cs="Arial" w:eastAsia="Arial" w:hAnsi="Arial"/>
                  <w:sz w:val="11"/>
                  <w:szCs w:val="11"/>
                  <w:color w:val="0000FF"/>
                </w:rPr>
                <w:t xml:space="preserve"> to the Registrant's Current Report on Form 8-K (File No. 001-38672) filed with the SEC on November 27, 2023).</w:t>
              </w:r>
            </w:hyperlink>
          </w:p>
        </w:tc>
        <w:tc>
          <w:tcPr>
            <w:tcW w:w="140" w:type="dxa"/>
            <w:vAlign w:val="bottom"/>
            <w:gridSpan w:val="2"/>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gridSpan w:val="3"/>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78"/>
        </w:trPr>
        <w:tc>
          <w:tcPr>
            <w:tcW w:w="1140" w:type="dxa"/>
            <w:vAlign w:val="bottom"/>
          </w:tcPr>
          <w:p>
            <w:pPr>
              <w:spacing w:after="0"/>
              <w:rPr>
                <w:sz w:val="20"/>
                <w:szCs w:val="20"/>
                <w:color w:val="auto"/>
              </w:rPr>
            </w:pPr>
            <w:r>
              <w:rPr>
                <w:rFonts w:ascii="Arial" w:cs="Arial" w:eastAsia="Arial" w:hAnsi="Arial"/>
                <w:sz w:val="12"/>
                <w:szCs w:val="12"/>
                <w:color w:val="auto"/>
              </w:rPr>
              <w:t>10.53†</w:t>
            </w:r>
          </w:p>
        </w:tc>
        <w:tc>
          <w:tcPr>
            <w:tcW w:w="8380" w:type="dxa"/>
            <w:vAlign w:val="bottom"/>
            <w:gridSpan w:val="9"/>
          </w:tcPr>
          <w:p>
            <w:pPr>
              <w:spacing w:after="0"/>
              <w:rPr>
                <w:rFonts w:ascii="Arial" w:cs="Arial" w:eastAsia="Arial" w:hAnsi="Arial"/>
                <w:sz w:val="12"/>
                <w:szCs w:val="12"/>
                <w:color w:val="0000FF"/>
              </w:rPr>
            </w:pPr>
            <w:hyperlink r:id="rId243">
              <w:r>
                <w:rPr>
                  <w:rFonts w:ascii="Arial" w:cs="Arial" w:eastAsia="Arial" w:hAnsi="Arial"/>
                  <w:sz w:val="12"/>
                  <w:szCs w:val="12"/>
                  <w:color w:val="0000FF"/>
                </w:rPr>
                <w:t>License Agreement by and among Arvinas, Inc., Arvinas Operations, Inc., Arvinas Androgen Receptor, Inc. and Novartis Pharma AG, dated April 10, 2024</w:t>
              </w:r>
            </w:hyperlink>
          </w:p>
        </w:tc>
      </w:tr>
      <w:tr>
        <w:trPr>
          <w:trHeight w:val="97"/>
        </w:trPr>
        <w:tc>
          <w:tcPr>
            <w:tcW w:w="1140" w:type="dxa"/>
            <w:vAlign w:val="bottom"/>
          </w:tcPr>
          <w:p>
            <w:pPr>
              <w:spacing w:after="0"/>
              <w:rPr>
                <w:sz w:val="8"/>
                <w:szCs w:val="8"/>
                <w:color w:val="auto"/>
              </w:rPr>
            </w:pPr>
          </w:p>
        </w:tc>
        <w:tc>
          <w:tcPr>
            <w:tcW w:w="8180" w:type="dxa"/>
            <w:vAlign w:val="bottom"/>
            <w:tcBorders>
              <w:top w:val="single" w:sz="8" w:color="0000FF"/>
            </w:tcBorders>
            <w:gridSpan w:val="5"/>
          </w:tcPr>
          <w:p>
            <w:pPr>
              <w:spacing w:after="0" w:line="97" w:lineRule="exact"/>
              <w:rPr>
                <w:rFonts w:ascii="Arial" w:cs="Arial" w:eastAsia="Arial" w:hAnsi="Arial"/>
                <w:sz w:val="11"/>
                <w:szCs w:val="11"/>
                <w:color w:val="0000FF"/>
              </w:rPr>
            </w:pPr>
            <w:hyperlink r:id="rId243">
              <w:r>
                <w:rPr>
                  <w:rFonts w:ascii="Arial" w:cs="Arial" w:eastAsia="Arial" w:hAnsi="Arial"/>
                  <w:sz w:val="11"/>
                  <w:szCs w:val="11"/>
                  <w:color w:val="0000FF"/>
                </w:rPr>
                <w:t>(incorporated by reference to Exhibit 10.4 to the Registrant's Quarterly Report on Form 10-Q (File No. 001-38672) filed with the SEC on July 30, 2024).</w:t>
              </w:r>
            </w:hyperlink>
          </w:p>
        </w:tc>
        <w:tc>
          <w:tcPr>
            <w:tcW w:w="200" w:type="dxa"/>
            <w:vAlign w:val="bottom"/>
            <w:gridSpan w:val="4"/>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1">
            <w:col w:w="11300"/>
          </w:cols>
          <w:pgMar w:left="300" w:top="829" w:right="299" w:bottom="1440" w:gutter="0" w:footer="0" w:header="0"/>
          <w:type w:val="continuous"/>
        </w:sectPr>
      </w:pPr>
    </w:p>
    <w:p>
      <w:pPr>
        <w:spacing w:after="0" w:line="9" w:lineRule="exact"/>
        <w:rPr>
          <w:sz w:val="20"/>
          <w:szCs w:val="20"/>
          <w:color w:val="auto"/>
        </w:rPr>
      </w:pPr>
    </w:p>
    <w:p>
      <w:pPr>
        <w:ind w:left="80"/>
        <w:spacing w:after="0"/>
        <w:rPr>
          <w:sz w:val="20"/>
          <w:szCs w:val="20"/>
          <w:color w:val="auto"/>
        </w:rPr>
      </w:pPr>
      <w:r>
        <w:rPr>
          <w:rFonts w:ascii="Arial" w:cs="Arial" w:eastAsia="Arial" w:hAnsi="Arial"/>
          <w:sz w:val="11"/>
          <w:szCs w:val="11"/>
          <w:color w:val="auto"/>
        </w:rPr>
        <w:t>10.54†</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19.1*</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2"/>
          <w:szCs w:val="12"/>
          <w:color w:val="auto"/>
        </w:rPr>
        <w:t>21.1*</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2"/>
          <w:szCs w:val="12"/>
          <w:color w:val="auto"/>
        </w:rPr>
        <w:t>23.1*</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2"/>
          <w:szCs w:val="12"/>
          <w:color w:val="auto"/>
        </w:rPr>
        <w:t>31.1*</w:t>
      </w:r>
    </w:p>
    <w:p>
      <w:pPr>
        <w:spacing w:after="0" w:line="20" w:lineRule="exact"/>
        <w:rPr>
          <w:sz w:val="20"/>
          <w:szCs w:val="20"/>
          <w:color w:val="auto"/>
        </w:rPr>
      </w:pPr>
      <w:r>
        <w:rPr>
          <w:sz w:val="20"/>
          <w:szCs w:val="20"/>
          <w:color w:val="auto"/>
        </w:rPr>
        <w:br w:type="column"/>
      </w:r>
    </w:p>
    <w:p>
      <w:pPr>
        <w:jc w:val="both"/>
        <w:ind w:right="1780"/>
        <w:spacing w:after="0" w:line="282" w:lineRule="auto"/>
        <w:rPr>
          <w:rFonts w:ascii="Arial" w:cs="Arial" w:eastAsia="Arial" w:hAnsi="Arial"/>
          <w:sz w:val="11"/>
          <w:szCs w:val="11"/>
          <w:u w:val="single" w:color="auto"/>
          <w:color w:val="0000FF"/>
        </w:rPr>
      </w:pPr>
      <w:hyperlink r:id="rId244">
        <w:r>
          <w:rPr>
            <w:rFonts w:ascii="Arial" w:cs="Arial" w:eastAsia="Arial" w:hAnsi="Arial"/>
            <w:sz w:val="11"/>
            <w:szCs w:val="11"/>
            <w:u w:val="single" w:color="auto"/>
            <w:color w:val="0000FF"/>
          </w:rPr>
          <w:t>Asset Purchase Agreement by and among Arvinas, Inc., Arvinas Operations, Inc., Arvinas Androgen Receptor, Inc. and Novartis Pharma AG, dated April 10,</w:t>
        </w:r>
      </w:hyperlink>
      <w:r>
        <w:rPr>
          <w:rFonts w:ascii="Arial" w:cs="Arial" w:eastAsia="Arial" w:hAnsi="Arial"/>
          <w:sz w:val="11"/>
          <w:szCs w:val="11"/>
          <w:u w:val="single" w:color="auto"/>
          <w:color w:val="0000FF"/>
        </w:rPr>
        <w:t xml:space="preserve"> </w:t>
      </w:r>
      <w:hyperlink r:id="rId244">
        <w:r>
          <w:rPr>
            <w:rFonts w:ascii="Arial" w:cs="Arial" w:eastAsia="Arial" w:hAnsi="Arial"/>
            <w:sz w:val="11"/>
            <w:szCs w:val="11"/>
            <w:u w:val="single" w:color="auto"/>
            <w:color w:val="0000FF"/>
          </w:rPr>
          <w:t>2024 (incorporated by reference to Exhibit 10.5 to the Registrant's Quarterly Report on Form 10-Q (File No. 001-38672) filed with the SEC on July 30, 2024).</w:t>
        </w:r>
      </w:hyperlink>
    </w:p>
    <w:p>
      <w:pPr>
        <w:spacing w:after="0" w:line="63"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Registrant's Insider Trading Policy.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Subsidiaries of the Registrant.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Consent of Deloitte &amp; Touche LLP, independent registered public accounting firm.</w:t>
      </w:r>
    </w:p>
    <w:p>
      <w:pPr>
        <w:spacing w:after="0" w:line="60" w:lineRule="exact"/>
        <w:rPr>
          <w:sz w:val="20"/>
          <w:szCs w:val="20"/>
          <w:color w:val="auto"/>
        </w:rPr>
      </w:pPr>
    </w:p>
    <w:p>
      <w:pPr>
        <w:ind w:right="1920"/>
        <w:spacing w:after="0" w:line="239" w:lineRule="auto"/>
        <w:rPr>
          <w:sz w:val="20"/>
          <w:szCs w:val="20"/>
          <w:color w:val="auto"/>
        </w:rPr>
      </w:pPr>
      <w:r>
        <w:rPr>
          <w:rFonts w:ascii="Arial" w:cs="Arial" w:eastAsia="Arial" w:hAnsi="Arial"/>
          <w:sz w:val="12"/>
          <w:szCs w:val="12"/>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41" w:lineRule="exact"/>
        <w:rPr>
          <w:sz w:val="20"/>
          <w:szCs w:val="20"/>
          <w:color w:val="auto"/>
        </w:rPr>
      </w:pPr>
    </w:p>
    <w:p>
      <w:pPr>
        <w:sectPr>
          <w:pgSz w:w="11900" w:h="16838" w:orient="portrait"/>
          <w:cols w:equalWidth="0" w:num="2">
            <w:col w:w="500" w:space="720"/>
            <w:col w:w="10080"/>
          </w:cols>
          <w:pgMar w:left="300" w:top="829"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220" w:type="dxa"/>
            <w:vAlign w:val="bottom"/>
          </w:tcPr>
          <w:p>
            <w:pPr>
              <w:jc w:val="right"/>
              <w:ind w:right="800"/>
              <w:spacing w:after="0"/>
              <w:rPr>
                <w:sz w:val="20"/>
                <w:szCs w:val="20"/>
                <w:color w:val="auto"/>
              </w:rPr>
            </w:pPr>
            <w:r>
              <w:rPr>
                <w:rFonts w:ascii="Arial" w:cs="Arial" w:eastAsia="Arial" w:hAnsi="Arial"/>
                <w:sz w:val="12"/>
                <w:szCs w:val="12"/>
                <w:color w:val="auto"/>
              </w:rPr>
              <w:t>31.2*</w:t>
            </w:r>
          </w:p>
        </w:tc>
        <w:tc>
          <w:tcPr>
            <w:tcW w:w="10080" w:type="dxa"/>
            <w:vAlign w:val="bottom"/>
            <w:gridSpan w:val="3"/>
          </w:tcPr>
          <w:p>
            <w:pPr>
              <w:spacing w:after="0"/>
              <w:rPr>
                <w:sz w:val="20"/>
                <w:szCs w:val="20"/>
                <w:color w:val="auto"/>
              </w:rPr>
            </w:pPr>
            <w:r>
              <w:rPr>
                <w:rFonts w:ascii="Arial" w:cs="Arial" w:eastAsia="Arial" w:hAnsi="Arial"/>
                <w:sz w:val="12"/>
                <w:szCs w:val="12"/>
                <w:color w:val="0000FF"/>
              </w:rPr>
              <w:t>Certification of Principal Financial Officer Pursuant to Rules 13a-14(a) and 15d-14(a) under the Securities Exchange Act of 1934, as Adopted Pursuant to</w:t>
            </w:r>
          </w:p>
        </w:tc>
      </w:tr>
      <w:tr>
        <w:trPr>
          <w:trHeight w:val="97"/>
        </w:trPr>
        <w:tc>
          <w:tcPr>
            <w:tcW w:w="1220" w:type="dxa"/>
            <w:vAlign w:val="bottom"/>
          </w:tcPr>
          <w:p>
            <w:pPr>
              <w:spacing w:after="0"/>
              <w:rPr>
                <w:sz w:val="8"/>
                <w:szCs w:val="8"/>
                <w:color w:val="auto"/>
              </w:rPr>
            </w:pPr>
          </w:p>
        </w:tc>
        <w:tc>
          <w:tcPr>
            <w:tcW w:w="8120" w:type="dxa"/>
            <w:vAlign w:val="bottom"/>
            <w:tcBorders>
              <w:top w:val="single" w:sz="8" w:color="0000FF"/>
            </w:tcBorders>
            <w:gridSpan w:val="2"/>
          </w:tcPr>
          <w:p>
            <w:pPr>
              <w:spacing w:after="0" w:line="97" w:lineRule="exact"/>
              <w:rPr>
                <w:sz w:val="20"/>
                <w:szCs w:val="20"/>
                <w:color w:val="auto"/>
              </w:rPr>
            </w:pPr>
            <w:r>
              <w:rPr>
                <w:rFonts w:ascii="Arial" w:cs="Arial" w:eastAsia="Arial" w:hAnsi="Arial"/>
                <w:sz w:val="11"/>
                <w:szCs w:val="11"/>
                <w:color w:val="0000FF"/>
              </w:rPr>
              <w:t>Section 302 of the Sarbanes-Oxley Act of 2002.</w:t>
            </w:r>
          </w:p>
        </w:tc>
        <w:tc>
          <w:tcPr>
            <w:tcW w:w="1960" w:type="dxa"/>
            <w:vAlign w:val="bottom"/>
          </w:tcPr>
          <w:p>
            <w:pPr>
              <w:spacing w:after="0"/>
              <w:rPr>
                <w:sz w:val="8"/>
                <w:szCs w:val="8"/>
                <w:color w:val="auto"/>
              </w:rPr>
            </w:pPr>
          </w:p>
        </w:tc>
      </w:tr>
      <w:tr>
        <w:trPr>
          <w:trHeight w:val="657"/>
        </w:trPr>
        <w:tc>
          <w:tcPr>
            <w:tcW w:w="1220" w:type="dxa"/>
            <w:vAlign w:val="bottom"/>
          </w:tcPr>
          <w:p>
            <w:pPr>
              <w:spacing w:after="0"/>
              <w:rPr>
                <w:sz w:val="24"/>
                <w:szCs w:val="24"/>
                <w:color w:val="auto"/>
              </w:rPr>
            </w:pPr>
          </w:p>
        </w:tc>
        <w:tc>
          <w:tcPr>
            <w:tcW w:w="2540" w:type="dxa"/>
            <w:vAlign w:val="bottom"/>
            <w:tcBorders>
              <w:top w:val="single" w:sz="8" w:color="0000FF"/>
            </w:tcBorders>
          </w:tcPr>
          <w:p>
            <w:pPr>
              <w:spacing w:after="0"/>
              <w:rPr>
                <w:sz w:val="24"/>
                <w:szCs w:val="24"/>
                <w:color w:val="auto"/>
              </w:rPr>
            </w:pPr>
          </w:p>
        </w:tc>
        <w:tc>
          <w:tcPr>
            <w:tcW w:w="5580" w:type="dxa"/>
            <w:vAlign w:val="bottom"/>
          </w:tcPr>
          <w:p>
            <w:pPr>
              <w:jc w:val="right"/>
              <w:ind w:right="3540"/>
              <w:spacing w:after="0"/>
              <w:rPr>
                <w:sz w:val="20"/>
                <w:szCs w:val="20"/>
                <w:color w:val="auto"/>
              </w:rPr>
            </w:pPr>
            <w:r>
              <w:rPr>
                <w:rFonts w:ascii="Arial" w:cs="Arial" w:eastAsia="Arial" w:hAnsi="Arial"/>
                <w:sz w:val="12"/>
                <w:szCs w:val="12"/>
                <w:color w:val="auto"/>
              </w:rPr>
              <w:t>158</w:t>
            </w:r>
          </w:p>
        </w:tc>
        <w:tc>
          <w:tcPr>
            <w:tcW w:w="1960" w:type="dxa"/>
            <w:vAlign w:val="bottom"/>
          </w:tcPr>
          <w:p>
            <w:pPr>
              <w:spacing w:after="0"/>
              <w:rPr>
                <w:sz w:val="24"/>
                <w:szCs w:val="24"/>
                <w:color w:val="auto"/>
              </w:rPr>
            </w:pPr>
          </w:p>
        </w:tc>
      </w:tr>
      <w:tr>
        <w:trPr>
          <w:trHeight w:val="70"/>
        </w:trPr>
        <w:tc>
          <w:tcPr>
            <w:tcW w:w="122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558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type w:val="continuous"/>
        </w:sectPr>
      </w:pPr>
    </w:p>
    <w:bookmarkStart w:id="159" w:name="page160"/>
    <w:bookmarkEnd w:id="159"/>
    <w:tbl>
      <w:tblPr>
        <w:tblLayout w:type="fixed"/>
        <w:tblInd w:w="8" w:type="dxa"/>
        <w:tblCellMar>
          <w:top w:w="0" w:type="dxa"/>
          <w:left w:w="0" w:type="dxa"/>
          <w:bottom w:w="0" w:type="dxa"/>
          <w:right w:w="0" w:type="dxa"/>
        </w:tblCellMar>
      </w:tblPr>
      <w:tr>
        <w:trPr>
          <w:trHeight w:val="139"/>
        </w:trPr>
        <w:tc>
          <w:tcPr>
            <w:tcW w:w="1220" w:type="dxa"/>
            <w:vAlign w:val="bottom"/>
          </w:tcPr>
          <w:p>
            <w:pPr>
              <w:ind w:left="80"/>
              <w:spacing w:after="0"/>
              <w:rPr>
                <w:sz w:val="20"/>
                <w:szCs w:val="20"/>
                <w:color w:val="auto"/>
              </w:rPr>
            </w:pPr>
            <w:r>
              <w:rPr>
                <w:rFonts w:ascii="Arial" w:cs="Arial" w:eastAsia="Arial" w:hAnsi="Arial"/>
                <w:sz w:val="12"/>
                <w:szCs w:val="12"/>
                <w:color w:val="auto"/>
              </w:rPr>
              <w:t>32.1**</w:t>
            </w:r>
          </w:p>
        </w:tc>
        <w:tc>
          <w:tcPr>
            <w:tcW w:w="8320" w:type="dxa"/>
            <w:vAlign w:val="bottom"/>
            <w:gridSpan w:val="7"/>
          </w:tcPr>
          <w:p>
            <w:pPr>
              <w:spacing w:after="0"/>
              <w:rPr>
                <w:sz w:val="20"/>
                <w:szCs w:val="20"/>
                <w:color w:val="auto"/>
              </w:rPr>
            </w:pPr>
            <w:r>
              <w:rPr>
                <w:rFonts w:ascii="Arial" w:cs="Arial" w:eastAsia="Arial" w:hAnsi="Arial"/>
                <w:sz w:val="12"/>
                <w:szCs w:val="12"/>
                <w:color w:val="0000FF"/>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7"/>
        </w:trPr>
        <w:tc>
          <w:tcPr>
            <w:tcW w:w="1220" w:type="dxa"/>
            <w:vAlign w:val="bottom"/>
          </w:tcPr>
          <w:p>
            <w:pPr>
              <w:ind w:left="80"/>
              <w:spacing w:after="0"/>
              <w:rPr>
                <w:sz w:val="20"/>
                <w:szCs w:val="20"/>
                <w:color w:val="auto"/>
              </w:rPr>
            </w:pPr>
            <w:r>
              <w:rPr>
                <w:rFonts w:ascii="Arial" w:cs="Arial" w:eastAsia="Arial" w:hAnsi="Arial"/>
                <w:sz w:val="12"/>
                <w:szCs w:val="12"/>
                <w:color w:val="auto"/>
              </w:rPr>
              <w:t>32.2**</w:t>
            </w:r>
          </w:p>
        </w:tc>
        <w:tc>
          <w:tcPr>
            <w:tcW w:w="8020" w:type="dxa"/>
            <w:vAlign w:val="bottom"/>
            <w:tcBorders>
              <w:top w:val="single" w:sz="8" w:color="0000FF"/>
            </w:tcBorders>
            <w:gridSpan w:val="6"/>
          </w:tcPr>
          <w:p>
            <w:pPr>
              <w:spacing w:after="0"/>
              <w:rPr>
                <w:sz w:val="20"/>
                <w:szCs w:val="20"/>
                <w:color w:val="auto"/>
              </w:rPr>
            </w:pPr>
            <w:r>
              <w:rPr>
                <w:rFonts w:ascii="Arial" w:cs="Arial" w:eastAsia="Arial" w:hAnsi="Arial"/>
                <w:sz w:val="12"/>
                <w:szCs w:val="12"/>
                <w:color w:val="0000FF"/>
              </w:rPr>
              <w:t>Certification of Principal Financial Officer Pursuant to 18 U.S.C. Section 1350, as Adopted Pursuant to Section 906 of the Sarbanes-Oxley Act of 2002.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80"/>
              <w:spacing w:after="0"/>
              <w:rPr>
                <w:sz w:val="20"/>
                <w:szCs w:val="20"/>
                <w:color w:val="auto"/>
              </w:rPr>
            </w:pPr>
            <w:r>
              <w:rPr>
                <w:rFonts w:ascii="Arial" w:cs="Arial" w:eastAsia="Arial" w:hAnsi="Arial"/>
                <w:sz w:val="12"/>
                <w:szCs w:val="12"/>
                <w:color w:val="auto"/>
              </w:rPr>
              <w:t>97.1*</w:t>
            </w:r>
          </w:p>
        </w:tc>
        <w:tc>
          <w:tcPr>
            <w:tcW w:w="8320" w:type="dxa"/>
            <w:vAlign w:val="bottom"/>
            <w:gridSpan w:val="7"/>
          </w:tcPr>
          <w:p>
            <w:pPr>
              <w:spacing w:after="0"/>
              <w:rPr>
                <w:rFonts w:ascii="Arial" w:cs="Arial" w:eastAsia="Arial" w:hAnsi="Arial"/>
                <w:sz w:val="12"/>
                <w:szCs w:val="12"/>
                <w:color w:val="0000FF"/>
                <w:w w:val="99"/>
              </w:rPr>
            </w:pPr>
            <w:hyperlink r:id="rId247">
              <w:r>
                <w:rPr>
                  <w:rFonts w:ascii="Arial" w:cs="Arial" w:eastAsia="Arial" w:hAnsi="Arial"/>
                  <w:sz w:val="12"/>
                  <w:szCs w:val="12"/>
                  <w:color w:val="0000FF"/>
                  <w:w w:val="99"/>
                </w:rPr>
                <w:t xml:space="preserve">Arvinas, Inc. Dodd-Frank Compensation Recovery Policy </w:t>
              </w:r>
              <w:r>
                <w:rPr>
                  <w:rFonts w:ascii="Arial" w:cs="Arial" w:eastAsia="Arial" w:hAnsi="Arial"/>
                  <w:sz w:val="12"/>
                  <w:szCs w:val="12"/>
                  <w:u w:val="single" w:color="auto"/>
                  <w:color w:val="0000FF"/>
                  <w:w w:val="99"/>
                </w:rPr>
                <w:t>(incorporated</w:t>
              </w:r>
              <w:r>
                <w:rPr>
                  <w:rFonts w:ascii="Arial" w:cs="Arial" w:eastAsia="Arial" w:hAnsi="Arial"/>
                  <w:sz w:val="12"/>
                  <w:szCs w:val="12"/>
                  <w:color w:val="0000FF"/>
                  <w:w w:val="99"/>
                </w:rPr>
                <w:t xml:space="preserve"> by reference to Exhibit 97.1 to the Registrant's Annual Report on Form 10-K (File No.</w:t>
              </w:r>
            </w:hyperlink>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3060" w:type="dxa"/>
            <w:vAlign w:val="bottom"/>
            <w:tcBorders>
              <w:top w:val="single" w:sz="8" w:color="0000FF"/>
            </w:tcBorders>
            <w:gridSpan w:val="2"/>
          </w:tcPr>
          <w:p>
            <w:pPr>
              <w:spacing w:after="0" w:line="77" w:lineRule="exact"/>
              <w:rPr>
                <w:rFonts w:ascii="Arial" w:cs="Arial" w:eastAsia="Arial" w:hAnsi="Arial"/>
                <w:sz w:val="8"/>
                <w:szCs w:val="8"/>
                <w:color w:val="0000FF"/>
              </w:rPr>
            </w:pPr>
            <w:hyperlink r:id="rId247">
              <w:r>
                <w:rPr>
                  <w:rFonts w:ascii="Arial" w:cs="Arial" w:eastAsia="Arial" w:hAnsi="Arial"/>
                  <w:sz w:val="8"/>
                  <w:szCs w:val="8"/>
                  <w:color w:val="0000FF"/>
                </w:rPr>
                <w:t>001-38672) filed with the SEC on February 27, 2024)</w:t>
              </w:r>
              <w:r>
                <w:rPr>
                  <w:rFonts w:ascii="Arial" w:cs="Arial" w:eastAsia="Arial" w:hAnsi="Arial"/>
                  <w:sz w:val="8"/>
                  <w:szCs w:val="8"/>
                  <w:color w:val="000000"/>
                </w:rPr>
                <w:t>.</w:t>
              </w:r>
            </w:hyperlink>
          </w:p>
        </w:tc>
        <w:tc>
          <w:tcPr>
            <w:tcW w:w="40" w:type="dxa"/>
            <w:vAlign w:val="bottom"/>
          </w:tcPr>
          <w:p>
            <w:pPr>
              <w:spacing w:after="0"/>
              <w:rPr>
                <w:sz w:val="6"/>
                <w:szCs w:val="6"/>
                <w:color w:val="auto"/>
              </w:rPr>
            </w:pPr>
          </w:p>
        </w:tc>
        <w:tc>
          <w:tcPr>
            <w:tcW w:w="880" w:type="dxa"/>
            <w:vAlign w:val="bottom"/>
            <w:tcBorders>
              <w:top w:val="single" w:sz="8" w:color="0000FF"/>
            </w:tcBorders>
          </w:tcPr>
          <w:p>
            <w:pPr>
              <w:spacing w:after="0"/>
              <w:rPr>
                <w:sz w:val="6"/>
                <w:szCs w:val="6"/>
                <w:color w:val="auto"/>
              </w:rPr>
            </w:pPr>
          </w:p>
        </w:tc>
        <w:tc>
          <w:tcPr>
            <w:tcW w:w="4340" w:type="dxa"/>
            <w:vAlign w:val="bottom"/>
            <w:tcBorders>
              <w:top w:val="single" w:sz="8" w:color="0000FF"/>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99.1</w:t>
            </w:r>
          </w:p>
        </w:tc>
        <w:tc>
          <w:tcPr>
            <w:tcW w:w="282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continue"/>
          </w:tcPr>
          <w:p>
            <w:pPr>
              <w:spacing w:after="0"/>
              <w:rPr>
                <w:sz w:val="17"/>
                <w:szCs w:val="17"/>
                <w:color w:val="auto"/>
              </w:rPr>
            </w:pPr>
          </w:p>
        </w:tc>
        <w:tc>
          <w:tcPr>
            <w:tcW w:w="3980" w:type="dxa"/>
            <w:vAlign w:val="bottom"/>
            <w:tcBorders>
              <w:bottom w:val="single" w:sz="8" w:color="0000FF"/>
            </w:tcBorders>
            <w:gridSpan w:val="4"/>
          </w:tcPr>
          <w:p>
            <w:pPr>
              <w:spacing w:after="0"/>
              <w:rPr>
                <w:rFonts w:ascii="Arial" w:cs="Arial" w:eastAsia="Arial" w:hAnsi="Arial"/>
                <w:sz w:val="12"/>
                <w:szCs w:val="12"/>
                <w:color w:val="0000FF"/>
                <w:w w:val="99"/>
              </w:rPr>
            </w:pPr>
            <w:hyperlink r:id="rId248">
              <w:r>
                <w:rPr>
                  <w:rFonts w:ascii="Arial" w:cs="Arial" w:eastAsia="Arial" w:hAnsi="Arial"/>
                  <w:sz w:val="12"/>
                  <w:szCs w:val="12"/>
                  <w:color w:val="0000FF"/>
                  <w:w w:val="99"/>
                </w:rPr>
                <w:t>Audited Financial Statements of Oerth Bio, LLC, as of December 31, 2020.</w:t>
              </w:r>
            </w:hyperlink>
          </w:p>
        </w:tc>
        <w:tc>
          <w:tcPr>
            <w:tcW w:w="4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101.INS*</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Instance Document</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101.SCH*</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101.CAL*</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101.DEF*</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101.LAB*</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2"/>
                <w:szCs w:val="12"/>
                <w:color w:val="auto"/>
              </w:rPr>
              <w:t>101.PRE*</w:t>
            </w:r>
          </w:p>
        </w:tc>
        <w:tc>
          <w:tcPr>
            <w:tcW w:w="8320" w:type="dxa"/>
            <w:vAlign w:val="bottom"/>
            <w:gridSpan w:val="7"/>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-1012190</wp:posOffset>
            </wp:positionV>
            <wp:extent cx="254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28" w:lineRule="exact"/>
        <w:rPr>
          <w:sz w:val="20"/>
          <w:szCs w:val="20"/>
          <w:color w:val="auto"/>
        </w:rPr>
      </w:pPr>
    </w:p>
    <w:p>
      <w:pPr>
        <w:ind w:left="1228" w:hanging="1216"/>
        <w:spacing w:after="0"/>
        <w:tabs>
          <w:tab w:leader="none" w:pos="1228" w:val="left"/>
        </w:tabs>
        <w:numPr>
          <w:ilvl w:val="1"/>
          <w:numId w:val="86"/>
        </w:numPr>
        <w:rPr>
          <w:rFonts w:ascii="Arial" w:cs="Arial" w:eastAsia="Arial" w:hAnsi="Arial"/>
          <w:sz w:val="12"/>
          <w:szCs w:val="12"/>
          <w:color w:val="auto"/>
        </w:rPr>
      </w:pPr>
      <w:r>
        <w:rPr>
          <w:rFonts w:ascii="Arial" w:cs="Arial" w:eastAsia="Arial" w:hAnsi="Arial"/>
          <w:sz w:val="12"/>
          <w:szCs w:val="12"/>
          <w:color w:val="auto"/>
        </w:rPr>
        <w:t>Cover Page Interactive Date File (formatted as Inline XBRL and contained in Exhibit 101)</w:t>
      </w:r>
    </w:p>
    <w:p>
      <w:pPr>
        <w:spacing w:after="0" w:line="7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____________________</w:t>
      </w:r>
    </w:p>
    <w:p>
      <w:pPr>
        <w:spacing w:after="0" w:line="78"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  Filed herewith.</w:t>
      </w:r>
    </w:p>
    <w:p>
      <w:pPr>
        <w:spacing w:after="0" w:line="78" w:lineRule="exact"/>
        <w:rPr>
          <w:rFonts w:ascii="Arial" w:cs="Arial" w:eastAsia="Arial" w:hAnsi="Arial"/>
          <w:sz w:val="12"/>
          <w:szCs w:val="12"/>
          <w:color w:val="auto"/>
        </w:rPr>
      </w:pPr>
    </w:p>
    <w:p>
      <w:pPr>
        <w:ind w:left="228" w:hanging="228"/>
        <w:spacing w:after="0"/>
        <w:tabs>
          <w:tab w:leader="none" w:pos="228" w:val="left"/>
        </w:tabs>
        <w:numPr>
          <w:ilvl w:val="0"/>
          <w:numId w:val="87"/>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78" w:lineRule="exact"/>
        <w:rPr>
          <w:sz w:val="20"/>
          <w:szCs w:val="20"/>
          <w:color w:val="auto"/>
        </w:rPr>
      </w:pPr>
    </w:p>
    <w:p>
      <w:pPr>
        <w:ind w:left="8" w:right="5099" w:hanging="8"/>
        <w:spacing w:after="0" w:line="411" w:lineRule="auto"/>
        <w:tabs>
          <w:tab w:leader="none" w:pos="208" w:val="left"/>
        </w:tabs>
        <w:numPr>
          <w:ilvl w:val="0"/>
          <w:numId w:val="88"/>
        </w:numPr>
        <w:rPr>
          <w:rFonts w:ascii="Arial" w:cs="Arial" w:eastAsia="Arial" w:hAnsi="Arial"/>
          <w:sz w:val="12"/>
          <w:szCs w:val="12"/>
          <w:color w:val="auto"/>
        </w:rPr>
      </w:pPr>
      <w:r>
        <w:rPr>
          <w:rFonts w:ascii="Arial" w:cs="Arial" w:eastAsia="Arial" w:hAnsi="Arial"/>
          <w:sz w:val="12"/>
          <w:szCs w:val="12"/>
          <w:color w:val="auto"/>
        </w:rPr>
        <w:t>Portions of this exhibit have been omitted pursuant to Item 601(b)(10)(iv) of Regulation S-K. + Management contract or compensatory plan or arrangement.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2" w:lineRule="exact"/>
        <w:rPr>
          <w:sz w:val="20"/>
          <w:szCs w:val="20"/>
          <w:color w:val="auto"/>
        </w:rPr>
      </w:pPr>
    </w:p>
    <w:p>
      <w:pPr>
        <w:ind w:left="5548"/>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847"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right="80" w:firstLine="432"/>
        <w:spacing w:after="0" w:line="296" w:lineRule="auto"/>
        <w:rPr>
          <w:sz w:val="20"/>
          <w:szCs w:val="20"/>
          <w:color w:val="auto"/>
        </w:rPr>
      </w:pPr>
      <w:r>
        <w:rPr>
          <w:rFonts w:ascii="Arial" w:cs="Arial" w:eastAsia="Arial" w:hAnsi="Arial"/>
          <w:sz w:val="12"/>
          <w:szCs w:val="12"/>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2"/>
          <w:szCs w:val="12"/>
          <w:b w:val="1"/>
          <w:bCs w:val="1"/>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3480" w:type="dxa"/>
            <w:vAlign w:val="bottom"/>
            <w:gridSpan w:val="2"/>
          </w:tcPr>
          <w:p>
            <w:pPr>
              <w:ind w:left="2040"/>
              <w:spacing w:after="0"/>
              <w:rPr>
                <w:sz w:val="20"/>
                <w:szCs w:val="20"/>
                <w:color w:val="auto"/>
              </w:rPr>
            </w:pPr>
            <w:r>
              <w:rPr>
                <w:rFonts w:ascii="Arial" w:cs="Arial" w:eastAsia="Arial" w:hAnsi="Arial"/>
                <w:sz w:val="12"/>
                <w:szCs w:val="12"/>
                <w:color w:val="auto"/>
              </w:rPr>
              <w:t>ARVINAS, INC.</w:t>
            </w:r>
          </w:p>
        </w:tc>
        <w:tc>
          <w:tcPr>
            <w:tcW w:w="4480" w:type="dxa"/>
            <w:vAlign w:val="bottom"/>
          </w:tcPr>
          <w:p>
            <w:pPr>
              <w:spacing w:after="0"/>
              <w:rPr>
                <w:sz w:val="13"/>
                <w:szCs w:val="13"/>
                <w:color w:val="auto"/>
              </w:rPr>
            </w:pPr>
          </w:p>
        </w:tc>
      </w:tr>
      <w:tr>
        <w:trPr>
          <w:trHeight w:val="331"/>
        </w:trPr>
        <w:tc>
          <w:tcPr>
            <w:tcW w:w="3340" w:type="dxa"/>
            <w:vAlign w:val="bottom"/>
          </w:tcPr>
          <w:p>
            <w:pPr>
              <w:spacing w:after="0"/>
              <w:rPr>
                <w:sz w:val="20"/>
                <w:szCs w:val="20"/>
                <w:color w:val="auto"/>
              </w:rPr>
            </w:pPr>
            <w:r>
              <w:rPr>
                <w:rFonts w:ascii="Arial" w:cs="Arial" w:eastAsia="Arial" w:hAnsi="Arial"/>
                <w:sz w:val="12"/>
                <w:szCs w:val="12"/>
                <w:color w:val="auto"/>
              </w:rPr>
              <w:t>Date: February 11, 2025</w:t>
            </w:r>
          </w:p>
        </w:tc>
        <w:tc>
          <w:tcPr>
            <w:tcW w:w="3480" w:type="dxa"/>
            <w:vAlign w:val="bottom"/>
            <w:gridSpan w:val="2"/>
          </w:tcPr>
          <w:p>
            <w:pPr>
              <w:ind w:left="2040"/>
              <w:spacing w:after="0"/>
              <w:rPr>
                <w:sz w:val="20"/>
                <w:szCs w:val="20"/>
                <w:color w:val="auto"/>
              </w:rPr>
            </w:pPr>
            <w:r>
              <w:rPr>
                <w:rFonts w:ascii="Arial" w:cs="Arial" w:eastAsia="Arial" w:hAnsi="Arial"/>
                <w:sz w:val="12"/>
                <w:szCs w:val="12"/>
                <w:color w:val="auto"/>
              </w:rPr>
              <w:t>By:</w:t>
            </w:r>
          </w:p>
        </w:tc>
        <w:tc>
          <w:tcPr>
            <w:tcW w:w="4480" w:type="dxa"/>
            <w:vAlign w:val="bottom"/>
          </w:tcPr>
          <w:p>
            <w:pPr>
              <w:jc w:val="center"/>
              <w:ind w:right="860"/>
              <w:spacing w:after="0"/>
              <w:rPr>
                <w:sz w:val="20"/>
                <w:szCs w:val="20"/>
                <w:color w:val="auto"/>
              </w:rPr>
            </w:pPr>
            <w:r>
              <w:rPr>
                <w:rFonts w:ascii="Arial" w:cs="Arial" w:eastAsia="Arial" w:hAnsi="Arial"/>
                <w:sz w:val="12"/>
                <w:szCs w:val="12"/>
                <w:color w:val="auto"/>
              </w:rPr>
              <w:t>/s/ David K. Loomis</w:t>
            </w:r>
          </w:p>
        </w:tc>
      </w:tr>
      <w:tr>
        <w:trPr>
          <w:trHeight w:val="138"/>
        </w:trPr>
        <w:tc>
          <w:tcPr>
            <w:tcW w:w="3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tcPr>
          <w:p>
            <w:pPr>
              <w:ind w:left="1360"/>
              <w:spacing w:after="0"/>
              <w:rPr>
                <w:sz w:val="20"/>
                <w:szCs w:val="20"/>
                <w:color w:val="auto"/>
              </w:rPr>
            </w:pPr>
            <w:r>
              <w:rPr>
                <w:rFonts w:ascii="Arial" w:cs="Arial" w:eastAsia="Arial" w:hAnsi="Arial"/>
                <w:sz w:val="12"/>
                <w:szCs w:val="12"/>
                <w:color w:val="auto"/>
              </w:rPr>
              <w:t>David K. Loomis</w:t>
            </w:r>
          </w:p>
        </w:tc>
      </w:tr>
      <w:tr>
        <w:trPr>
          <w:trHeight w:val="159"/>
        </w:trPr>
        <w:tc>
          <w:tcPr>
            <w:tcW w:w="33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80" w:type="dxa"/>
            <w:vAlign w:val="bottom"/>
          </w:tcPr>
          <w:p>
            <w:pPr>
              <w:jc w:val="center"/>
              <w:ind w:right="860"/>
              <w:spacing w:after="0"/>
              <w:rPr>
                <w:sz w:val="20"/>
                <w:szCs w:val="20"/>
                <w:color w:val="auto"/>
              </w:rPr>
            </w:pPr>
            <w:r>
              <w:rPr>
                <w:rFonts w:ascii="Arial" w:cs="Arial" w:eastAsia="Arial" w:hAnsi="Arial"/>
                <w:sz w:val="12"/>
                <w:szCs w:val="12"/>
                <w:color w:val="auto"/>
                <w:w w:val="99"/>
              </w:rPr>
              <w:t>Vice President and Chief Accounting Officer</w:t>
            </w:r>
          </w:p>
        </w:tc>
      </w:tr>
    </w:tbl>
    <w:p>
      <w:pPr>
        <w:spacing w:after="0" w:line="19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2"/>
          <w:szCs w:val="12"/>
          <w:color w:val="auto"/>
        </w:rPr>
        <w:t>Pursuant to the requirements of the Securities Exchange Act of 1934, as amended, this report has been signed below by the following persons on behalf of the registrant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Name</w:t>
            </w:r>
          </w:p>
        </w:tc>
        <w:tc>
          <w:tcPr>
            <w:tcW w:w="100" w:type="dxa"/>
            <w:vAlign w:val="bottom"/>
          </w:tcPr>
          <w:p>
            <w:pPr>
              <w:spacing w:after="0"/>
              <w:rPr>
                <w:sz w:val="11"/>
                <w:szCs w:val="11"/>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80" w:type="dxa"/>
            <w:vAlign w:val="bottom"/>
          </w:tcPr>
          <w:p>
            <w:pPr>
              <w:spacing w:after="0"/>
              <w:rPr>
                <w:sz w:val="11"/>
                <w:szCs w:val="11"/>
                <w:color w:val="auto"/>
              </w:rPr>
            </w:pPr>
          </w:p>
        </w:tc>
        <w:tc>
          <w:tcPr>
            <w:tcW w:w="2080" w:type="dxa"/>
            <w:vAlign w:val="bottom"/>
            <w:tcBorders>
              <w:bottom w:val="single" w:sz="8" w:color="auto"/>
            </w:tcBorders>
          </w:tcPr>
          <w:p>
            <w:pPr>
              <w:ind w:left="940"/>
              <w:spacing w:after="0"/>
              <w:rPr>
                <w:sz w:val="20"/>
                <w:szCs w:val="20"/>
                <w:color w:val="auto"/>
              </w:rPr>
            </w:pPr>
            <w:r>
              <w:rPr>
                <w:rFonts w:ascii="Arial" w:cs="Arial" w:eastAsia="Arial" w:hAnsi="Arial"/>
                <w:sz w:val="10"/>
                <w:szCs w:val="10"/>
                <w:b w:val="1"/>
                <w:bCs w:val="1"/>
                <w:color w:val="auto"/>
              </w:rPr>
              <w:t>Date</w:t>
            </w:r>
          </w:p>
        </w:tc>
      </w:tr>
      <w:tr>
        <w:trPr>
          <w:trHeight w:val="325"/>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John Houston, Ph.D.</w:t>
            </w:r>
          </w:p>
        </w:tc>
        <w:tc>
          <w:tcPr>
            <w:tcW w:w="100" w:type="dxa"/>
            <w:vAlign w:val="bottom"/>
          </w:tcPr>
          <w:p>
            <w:pPr>
              <w:spacing w:after="0"/>
              <w:rPr>
                <w:sz w:val="24"/>
                <w:szCs w:val="24"/>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2"/>
                <w:szCs w:val="12"/>
                <w:color w:val="auto"/>
              </w:rPr>
              <w:t>President, Chief Executive Officer and Chairman of the Board of Directors</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60"/>
        </w:trPr>
        <w:tc>
          <w:tcPr>
            <w:tcW w:w="3800" w:type="dxa"/>
            <w:vAlign w:val="bottom"/>
          </w:tcPr>
          <w:p>
            <w:pPr>
              <w:jc w:val="center"/>
              <w:spacing w:after="0"/>
              <w:rPr>
                <w:sz w:val="20"/>
                <w:szCs w:val="20"/>
                <w:color w:val="auto"/>
              </w:rPr>
            </w:pPr>
            <w:r>
              <w:rPr>
                <w:rFonts w:ascii="Arial" w:cs="Arial" w:eastAsia="Arial" w:hAnsi="Arial"/>
                <w:sz w:val="12"/>
                <w:szCs w:val="12"/>
                <w:color w:val="auto"/>
              </w:rPr>
              <w:t>John Houston, Ph.D.</w:t>
            </w:r>
          </w:p>
        </w:tc>
        <w:tc>
          <w:tcPr>
            <w:tcW w:w="100" w:type="dxa"/>
            <w:vAlign w:val="bottom"/>
          </w:tcPr>
          <w:p>
            <w:pPr>
              <w:spacing w:after="0"/>
              <w:rPr>
                <w:sz w:val="13"/>
                <w:szCs w:val="13"/>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(principal executive officer)</w:t>
            </w:r>
          </w:p>
        </w:tc>
        <w:tc>
          <w:tcPr>
            <w:tcW w:w="2080" w:type="dxa"/>
            <w:vAlign w:val="bottom"/>
          </w:tcPr>
          <w:p>
            <w:pPr>
              <w:spacing w:after="0"/>
              <w:rPr>
                <w:sz w:val="13"/>
                <w:szCs w:val="13"/>
                <w:color w:val="auto"/>
              </w:rPr>
            </w:pPr>
          </w:p>
        </w:tc>
      </w:tr>
      <w:tr>
        <w:trPr>
          <w:trHeight w:val="20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Andrew Saik</w:t>
            </w:r>
          </w:p>
        </w:tc>
        <w:tc>
          <w:tcPr>
            <w:tcW w:w="100" w:type="dxa"/>
            <w:vAlign w:val="bottom"/>
          </w:tcPr>
          <w:p>
            <w:pPr>
              <w:spacing w:after="0"/>
              <w:rPr>
                <w:sz w:val="18"/>
                <w:szCs w:val="18"/>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Chief Financial Officer and Treasurer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60"/>
        </w:trPr>
        <w:tc>
          <w:tcPr>
            <w:tcW w:w="3800" w:type="dxa"/>
            <w:vAlign w:val="bottom"/>
          </w:tcPr>
          <w:p>
            <w:pPr>
              <w:jc w:val="center"/>
              <w:spacing w:after="0"/>
              <w:rPr>
                <w:sz w:val="20"/>
                <w:szCs w:val="20"/>
                <w:color w:val="auto"/>
              </w:rPr>
            </w:pPr>
            <w:r>
              <w:rPr>
                <w:rFonts w:ascii="Arial" w:cs="Arial" w:eastAsia="Arial" w:hAnsi="Arial"/>
                <w:sz w:val="12"/>
                <w:szCs w:val="12"/>
                <w:color w:val="auto"/>
              </w:rPr>
              <w:t>Andrew Saik</w:t>
            </w:r>
          </w:p>
        </w:tc>
        <w:tc>
          <w:tcPr>
            <w:tcW w:w="100" w:type="dxa"/>
            <w:vAlign w:val="bottom"/>
          </w:tcPr>
          <w:p>
            <w:pPr>
              <w:spacing w:after="0"/>
              <w:rPr>
                <w:sz w:val="13"/>
                <w:szCs w:val="13"/>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(principal financial officer)</w:t>
            </w:r>
          </w:p>
        </w:tc>
        <w:tc>
          <w:tcPr>
            <w:tcW w:w="2080" w:type="dxa"/>
            <w:vAlign w:val="bottom"/>
          </w:tcPr>
          <w:p>
            <w:pPr>
              <w:spacing w:after="0"/>
              <w:rPr>
                <w:sz w:val="13"/>
                <w:szCs w:val="13"/>
                <w:color w:val="auto"/>
              </w:rPr>
            </w:pPr>
          </w:p>
        </w:tc>
      </w:tr>
      <w:tr>
        <w:trPr>
          <w:trHeight w:val="20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David K. Loomis</w:t>
            </w:r>
          </w:p>
        </w:tc>
        <w:tc>
          <w:tcPr>
            <w:tcW w:w="100" w:type="dxa"/>
            <w:vAlign w:val="bottom"/>
          </w:tcPr>
          <w:p>
            <w:pPr>
              <w:spacing w:after="0"/>
              <w:rPr>
                <w:sz w:val="18"/>
                <w:szCs w:val="18"/>
                <w:color w:val="auto"/>
              </w:rPr>
            </w:pPr>
          </w:p>
        </w:tc>
        <w:tc>
          <w:tcPr>
            <w:tcW w:w="53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Vice President and Chief Accounting Officer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60"/>
        </w:trPr>
        <w:tc>
          <w:tcPr>
            <w:tcW w:w="3800" w:type="dxa"/>
            <w:vAlign w:val="bottom"/>
          </w:tcPr>
          <w:p>
            <w:pPr>
              <w:jc w:val="center"/>
              <w:spacing w:after="0"/>
              <w:rPr>
                <w:sz w:val="20"/>
                <w:szCs w:val="20"/>
                <w:color w:val="auto"/>
              </w:rPr>
            </w:pPr>
            <w:r>
              <w:rPr>
                <w:rFonts w:ascii="Arial" w:cs="Arial" w:eastAsia="Arial" w:hAnsi="Arial"/>
                <w:sz w:val="12"/>
                <w:szCs w:val="12"/>
                <w:color w:val="auto"/>
              </w:rPr>
              <w:t>David K. Loomis</w:t>
            </w:r>
          </w:p>
        </w:tc>
        <w:tc>
          <w:tcPr>
            <w:tcW w:w="100" w:type="dxa"/>
            <w:vAlign w:val="bottom"/>
          </w:tcPr>
          <w:p>
            <w:pPr>
              <w:spacing w:after="0"/>
              <w:rPr>
                <w:sz w:val="13"/>
                <w:szCs w:val="13"/>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(principal accounting officer)</w:t>
            </w:r>
          </w:p>
        </w:tc>
        <w:tc>
          <w:tcPr>
            <w:tcW w:w="2080" w:type="dxa"/>
            <w:vAlign w:val="bottom"/>
          </w:tcPr>
          <w:p>
            <w:pPr>
              <w:spacing w:after="0"/>
              <w:rPr>
                <w:sz w:val="13"/>
                <w:szCs w:val="13"/>
                <w:color w:val="auto"/>
              </w:rPr>
            </w:pPr>
          </w:p>
        </w:tc>
      </w:tr>
      <w:tr>
        <w:trPr>
          <w:trHeight w:val="211"/>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Sunil Agarwal, M.D.</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8"/>
              </w:rPr>
              <w:t>Sunil Agarwal, M.D.</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Linda Bain</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8"/>
              </w:rPr>
              <w:t>Linda Bain</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Everett Cunningham</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8"/>
              </w:rPr>
              <w:t>Everett Cunningham</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1"/>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Edward Kennedy, Jr.</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8"/>
              </w:rPr>
              <w:t>Edward Kennedy, Jr.</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Briggs Morrison, M.D.</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9"/>
              </w:rPr>
              <w:t>Briggs Morrison, M.D.</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Leslie Norwalk, Esq.</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6"/>
        </w:trPr>
        <w:tc>
          <w:tcPr>
            <w:tcW w:w="3800" w:type="dxa"/>
            <w:vAlign w:val="bottom"/>
          </w:tcPr>
          <w:p>
            <w:pPr>
              <w:jc w:val="center"/>
              <w:spacing w:after="0"/>
              <w:rPr>
                <w:sz w:val="20"/>
                <w:szCs w:val="20"/>
                <w:color w:val="auto"/>
              </w:rPr>
            </w:pPr>
            <w:r>
              <w:rPr>
                <w:rFonts w:ascii="Arial" w:cs="Arial" w:eastAsia="Arial" w:hAnsi="Arial"/>
                <w:sz w:val="12"/>
                <w:szCs w:val="12"/>
                <w:color w:val="auto"/>
                <w:w w:val="99"/>
              </w:rPr>
              <w:t>Leslie Norwalk, Esq.</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1"/>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Laurie Smaldone Alsup, M.D.</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6"/>
        </w:trPr>
        <w:tc>
          <w:tcPr>
            <w:tcW w:w="3800" w:type="dxa"/>
            <w:vAlign w:val="bottom"/>
          </w:tcPr>
          <w:p>
            <w:pPr>
              <w:jc w:val="center"/>
              <w:spacing w:after="0"/>
              <w:rPr>
                <w:sz w:val="20"/>
                <w:szCs w:val="20"/>
                <w:color w:val="auto"/>
              </w:rPr>
            </w:pPr>
            <w:r>
              <w:rPr>
                <w:rFonts w:ascii="Arial" w:cs="Arial" w:eastAsia="Arial" w:hAnsi="Arial"/>
                <w:sz w:val="12"/>
                <w:szCs w:val="12"/>
                <w:color w:val="auto"/>
                <w:w w:val="99"/>
              </w:rPr>
              <w:t>Laurie Smaldone Alsup, M.D.</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10"/>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John Young</w:t>
            </w:r>
          </w:p>
        </w:tc>
        <w:tc>
          <w:tcPr>
            <w:tcW w:w="100" w:type="dxa"/>
            <w:vAlign w:val="bottom"/>
          </w:tcPr>
          <w:p>
            <w:pPr>
              <w:spacing w:after="0"/>
              <w:rPr>
                <w:sz w:val="18"/>
                <w:szCs w:val="18"/>
                <w:color w:val="auto"/>
              </w:rPr>
            </w:pPr>
          </w:p>
        </w:tc>
        <w:tc>
          <w:tcPr>
            <w:tcW w:w="53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Director</w:t>
            </w:r>
          </w:p>
        </w:tc>
        <w:tc>
          <w:tcPr>
            <w:tcW w:w="2080" w:type="dxa"/>
            <w:vAlign w:val="bottom"/>
          </w:tcPr>
          <w:p>
            <w:pPr>
              <w:ind w:left="20"/>
              <w:spacing w:after="0"/>
              <w:rPr>
                <w:sz w:val="20"/>
                <w:szCs w:val="20"/>
                <w:color w:val="auto"/>
              </w:rPr>
            </w:pPr>
            <w:r>
              <w:rPr>
                <w:rFonts w:ascii="Arial" w:cs="Arial" w:eastAsia="Arial" w:hAnsi="Arial"/>
                <w:sz w:val="12"/>
                <w:szCs w:val="12"/>
                <w:color w:val="auto"/>
              </w:rPr>
              <w:t>February 11, 2025</w:t>
            </w:r>
          </w:p>
        </w:tc>
      </w:tr>
      <w:tr>
        <w:trPr>
          <w:trHeight w:val="157"/>
        </w:trPr>
        <w:tc>
          <w:tcPr>
            <w:tcW w:w="3800" w:type="dxa"/>
            <w:vAlign w:val="bottom"/>
          </w:tcPr>
          <w:p>
            <w:pPr>
              <w:jc w:val="center"/>
              <w:spacing w:after="0"/>
              <w:rPr>
                <w:sz w:val="20"/>
                <w:szCs w:val="20"/>
                <w:color w:val="auto"/>
              </w:rPr>
            </w:pPr>
            <w:r>
              <w:rPr>
                <w:rFonts w:ascii="Arial" w:cs="Arial" w:eastAsia="Arial" w:hAnsi="Arial"/>
                <w:sz w:val="12"/>
                <w:szCs w:val="12"/>
                <w:color w:val="auto"/>
                <w:w w:val="99"/>
              </w:rPr>
              <w:t>John Young</w:t>
            </w:r>
          </w:p>
        </w:tc>
        <w:tc>
          <w:tcPr>
            <w:tcW w:w="1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603"/>
        </w:trPr>
        <w:tc>
          <w:tcPr>
            <w:tcW w:w="3800" w:type="dxa"/>
            <w:vAlign w:val="bottom"/>
          </w:tcPr>
          <w:p>
            <w:pPr>
              <w:spacing w:after="0"/>
              <w:rPr>
                <w:sz w:val="24"/>
                <w:szCs w:val="24"/>
                <w:color w:val="auto"/>
              </w:rPr>
            </w:pPr>
          </w:p>
        </w:tc>
        <w:tc>
          <w:tcPr>
            <w:tcW w:w="5340" w:type="dxa"/>
            <w:vAlign w:val="bottom"/>
            <w:gridSpan w:val="2"/>
          </w:tcPr>
          <w:p>
            <w:pPr>
              <w:jc w:val="right"/>
              <w:ind w:right="3341"/>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70"/>
        </w:trPr>
        <w:tc>
          <w:tcPr>
            <w:tcW w:w="3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40" w:type="dxa"/>
            <w:vAlign w:val="bottom"/>
            <w:gridSpan w:val="2"/>
          </w:tcPr>
          <w:p>
            <w:pPr>
              <w:jc w:val="center"/>
              <w:ind w:right="4222"/>
              <w:spacing w:after="0"/>
              <w:rPr>
                <w:sz w:val="20"/>
                <w:szCs w:val="20"/>
                <w:color w:val="auto"/>
              </w:rPr>
            </w:pPr>
            <w:r>
              <w:rPr>
                <w:rFonts w:ascii="Arial" w:cs="Arial" w:eastAsia="Arial" w:hAnsi="Arial"/>
                <w:sz w:val="12"/>
                <w:szCs w:val="12"/>
                <w:b w:val="1"/>
                <w:bCs w:val="1"/>
                <w:color w:val="auto"/>
                <w:w w:val="99"/>
              </w:rPr>
              <w:t>Index to Consolidated Financial Statements</w:t>
            </w:r>
          </w:p>
        </w:tc>
      </w:tr>
      <w:tr>
        <w:trPr>
          <w:trHeight w:val="594"/>
        </w:trPr>
        <w:tc>
          <w:tcPr>
            <w:tcW w:w="15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23"/>
        </w:trPr>
        <w:tc>
          <w:tcPr>
            <w:tcW w:w="4260" w:type="dxa"/>
            <w:vAlign w:val="bottom"/>
            <w:gridSpan w:val="8"/>
            <w:shd w:val="clear" w:color="auto" w:fill="CCEEFF"/>
          </w:tcPr>
          <w:p>
            <w:pPr>
              <w:spacing w:after="0" w:line="116" w:lineRule="exact"/>
              <w:rPr>
                <w:sz w:val="20"/>
                <w:szCs w:val="20"/>
                <w:color w:val="auto"/>
              </w:rPr>
            </w:pPr>
            <w:r>
              <w:rPr>
                <w:rFonts w:ascii="Arial" w:cs="Arial" w:eastAsia="Arial" w:hAnsi="Arial"/>
                <w:sz w:val="12"/>
                <w:szCs w:val="12"/>
                <w:color w:val="0000FF"/>
              </w:rPr>
              <w:t>Report of Independent Registered Public Accounting Firm (PCAOB ID No.</w:t>
            </w:r>
            <w:r>
              <w:rPr>
                <w:rFonts w:ascii="Arial" w:cs="Arial" w:eastAsia="Arial" w:hAnsi="Arial"/>
                <w:sz w:val="12"/>
                <w:szCs w:val="12"/>
                <w:color w:val="000000"/>
              </w:rPr>
              <w:t>34</w:t>
            </w:r>
            <w:r>
              <w:rPr>
                <w:rFonts w:ascii="Arial" w:cs="Arial" w:eastAsia="Arial" w:hAnsi="Arial"/>
                <w:sz w:val="12"/>
                <w:szCs w:val="12"/>
                <w:u w:val="single" w:color="auto"/>
                <w:color w:val="0000FF"/>
              </w:rPr>
              <w:t>)</w:t>
            </w:r>
          </w:p>
        </w:tc>
        <w:tc>
          <w:tcPr>
            <w:tcW w:w="5940" w:type="dxa"/>
            <w:vAlign w:val="bottom"/>
            <w:shd w:val="clear" w:color="auto" w:fill="CCEEFF"/>
          </w:tcPr>
          <w:p>
            <w:pPr>
              <w:spacing w:after="0"/>
              <w:rPr>
                <w:sz w:val="10"/>
                <w:szCs w:val="10"/>
                <w:color w:val="auto"/>
              </w:rPr>
            </w:pPr>
          </w:p>
        </w:tc>
        <w:tc>
          <w:tcPr>
            <w:tcW w:w="11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9"/>
              </w:rPr>
              <w:t>F-2</w:t>
            </w:r>
          </w:p>
        </w:tc>
      </w:tr>
      <w:tr>
        <w:trPr>
          <w:trHeight w:val="180"/>
        </w:trPr>
        <w:tc>
          <w:tcPr>
            <w:tcW w:w="158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94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r>
      <w:tr>
        <w:trPr>
          <w:trHeight w:val="133"/>
        </w:trPr>
        <w:tc>
          <w:tcPr>
            <w:tcW w:w="1580" w:type="dxa"/>
            <w:vAlign w:val="bottom"/>
            <w:tcBorders>
              <w:bottom w:val="single" w:sz="8" w:color="0000FF"/>
            </w:tcBorders>
            <w:shd w:val="clear" w:color="auto" w:fill="CCEEFF"/>
          </w:tcPr>
          <w:p>
            <w:pPr>
              <w:spacing w:after="0" w:line="126" w:lineRule="exact"/>
              <w:rPr>
                <w:sz w:val="20"/>
                <w:szCs w:val="20"/>
                <w:color w:val="auto"/>
              </w:rPr>
            </w:pPr>
            <w:r>
              <w:rPr>
                <w:rFonts w:ascii="Arial" w:cs="Arial" w:eastAsia="Arial" w:hAnsi="Arial"/>
                <w:sz w:val="12"/>
                <w:szCs w:val="12"/>
                <w:color w:val="0000FF"/>
                <w:w w:val="99"/>
              </w:rPr>
              <w:t>Consolidated Balance Sheets</w:t>
            </w:r>
          </w:p>
        </w:tc>
        <w:tc>
          <w:tcPr>
            <w:tcW w:w="2680" w:type="dxa"/>
            <w:vAlign w:val="bottom"/>
            <w:tcBorders>
              <w:bottom w:val="single" w:sz="8" w:color="CCEEFF"/>
            </w:tcBorders>
            <w:gridSpan w:val="7"/>
            <w:shd w:val="clear" w:color="auto" w:fill="CCEEFF"/>
          </w:tcPr>
          <w:p>
            <w:pPr>
              <w:spacing w:after="0"/>
              <w:rPr>
                <w:sz w:val="11"/>
                <w:szCs w:val="11"/>
                <w:color w:val="auto"/>
              </w:rPr>
            </w:pPr>
          </w:p>
        </w:tc>
        <w:tc>
          <w:tcPr>
            <w:tcW w:w="59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53"/>
        </w:trPr>
        <w:tc>
          <w:tcPr>
            <w:tcW w:w="4260" w:type="dxa"/>
            <w:vAlign w:val="bottom"/>
            <w:gridSpan w:val="8"/>
          </w:tcPr>
          <w:p>
            <w:pPr>
              <w:ind w:left="320"/>
              <w:spacing w:after="0"/>
              <w:rPr>
                <w:sz w:val="20"/>
                <w:szCs w:val="20"/>
                <w:color w:val="auto"/>
              </w:rPr>
            </w:pPr>
            <w:r>
              <w:rPr>
                <w:rFonts w:ascii="Arial" w:cs="Arial" w:eastAsia="Arial" w:hAnsi="Arial"/>
                <w:sz w:val="12"/>
                <w:szCs w:val="12"/>
                <w:color w:val="auto"/>
              </w:rPr>
              <w:t>December 31, 2024 and 2023</w:t>
            </w:r>
          </w:p>
        </w:tc>
        <w:tc>
          <w:tcPr>
            <w:tcW w:w="59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F-4</w:t>
            </w:r>
          </w:p>
        </w:tc>
      </w:tr>
      <w:tr>
        <w:trPr>
          <w:trHeight w:val="180"/>
        </w:trPr>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33"/>
        </w:trPr>
        <w:tc>
          <w:tcPr>
            <w:tcW w:w="3500" w:type="dxa"/>
            <w:vAlign w:val="bottom"/>
            <w:tcBorders>
              <w:bottom w:val="single" w:sz="8" w:color="0000FF"/>
            </w:tcBorders>
            <w:gridSpan w:val="5"/>
          </w:tcPr>
          <w:p>
            <w:pPr>
              <w:spacing w:after="0" w:line="126" w:lineRule="exact"/>
              <w:rPr>
                <w:sz w:val="20"/>
                <w:szCs w:val="20"/>
                <w:color w:val="auto"/>
              </w:rPr>
            </w:pPr>
            <w:r>
              <w:rPr>
                <w:rFonts w:ascii="Arial" w:cs="Arial" w:eastAsia="Arial" w:hAnsi="Arial"/>
                <w:sz w:val="12"/>
                <w:szCs w:val="12"/>
                <w:color w:val="0000FF"/>
                <w:w w:val="99"/>
              </w:rPr>
              <w:t>Consolidated Statements of Operations and Comprehensive Loss</w:t>
            </w:r>
          </w:p>
        </w:tc>
        <w:tc>
          <w:tcPr>
            <w:tcW w:w="760" w:type="dxa"/>
            <w:vAlign w:val="bottom"/>
            <w:gridSpan w:val="3"/>
          </w:tcPr>
          <w:p>
            <w:pPr>
              <w:spacing w:after="0"/>
              <w:rPr>
                <w:sz w:val="11"/>
                <w:szCs w:val="11"/>
                <w:color w:val="auto"/>
              </w:rPr>
            </w:pPr>
          </w:p>
        </w:tc>
        <w:tc>
          <w:tcPr>
            <w:tcW w:w="59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3"/>
        </w:trPr>
        <w:tc>
          <w:tcPr>
            <w:tcW w:w="4260" w:type="dxa"/>
            <w:vAlign w:val="bottom"/>
            <w:gridSpan w:val="8"/>
            <w:shd w:val="clear" w:color="auto" w:fill="CCEEFF"/>
          </w:tcPr>
          <w:p>
            <w:pPr>
              <w:ind w:left="320"/>
              <w:spacing w:after="0"/>
              <w:rPr>
                <w:sz w:val="20"/>
                <w:szCs w:val="20"/>
                <w:color w:val="auto"/>
              </w:rPr>
            </w:pPr>
            <w:r>
              <w:rPr>
                <w:rFonts w:ascii="Arial" w:cs="Arial" w:eastAsia="Arial" w:hAnsi="Arial"/>
                <w:sz w:val="12"/>
                <w:szCs w:val="12"/>
                <w:color w:val="auto"/>
              </w:rPr>
              <w:t>Years ended December 31, 2024, 2023 and 2022</w:t>
            </w:r>
          </w:p>
        </w:tc>
        <w:tc>
          <w:tcPr>
            <w:tcW w:w="59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F-5</w:t>
            </w:r>
          </w:p>
        </w:tc>
      </w:tr>
      <w:tr>
        <w:trPr>
          <w:trHeight w:val="180"/>
        </w:trPr>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33"/>
        </w:trPr>
        <w:tc>
          <w:tcPr>
            <w:tcW w:w="3240" w:type="dxa"/>
            <w:vAlign w:val="bottom"/>
            <w:tcBorders>
              <w:bottom w:val="single" w:sz="8" w:color="0000FF"/>
            </w:tcBorders>
            <w:gridSpan w:val="4"/>
            <w:shd w:val="clear" w:color="auto" w:fill="CCEEFF"/>
          </w:tcPr>
          <w:p>
            <w:pPr>
              <w:spacing w:after="0" w:line="126" w:lineRule="exact"/>
              <w:rPr>
                <w:sz w:val="20"/>
                <w:szCs w:val="20"/>
                <w:color w:val="auto"/>
              </w:rPr>
            </w:pPr>
            <w:r>
              <w:rPr>
                <w:rFonts w:ascii="Arial" w:cs="Arial" w:eastAsia="Arial" w:hAnsi="Arial"/>
                <w:sz w:val="12"/>
                <w:szCs w:val="12"/>
                <w:color w:val="0000FF"/>
                <w:w w:val="99"/>
              </w:rPr>
              <w:t>Consolidated Statements of Changes in Stockholders’ Equity</w:t>
            </w:r>
          </w:p>
        </w:tc>
        <w:tc>
          <w:tcPr>
            <w:tcW w:w="1020" w:type="dxa"/>
            <w:vAlign w:val="bottom"/>
            <w:tcBorders>
              <w:bottom w:val="single" w:sz="8" w:color="CCEEFF"/>
            </w:tcBorders>
            <w:gridSpan w:val="4"/>
            <w:shd w:val="clear" w:color="auto" w:fill="CCEEFF"/>
          </w:tcPr>
          <w:p>
            <w:pPr>
              <w:spacing w:after="0"/>
              <w:rPr>
                <w:sz w:val="11"/>
                <w:szCs w:val="11"/>
                <w:color w:val="auto"/>
              </w:rPr>
            </w:pPr>
          </w:p>
        </w:tc>
        <w:tc>
          <w:tcPr>
            <w:tcW w:w="59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r>
      <w:tr>
        <w:trPr>
          <w:trHeight w:val="153"/>
        </w:trPr>
        <w:tc>
          <w:tcPr>
            <w:tcW w:w="4260" w:type="dxa"/>
            <w:vAlign w:val="bottom"/>
            <w:gridSpan w:val="8"/>
          </w:tcPr>
          <w:p>
            <w:pPr>
              <w:ind w:left="320"/>
              <w:spacing w:after="0"/>
              <w:rPr>
                <w:sz w:val="20"/>
                <w:szCs w:val="20"/>
                <w:color w:val="auto"/>
              </w:rPr>
            </w:pPr>
            <w:r>
              <w:rPr>
                <w:rFonts w:ascii="Arial" w:cs="Arial" w:eastAsia="Arial" w:hAnsi="Arial"/>
                <w:sz w:val="12"/>
                <w:szCs w:val="12"/>
                <w:color w:val="auto"/>
              </w:rPr>
              <w:t>Years ended December 31, 2024, 2023 and 2022</w:t>
            </w:r>
          </w:p>
        </w:tc>
        <w:tc>
          <w:tcPr>
            <w:tcW w:w="59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9"/>
              </w:rPr>
              <w:t>F-6</w:t>
            </w:r>
          </w:p>
        </w:tc>
      </w:tr>
      <w:tr>
        <w:trPr>
          <w:trHeight w:val="180"/>
        </w:trPr>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33"/>
        </w:trPr>
        <w:tc>
          <w:tcPr>
            <w:tcW w:w="2140" w:type="dxa"/>
            <w:vAlign w:val="bottom"/>
            <w:tcBorders>
              <w:bottom w:val="single" w:sz="8" w:color="0000FF"/>
            </w:tcBorders>
            <w:gridSpan w:val="2"/>
          </w:tcPr>
          <w:p>
            <w:pPr>
              <w:spacing w:after="0" w:line="126" w:lineRule="exact"/>
              <w:rPr>
                <w:sz w:val="20"/>
                <w:szCs w:val="20"/>
                <w:color w:val="auto"/>
              </w:rPr>
            </w:pPr>
            <w:r>
              <w:rPr>
                <w:rFonts w:ascii="Arial" w:cs="Arial" w:eastAsia="Arial" w:hAnsi="Arial"/>
                <w:sz w:val="12"/>
                <w:szCs w:val="12"/>
                <w:color w:val="0000FF"/>
                <w:w w:val="99"/>
              </w:rPr>
              <w:t>Consolidated Statements of Cash Flows</w:t>
            </w:r>
          </w:p>
        </w:tc>
        <w:tc>
          <w:tcPr>
            <w:tcW w:w="2120" w:type="dxa"/>
            <w:vAlign w:val="bottom"/>
            <w:gridSpan w:val="6"/>
          </w:tcPr>
          <w:p>
            <w:pPr>
              <w:spacing w:after="0"/>
              <w:rPr>
                <w:sz w:val="11"/>
                <w:szCs w:val="11"/>
                <w:color w:val="auto"/>
              </w:rPr>
            </w:pPr>
          </w:p>
        </w:tc>
        <w:tc>
          <w:tcPr>
            <w:tcW w:w="59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3"/>
        </w:trPr>
        <w:tc>
          <w:tcPr>
            <w:tcW w:w="4260" w:type="dxa"/>
            <w:vAlign w:val="bottom"/>
            <w:gridSpan w:val="8"/>
            <w:shd w:val="clear" w:color="auto" w:fill="CCEEFF"/>
          </w:tcPr>
          <w:p>
            <w:pPr>
              <w:ind w:left="320"/>
              <w:spacing w:after="0"/>
              <w:rPr>
                <w:sz w:val="20"/>
                <w:szCs w:val="20"/>
                <w:color w:val="auto"/>
              </w:rPr>
            </w:pPr>
            <w:r>
              <w:rPr>
                <w:rFonts w:ascii="Arial" w:cs="Arial" w:eastAsia="Arial" w:hAnsi="Arial"/>
                <w:sz w:val="12"/>
                <w:szCs w:val="12"/>
                <w:color w:val="auto"/>
              </w:rPr>
              <w:t>Years ended December 31, 2024, 2023 and 2022</w:t>
            </w:r>
          </w:p>
        </w:tc>
        <w:tc>
          <w:tcPr>
            <w:tcW w:w="59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F-7</w:t>
            </w:r>
          </w:p>
        </w:tc>
      </w:tr>
      <w:tr>
        <w:trPr>
          <w:trHeight w:val="180"/>
        </w:trPr>
        <w:tc>
          <w:tcPr>
            <w:tcW w:w="1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33"/>
        </w:trPr>
        <w:tc>
          <w:tcPr>
            <w:tcW w:w="4260" w:type="dxa"/>
            <w:vAlign w:val="bottom"/>
            <w:gridSpan w:val="8"/>
            <w:shd w:val="clear" w:color="auto" w:fill="CCEEFF"/>
          </w:tcPr>
          <w:p>
            <w:pPr>
              <w:spacing w:after="0" w:line="126" w:lineRule="exact"/>
              <w:rPr>
                <w:sz w:val="20"/>
                <w:szCs w:val="20"/>
                <w:color w:val="auto"/>
              </w:rPr>
            </w:pPr>
            <w:r>
              <w:rPr>
                <w:rFonts w:ascii="Arial" w:cs="Arial" w:eastAsia="Arial" w:hAnsi="Arial"/>
                <w:sz w:val="12"/>
                <w:szCs w:val="12"/>
                <w:color w:val="0000FF"/>
              </w:rPr>
              <w:t>Notes to Consolidated Financial Statements</w:t>
            </w:r>
          </w:p>
        </w:tc>
        <w:tc>
          <w:tcPr>
            <w:tcW w:w="594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99"/>
              </w:rPr>
              <w:t>F-8</w:t>
            </w:r>
          </w:p>
        </w:tc>
      </w:tr>
      <w:tr>
        <w:trPr>
          <w:trHeight w:val="605"/>
        </w:trPr>
        <w:tc>
          <w:tcPr>
            <w:tcW w:w="15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40" w:type="dxa"/>
            <w:vAlign w:val="bottom"/>
            <w:tcBorders>
              <w:top w:val="single" w:sz="8" w:color="CCEEFF"/>
            </w:tcBorders>
            <w:gridSpan w:val="2"/>
          </w:tcPr>
          <w:p>
            <w:pPr>
              <w:jc w:val="center"/>
              <w:ind w:right="4222"/>
              <w:spacing w:after="0"/>
              <w:rPr>
                <w:sz w:val="20"/>
                <w:szCs w:val="20"/>
                <w:color w:val="auto"/>
              </w:rPr>
            </w:pPr>
            <w:r>
              <w:rPr>
                <w:rFonts w:ascii="Arial" w:cs="Arial" w:eastAsia="Arial" w:hAnsi="Arial"/>
                <w:sz w:val="12"/>
                <w:szCs w:val="12"/>
                <w:color w:val="auto"/>
                <w:w w:val="97"/>
              </w:rPr>
              <w:t>F - 1</w:t>
            </w:r>
          </w:p>
        </w:tc>
      </w:tr>
      <w:tr>
        <w:trPr>
          <w:trHeight w:val="70"/>
        </w:trPr>
        <w:tc>
          <w:tcPr>
            <w:tcW w:w="1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9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17" w:right="299" w:bottom="1440" w:gutter="0" w:footer="0" w:header="0"/>
        </w:sectPr>
      </w:pPr>
    </w:p>
    <w:bookmarkStart w:id="162" w:name="page163"/>
    <w:bookmarkEnd w:id="162"/>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Arvinas,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have audited the accompanying consolidated balance sheets of Arvinas, Inc. and subsidiaries (the "Company") as of December 31, 2024 and 2023, the related consolidated statements of operations and comprehensive loss, changes in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February 11, 2025, expressed an unqualified opinion on the Company's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0"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w:t>
      </w:r>
    </w:p>
    <w:p>
      <w:pPr>
        <w:spacing w:after="0" w:line="150"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Collaboration and License Agreements – Novartis License and Asset Agreements – Refer to Notes 2 and 3 in the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 Description</w:t>
      </w:r>
    </w:p>
    <w:p>
      <w:pPr>
        <w:spacing w:after="0" w:line="14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and for the sale of the Company’s preclinical AR-V7 program. The Company determined that the Novartis License Agreement and the Novartis Asset Agreement entered into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3" w:name="page164"/>
    <w:bookmarkEnd w:id="163"/>
    <w:p>
      <w:pPr>
        <w:spacing w:after="0"/>
        <w:rPr>
          <w:sz w:val="20"/>
          <w:szCs w:val="20"/>
          <w:color w:val="auto"/>
        </w:rPr>
      </w:pPr>
      <w:r>
        <w:rPr>
          <w:rFonts w:ascii="Arial" w:cs="Arial" w:eastAsia="Arial" w:hAnsi="Arial"/>
          <w:sz w:val="12"/>
          <w:szCs w:val="12"/>
          <w:color w:val="auto"/>
        </w:rPr>
        <w:t xml:space="preserve">with Novartis concurrently should be evaluated as a combined contract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determined that the identification of performance obligations for the Novartis Transaction is a critical audit matter because of the significant judgments necessary for management to determine whether promised goods or services identified within the Novartis Transaction were distinct or should be combined with other promised goods and services to identify the performance obligations. This required a high degree of auditor judgment and an increased extent of effort, including the need to involve our specialists, when performing audit procedures to evaluate the performance obligations identified.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How the Critical Audit Matter Was Addressed in the Audit</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Our audit procedures related to the Novartis Transaction performance obligation conclusions included the following, among others:</w:t>
      </w:r>
    </w:p>
    <w:p>
      <w:pPr>
        <w:spacing w:after="0" w:line="150" w:lineRule="exact"/>
        <w:rPr>
          <w:sz w:val="20"/>
          <w:szCs w:val="20"/>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We tested the effectiveness of controls over the identification of promised goods or services and the assessment of whether such promised goods and services were distinct.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We obtained and read the contracts and other documents related to the Novartis Transaction.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We tested the Company’s accounting analysis related to the identification of performance obligations for the Novartis Transaction under ASC 606, and performed procedures including the following:</w:t>
      </w:r>
    </w:p>
    <w:p>
      <w:pPr>
        <w:spacing w:after="0" w:line="150" w:lineRule="exact"/>
        <w:rPr>
          <w:rFonts w:ascii="Arial" w:cs="Arial" w:eastAsia="Arial" w:hAnsi="Arial"/>
          <w:sz w:val="12"/>
          <w:szCs w:val="12"/>
          <w:color w:val="auto"/>
        </w:rPr>
      </w:pPr>
    </w:p>
    <w:p>
      <w:pPr>
        <w:ind w:left="860" w:right="280" w:hanging="220"/>
        <w:spacing w:after="0" w:line="286" w:lineRule="auto"/>
        <w:tabs>
          <w:tab w:leader="none" w:pos="857" w:val="left"/>
        </w:tabs>
        <w:numPr>
          <w:ilvl w:val="1"/>
          <w:numId w:val="89"/>
        </w:numPr>
        <w:rPr>
          <w:rFonts w:ascii="Arial" w:cs="Arial" w:eastAsia="Arial" w:hAnsi="Arial"/>
          <w:sz w:val="12"/>
          <w:szCs w:val="12"/>
          <w:color w:val="auto"/>
        </w:rPr>
      </w:pPr>
      <w:r>
        <w:rPr>
          <w:rFonts w:ascii="Arial" w:cs="Arial" w:eastAsia="Arial" w:hAnsi="Arial"/>
          <w:sz w:val="12"/>
          <w:szCs w:val="12"/>
          <w:color w:val="auto"/>
        </w:rPr>
        <w:t>We held corroborative inquiries with individuals involved in the negotiation of the Novartis Transaction to obtain an understanding of the identified promises as well as the Company’s assertions regarding whether the identified promises were distinct or should be combined with other promised goods and services to identify the performance obligations.</w:t>
      </w:r>
    </w:p>
    <w:p>
      <w:pPr>
        <w:spacing w:after="0" w:line="103" w:lineRule="exact"/>
        <w:rPr>
          <w:rFonts w:ascii="Arial" w:cs="Arial" w:eastAsia="Arial" w:hAnsi="Arial"/>
          <w:sz w:val="12"/>
          <w:szCs w:val="12"/>
          <w:color w:val="auto"/>
        </w:rPr>
      </w:pPr>
    </w:p>
    <w:p>
      <w:pPr>
        <w:ind w:left="860" w:right="460" w:hanging="220"/>
        <w:spacing w:after="0" w:line="286" w:lineRule="auto"/>
        <w:tabs>
          <w:tab w:leader="none" w:pos="857" w:val="left"/>
        </w:tabs>
        <w:numPr>
          <w:ilvl w:val="1"/>
          <w:numId w:val="89"/>
        </w:numPr>
        <w:rPr>
          <w:rFonts w:ascii="Arial" w:cs="Arial" w:eastAsia="Arial" w:hAnsi="Arial"/>
          <w:sz w:val="12"/>
          <w:szCs w:val="12"/>
          <w:color w:val="auto"/>
        </w:rPr>
      </w:pPr>
      <w:r>
        <w:rPr>
          <w:rFonts w:ascii="Arial" w:cs="Arial" w:eastAsia="Arial" w:hAnsi="Arial"/>
          <w:sz w:val="12"/>
          <w:szCs w:val="12"/>
          <w:color w:val="auto"/>
        </w:rPr>
        <w:t>With the assistance of professionals in our firm having expertise in revenue accounting, we evaluated the Company’s conclusions regarding the identification of performance obligations and inspected relevant authoritative guidance.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February 11, 2025</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2"/>
          <w:szCs w:val="12"/>
          <w:b w:val="1"/>
          <w:bCs w:val="1"/>
          <w:color w:val="auto"/>
        </w:rPr>
        <w:t>ARVINAS, INC.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8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200" w:type="dxa"/>
            <w:vAlign w:val="bottom"/>
            <w:tcBorders>
              <w:bottom w:val="single" w:sz="8" w:color="auto"/>
            </w:tcBorders>
          </w:tcPr>
          <w:p>
            <w:pPr>
              <w:spacing w:after="0"/>
              <w:rPr>
                <w:sz w:val="11"/>
                <w:szCs w:val="11"/>
                <w:color w:val="auto"/>
              </w:rPr>
            </w:pPr>
          </w:p>
        </w:tc>
      </w:tr>
      <w:tr>
        <w:trPr>
          <w:trHeight w:val="133"/>
        </w:trPr>
        <w:tc>
          <w:tcPr>
            <w:tcW w:w="780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and shares in millions, except per share amounts)</w:t>
            </w: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00"/>
              <w:spacing w:after="0"/>
              <w:rPr>
                <w:sz w:val="20"/>
                <w:szCs w:val="20"/>
                <w:color w:val="auto"/>
              </w:rPr>
            </w:pPr>
            <w:r>
              <w:rPr>
                <w:rFonts w:ascii="Arial" w:cs="Arial" w:eastAsia="Arial" w:hAnsi="Arial"/>
                <w:sz w:val="10"/>
                <w:szCs w:val="10"/>
                <w:b w:val="1"/>
                <w:bCs w:val="1"/>
                <w:color w:val="auto"/>
              </w:rPr>
              <w:t>2023</w:t>
            </w:r>
          </w:p>
        </w:tc>
      </w:tr>
      <w:tr>
        <w:trPr>
          <w:trHeight w:val="152"/>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1"/>
        </w:trPr>
        <w:tc>
          <w:tcPr>
            <w:tcW w:w="78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311.7</w:t>
            </w:r>
          </w:p>
        </w:tc>
      </w:tr>
      <w:tr>
        <w:trPr>
          <w:trHeight w:val="168"/>
        </w:trPr>
        <w:tc>
          <w:tcPr>
            <w:tcW w:w="780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4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74"/>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Marketable securities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949.3</w:t>
            </w:r>
          </w:p>
        </w:tc>
      </w:tr>
      <w:tr>
        <w:trPr>
          <w:trHeight w:val="168"/>
        </w:trPr>
        <w:tc>
          <w:tcPr>
            <w:tcW w:w="780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receivables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r>
      <w:tr>
        <w:trPr>
          <w:trHeight w:val="168"/>
        </w:trPr>
        <w:tc>
          <w:tcPr>
            <w:tcW w:w="7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assets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1,280.2</w:t>
            </w:r>
          </w:p>
        </w:tc>
      </w:tr>
      <w:tr>
        <w:trPr>
          <w:trHeight w:val="168"/>
        </w:trPr>
        <w:tc>
          <w:tcPr>
            <w:tcW w:w="7800" w:type="dxa"/>
            <w:vAlign w:val="bottom"/>
          </w:tcPr>
          <w:p>
            <w:pPr>
              <w:spacing w:after="0"/>
              <w:rPr>
                <w:sz w:val="20"/>
                <w:szCs w:val="20"/>
                <w:color w:val="auto"/>
              </w:rPr>
            </w:pPr>
            <w:r>
              <w:rPr>
                <w:rFonts w:ascii="Arial" w:cs="Arial" w:eastAsia="Arial" w:hAnsi="Arial"/>
                <w:sz w:val="12"/>
                <w:szCs w:val="12"/>
                <w:color w:val="auto"/>
              </w:rPr>
              <w:t>Property, equipment and leasehold improvements, net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174"/>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 of use assets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68"/>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Collaboration contract asset and other assets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w:t>
            </w:r>
          </w:p>
        </w:tc>
      </w:tr>
      <w:tr>
        <w:trPr>
          <w:trHeight w:val="182"/>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1,091.4</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1,304.6</w:t>
            </w:r>
          </w:p>
        </w:tc>
      </w:tr>
      <w:tr>
        <w:trPr>
          <w:trHeight w:val="150"/>
        </w:trPr>
        <w:tc>
          <w:tcPr>
            <w:tcW w:w="780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7800" w:type="dxa"/>
            <w:vAlign w:val="bottom"/>
          </w:tcPr>
          <w:p>
            <w:pPr>
              <w:ind w:left="160"/>
              <w:spacing w:after="0"/>
              <w:rPr>
                <w:sz w:val="20"/>
                <w:szCs w:val="20"/>
                <w:color w:val="auto"/>
              </w:rPr>
            </w:pPr>
            <w:r>
              <w:rPr>
                <w:rFonts w:ascii="Arial" w:cs="Arial" w:eastAsia="Arial" w:hAnsi="Arial"/>
                <w:sz w:val="12"/>
                <w:szCs w:val="12"/>
                <w:color w:val="auto"/>
              </w:rPr>
              <w:t>Accounts payable and accrued liabilities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71.8</w:t>
            </w:r>
          </w:p>
        </w:tc>
        <w:tc>
          <w:tcPr>
            <w:tcW w:w="80" w:type="dxa"/>
            <w:vAlign w:val="bottom"/>
          </w:tcPr>
          <w:p>
            <w:pPr>
              <w:spacing w:after="0"/>
              <w:rPr>
                <w:sz w:val="14"/>
                <w:szCs w:val="14"/>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92.2</w:t>
            </w:r>
          </w:p>
        </w:tc>
      </w:tr>
      <w:tr>
        <w:trPr>
          <w:trHeight w:val="175"/>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Deferred revenue</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163.0</w:t>
            </w:r>
          </w:p>
        </w:tc>
      </w:tr>
      <w:tr>
        <w:trPr>
          <w:trHeight w:val="168"/>
        </w:trPr>
        <w:tc>
          <w:tcPr>
            <w:tcW w:w="7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Current portion of operating lease liability</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liabilities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257.1</w:t>
            </w:r>
          </w:p>
        </w:tc>
      </w:tr>
      <w:tr>
        <w:trPr>
          <w:trHeight w:val="168"/>
        </w:trPr>
        <w:tc>
          <w:tcPr>
            <w:tcW w:w="7800" w:type="dxa"/>
            <w:vAlign w:val="bottom"/>
          </w:tcPr>
          <w:p>
            <w:pPr>
              <w:spacing w:after="0"/>
              <w:rPr>
                <w:sz w:val="20"/>
                <w:szCs w:val="20"/>
                <w:color w:val="auto"/>
              </w:rPr>
            </w:pPr>
            <w:r>
              <w:rPr>
                <w:rFonts w:ascii="Arial" w:cs="Arial" w:eastAsia="Arial" w:hAnsi="Arial"/>
                <w:sz w:val="12"/>
                <w:szCs w:val="12"/>
                <w:color w:val="auto"/>
              </w:rPr>
              <w:t>Deferred revenue</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292.0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386.2</w:t>
            </w:r>
          </w:p>
        </w:tc>
      </w:tr>
      <w:tr>
        <w:trPr>
          <w:trHeight w:val="174"/>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Long term debt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r>
      <w:tr>
        <w:trPr>
          <w:trHeight w:val="168"/>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Operating lease liability</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644.6</w:t>
            </w:r>
          </w:p>
        </w:tc>
      </w:tr>
      <w:tr>
        <w:trPr>
          <w:trHeight w:val="148"/>
        </w:trPr>
        <w:tc>
          <w:tcPr>
            <w:tcW w:w="7800" w:type="dxa"/>
            <w:vAlign w:val="bottom"/>
          </w:tcPr>
          <w:p>
            <w:pPr>
              <w:spacing w:after="0"/>
              <w:rPr>
                <w:sz w:val="20"/>
                <w:szCs w:val="20"/>
                <w:color w:val="auto"/>
              </w:rPr>
            </w:pPr>
            <w:r>
              <w:rPr>
                <w:rFonts w:ascii="Arial" w:cs="Arial" w:eastAsia="Arial" w:hAnsi="Arial"/>
                <w:sz w:val="12"/>
                <w:szCs w:val="12"/>
                <w:color w:val="auto"/>
              </w:rPr>
              <w:t>Commitments and contingencies (Note 12)</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5"/>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7800" w:type="dxa"/>
            <w:vAlign w:val="bottom"/>
          </w:tcPr>
          <w:p>
            <w:pPr>
              <w:ind w:left="160"/>
              <w:spacing w:after="0"/>
              <w:rPr>
                <w:sz w:val="20"/>
                <w:szCs w:val="20"/>
                <w:color w:val="auto"/>
              </w:rPr>
            </w:pPr>
            <w:r>
              <w:rPr>
                <w:rFonts w:ascii="Arial" w:cs="Arial" w:eastAsia="Arial" w:hAnsi="Arial"/>
                <w:sz w:val="12"/>
                <w:szCs w:val="12"/>
                <w:color w:val="auto"/>
              </w:rPr>
              <w:t>Preferred stock, $0.001 par value, zero shares issued and outstanding as of December 31, 2024 and 2023, respectively</w:t>
            </w:r>
          </w:p>
        </w:tc>
        <w:tc>
          <w:tcPr>
            <w:tcW w:w="4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4"/>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Common stock, $0.001 par value, 68.8 and 68.0 shares issued and outstanding as of December 31, 2024 and 2023, respectively</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68"/>
        </w:trPr>
        <w:tc>
          <w:tcPr>
            <w:tcW w:w="780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(1,531.6)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(1,332.7)</w:t>
            </w:r>
          </w:p>
        </w:tc>
      </w:tr>
      <w:tr>
        <w:trPr>
          <w:trHeight w:val="175"/>
        </w:trPr>
        <w:tc>
          <w:tcPr>
            <w:tcW w:w="7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1,995.7</w:t>
            </w:r>
          </w:p>
        </w:tc>
      </w:tr>
      <w:tr>
        <w:trPr>
          <w:trHeight w:val="167"/>
        </w:trPr>
        <w:tc>
          <w:tcPr>
            <w:tcW w:w="7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Accumulated other comprehensive income (loss)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r>
      <w:tr>
        <w:trPr>
          <w:trHeight w:val="164"/>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stockholders' equity</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660.0</w:t>
            </w:r>
          </w:p>
        </w:tc>
      </w:tr>
      <w:tr>
        <w:trPr>
          <w:trHeight w:val="156"/>
        </w:trPr>
        <w:tc>
          <w:tcPr>
            <w:tcW w:w="780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1,091.4</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1,304.6</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consolidated financial statements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2"/>
          <w:szCs w:val="12"/>
          <w:b w:val="1"/>
          <w:bCs w:val="1"/>
          <w:color w:val="auto"/>
        </w:rPr>
        <w:t>ARVINAS, INC.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000" w:type="dxa"/>
            <w:vAlign w:val="bottom"/>
          </w:tcPr>
          <w:p>
            <w:pPr>
              <w:spacing w:after="0"/>
              <w:rPr>
                <w:sz w:val="20"/>
                <w:szCs w:val="20"/>
                <w:color w:val="auto"/>
              </w:rPr>
            </w:pPr>
            <w:r>
              <w:rPr>
                <w:rFonts w:ascii="Arial" w:cs="Arial" w:eastAsia="Arial" w:hAnsi="Arial"/>
                <w:sz w:val="10"/>
                <w:szCs w:val="10"/>
                <w:i w:val="1"/>
                <w:iCs w:val="1"/>
                <w:color w:val="auto"/>
              </w:rPr>
              <w:t>(dollars and shares in millions, except per share amounts)</w:t>
            </w: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6"/>
              </w:rPr>
              <w:t>Year Ended December 31,</w:t>
            </w: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133"/>
        </w:trPr>
        <w:tc>
          <w:tcPr>
            <w:tcW w:w="60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Consolidated Statements of Operations</w:t>
            </w: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2022</w:t>
            </w:r>
          </w:p>
        </w:tc>
      </w:tr>
      <w:tr>
        <w:trPr>
          <w:trHeight w:val="161"/>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131.4</w:t>
            </w:r>
          </w:p>
        </w:tc>
      </w:tr>
      <w:tr>
        <w:trPr>
          <w:trHeight w:val="171"/>
        </w:trPr>
        <w:tc>
          <w:tcPr>
            <w:tcW w:w="600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6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Research and development</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315.0</w:t>
            </w:r>
          </w:p>
        </w:tc>
      </w:tr>
      <w:tr>
        <w:trPr>
          <w:trHeight w:val="168"/>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General and administrative</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79.6</w:t>
            </w: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513.6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394.6</w:t>
            </w:r>
          </w:p>
        </w:tc>
      </w:tr>
      <w:tr>
        <w:trPr>
          <w:trHeight w:val="160"/>
        </w:trPr>
        <w:tc>
          <w:tcPr>
            <w:tcW w:w="600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(401.5)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(263.2)</w:t>
            </w:r>
          </w:p>
        </w:tc>
      </w:tr>
      <w:tr>
        <w:trPr>
          <w:trHeight w:val="171"/>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6000" w:type="dxa"/>
            <w:vAlign w:val="bottom"/>
          </w:tcPr>
          <w:p>
            <w:pPr>
              <w:ind w:left="160"/>
              <w:spacing w:after="0"/>
              <w:rPr>
                <w:sz w:val="20"/>
                <w:szCs w:val="20"/>
                <w:color w:val="auto"/>
              </w:rPr>
            </w:pPr>
            <w:r>
              <w:rPr>
                <w:rFonts w:ascii="Arial" w:cs="Arial" w:eastAsia="Arial" w:hAnsi="Arial"/>
                <w:sz w:val="12"/>
                <w:szCs w:val="12"/>
                <w:color w:val="auto"/>
              </w:rPr>
              <w:t>Other (expense) income, net</w:t>
            </w: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0.2</w:t>
            </w:r>
          </w:p>
        </w:tc>
      </w:tr>
      <w:tr>
        <w:trPr>
          <w:trHeight w:val="175"/>
        </w:trPr>
        <w:tc>
          <w:tcPr>
            <w:tcW w:w="6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 income, net</w:t>
            </w: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12.0</w:t>
            </w:r>
          </w:p>
        </w:tc>
      </w:tr>
      <w:tr>
        <w:trPr>
          <w:trHeight w:val="160"/>
        </w:trPr>
        <w:tc>
          <w:tcPr>
            <w:tcW w:w="60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other income</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51.9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12.2</w:t>
            </w:r>
          </w:p>
        </w:tc>
      </w:tr>
      <w:tr>
        <w:trPr>
          <w:trHeight w:val="160"/>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before income taxes and loss from equity method investment</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w:t>
            </w:r>
          </w:p>
        </w:tc>
      </w:tr>
      <w:tr>
        <w:trPr>
          <w:trHeight w:val="168"/>
        </w:trPr>
        <w:tc>
          <w:tcPr>
            <w:tcW w:w="6000" w:type="dxa"/>
            <w:vAlign w:val="bottom"/>
          </w:tcPr>
          <w:p>
            <w:pPr>
              <w:ind w:left="160"/>
              <w:spacing w:after="0"/>
              <w:rPr>
                <w:sz w:val="20"/>
                <w:szCs w:val="20"/>
                <w:color w:val="auto"/>
              </w:rPr>
            </w:pPr>
            <w:r>
              <w:rPr>
                <w:rFonts w:ascii="Arial" w:cs="Arial" w:eastAsia="Arial" w:hAnsi="Arial"/>
                <w:sz w:val="12"/>
                <w:szCs w:val="12"/>
                <w:color w:val="auto"/>
              </w:rPr>
              <w:t>Income tax expense</w:t>
            </w: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(20.9)</w:t>
            </w:r>
          </w:p>
        </w:tc>
      </w:tr>
      <w:tr>
        <w:trPr>
          <w:trHeight w:val="174"/>
        </w:trPr>
        <w:tc>
          <w:tcPr>
            <w:tcW w:w="6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from equity method investment</w:t>
            </w:r>
          </w:p>
        </w:tc>
        <w:tc>
          <w:tcPr>
            <w:tcW w:w="4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r>
      <w:tr>
        <w:trPr>
          <w:trHeight w:val="15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loss</w:t>
            </w: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(198.9)</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(367.3)</w:t>
            </w:r>
          </w:p>
        </w:tc>
        <w:tc>
          <w:tcPr>
            <w:tcW w:w="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(282.5)</w:t>
            </w:r>
          </w:p>
        </w:tc>
      </w:tr>
      <w:tr>
        <w:trPr>
          <w:trHeight w:val="18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loss per common share - basic and diluted</w:t>
            </w: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w:t>
            </w:r>
          </w:p>
        </w:tc>
      </w:tr>
      <w:tr>
        <w:trPr>
          <w:trHeight w:val="171"/>
        </w:trPr>
        <w:tc>
          <w:tcPr>
            <w:tcW w:w="600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 - basic and diluted</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71.9</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53.2</w:t>
            </w: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44"/>
        </w:trPr>
        <w:tc>
          <w:tcPr>
            <w:tcW w:w="6000" w:type="dxa"/>
            <w:vAlign w:val="bottom"/>
          </w:tcPr>
          <w:p>
            <w:pPr>
              <w:spacing w:after="0"/>
              <w:rPr>
                <w:sz w:val="20"/>
                <w:szCs w:val="20"/>
                <w:color w:val="auto"/>
              </w:rPr>
            </w:pPr>
            <w:r>
              <w:rPr>
                <w:rFonts w:ascii="Arial" w:cs="Arial" w:eastAsia="Arial" w:hAnsi="Arial"/>
                <w:sz w:val="10"/>
                <w:szCs w:val="10"/>
                <w:i w:val="1"/>
                <w:iCs w:val="1"/>
                <w:color w:val="auto"/>
              </w:rPr>
              <w:t>(dollars in millions)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6"/>
              </w:rPr>
              <w:t>Year Ended December 31,</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33"/>
        </w:trPr>
        <w:tc>
          <w:tcPr>
            <w:tcW w:w="60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Consolidated Statements of Comprehensive Loss</w:t>
            </w: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2022</w:t>
            </w:r>
          </w:p>
        </w:tc>
      </w:tr>
      <w:tr>
        <w:trPr>
          <w:trHeight w:val="161"/>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(282.5)</w:t>
            </w:r>
          </w:p>
        </w:tc>
      </w:tr>
      <w:tr>
        <w:trPr>
          <w:trHeight w:val="171"/>
        </w:trPr>
        <w:tc>
          <w:tcPr>
            <w:tcW w:w="6000" w:type="dxa"/>
            <w:vAlign w:val="bottom"/>
          </w:tcPr>
          <w:p>
            <w:pPr>
              <w:spacing w:after="0"/>
              <w:rPr>
                <w:sz w:val="20"/>
                <w:szCs w:val="20"/>
                <w:color w:val="auto"/>
              </w:rPr>
            </w:pPr>
            <w:r>
              <w:rPr>
                <w:rFonts w:ascii="Arial" w:cs="Arial" w:eastAsia="Arial" w:hAnsi="Arial"/>
                <w:sz w:val="12"/>
                <w:szCs w:val="12"/>
                <w:b w:val="1"/>
                <w:bCs w:val="1"/>
                <w:color w:val="auto"/>
              </w:rPr>
              <w:t>Other comprehensive loss: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6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Unrealized gain (loss) on available-for-sale securities</w:t>
            </w: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57"/>
        </w:trPr>
        <w:tc>
          <w:tcPr>
            <w:tcW w:w="600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(194.8)</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(351.2)</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(297.0)</w:t>
            </w: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consolidated financial statements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12"/>
          <w:szCs w:val="12"/>
          <w:b w:val="1"/>
          <w:bCs w:val="1"/>
          <w:color w:val="auto"/>
        </w:rPr>
        <w:t>ARVINAS, INC.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Accumulated</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320" w:type="dxa"/>
            <w:vAlign w:val="bottom"/>
            <w:gridSpan w:val="3"/>
            <w:vMerge w:val="restart"/>
          </w:tcPr>
          <w:p>
            <w:pPr>
              <w:jc w:val="right"/>
              <w:ind w:right="26"/>
              <w:spacing w:after="0"/>
              <w:rPr>
                <w:sz w:val="20"/>
                <w:szCs w:val="20"/>
                <w:color w:val="auto"/>
              </w:rPr>
            </w:pPr>
            <w:r>
              <w:rPr>
                <w:rFonts w:ascii="Arial" w:cs="Arial" w:eastAsia="Arial" w:hAnsi="Arial"/>
                <w:sz w:val="10"/>
                <w:szCs w:val="10"/>
                <w:b w:val="1"/>
                <w:bCs w:val="1"/>
                <w:color w:val="auto"/>
              </w:rPr>
              <w:t>Common</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9"/>
                <w:szCs w:val="9"/>
                <w:color w:val="auto"/>
              </w:rPr>
            </w:pPr>
          </w:p>
        </w:tc>
        <w:tc>
          <w:tcPr>
            <w:tcW w:w="880" w:type="dxa"/>
            <w:vAlign w:val="bottom"/>
          </w:tcPr>
          <w:p>
            <w:pPr>
              <w:jc w:val="center"/>
              <w:ind w:right="87"/>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88"/>
        </w:trPr>
        <w:tc>
          <w:tcPr>
            <w:tcW w:w="4920" w:type="dxa"/>
            <w:vAlign w:val="bottom"/>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7"/>
                <w:szCs w:val="7"/>
                <w:color w:val="auto"/>
              </w:rPr>
            </w:pPr>
          </w:p>
        </w:tc>
        <w:tc>
          <w:tcPr>
            <w:tcW w:w="10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20" w:type="dxa"/>
            <w:vAlign w:val="bottom"/>
          </w:tcPr>
          <w:p>
            <w:pPr>
              <w:spacing w:after="0"/>
              <w:rPr>
                <w:sz w:val="7"/>
                <w:szCs w:val="7"/>
                <w:color w:val="auto"/>
              </w:rPr>
            </w:pPr>
          </w:p>
        </w:tc>
        <w:tc>
          <w:tcPr>
            <w:tcW w:w="880" w:type="dxa"/>
            <w:vAlign w:val="bottom"/>
          </w:tcPr>
          <w:p>
            <w:pPr>
              <w:jc w:val="center"/>
              <w:ind w:right="67"/>
              <w:spacing w:after="0" w:line="88" w:lineRule="exact"/>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41"/>
        </w:trPr>
        <w:tc>
          <w:tcPr>
            <w:tcW w:w="4920" w:type="dxa"/>
            <w:vAlign w:val="bottom"/>
          </w:tcPr>
          <w:p>
            <w:pPr>
              <w:spacing w:after="0"/>
              <w:rPr>
                <w:sz w:val="20"/>
                <w:szCs w:val="20"/>
                <w:color w:val="auto"/>
              </w:rPr>
            </w:pPr>
            <w:r>
              <w:rPr>
                <w:rFonts w:ascii="Arial" w:cs="Arial" w:eastAsia="Arial" w:hAnsi="Arial"/>
                <w:sz w:val="10"/>
                <w:szCs w:val="10"/>
                <w:i w:val="1"/>
                <w:iCs w:val="1"/>
                <w:color w:val="auto"/>
              </w:rPr>
              <w:t>(dollars and shares in millions)</w:t>
            </w:r>
          </w:p>
        </w:tc>
        <w:tc>
          <w:tcPr>
            <w:tcW w:w="1060" w:type="dxa"/>
            <w:vAlign w:val="bottom"/>
            <w:gridSpan w:val="2"/>
          </w:tcPr>
          <w:p>
            <w:pPr>
              <w:ind w:left="340"/>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060" w:type="dxa"/>
            <w:vAlign w:val="bottom"/>
            <w:gridSpan w:val="3"/>
          </w:tcPr>
          <w:p>
            <w:pPr>
              <w:ind w:left="40"/>
              <w:spacing w:after="0"/>
              <w:rPr>
                <w:sz w:val="20"/>
                <w:szCs w:val="20"/>
                <w:color w:val="auto"/>
              </w:rPr>
            </w:pPr>
            <w:r>
              <w:rPr>
                <w:rFonts w:ascii="Arial" w:cs="Arial" w:eastAsia="Arial" w:hAnsi="Arial"/>
                <w:sz w:val="10"/>
                <w:szCs w:val="10"/>
                <w:b w:val="1"/>
                <w:bCs w:val="1"/>
                <w:color w:val="auto"/>
              </w:rPr>
              <w:t>Accumulated Deficit</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Paid-in Capital</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Loss (Income)</w:t>
            </w:r>
          </w:p>
        </w:tc>
        <w:tc>
          <w:tcPr>
            <w:tcW w:w="120" w:type="dxa"/>
            <w:vAlign w:val="bottom"/>
          </w:tcPr>
          <w:p>
            <w:pPr>
              <w:spacing w:after="0"/>
              <w:rPr>
                <w:sz w:val="12"/>
                <w:szCs w:val="12"/>
                <w:color w:val="auto"/>
              </w:rPr>
            </w:pPr>
          </w:p>
        </w:tc>
        <w:tc>
          <w:tcPr>
            <w:tcW w:w="880" w:type="dxa"/>
            <w:vAlign w:val="bottom"/>
          </w:tcPr>
          <w:p>
            <w:pPr>
              <w:jc w:val="center"/>
              <w:ind w:right="67"/>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52"/>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(682.9)</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1,469.2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781.7</w:t>
            </w:r>
          </w:p>
        </w:tc>
        <w:tc>
          <w:tcPr>
            <w:tcW w:w="0" w:type="dxa"/>
            <w:vAlign w:val="bottom"/>
          </w:tcPr>
          <w:p>
            <w:pPr>
              <w:spacing w:after="0"/>
              <w:rPr>
                <w:sz w:val="1"/>
                <w:szCs w:val="1"/>
                <w:color w:val="auto"/>
              </w:rPr>
            </w:pPr>
          </w:p>
        </w:tc>
      </w:tr>
      <w:tr>
        <w:trPr>
          <w:trHeight w:val="142"/>
        </w:trPr>
        <w:tc>
          <w:tcPr>
            <w:tcW w:w="492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75.5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(282.5)</w:t>
            </w:r>
          </w:p>
        </w:tc>
        <w:tc>
          <w:tcPr>
            <w:tcW w:w="0" w:type="dxa"/>
            <w:vAlign w:val="bottom"/>
          </w:tcPr>
          <w:p>
            <w:pPr>
              <w:spacing w:after="0"/>
              <w:rPr>
                <w:sz w:val="1"/>
                <w:szCs w:val="1"/>
                <w:color w:val="auto"/>
              </w:rPr>
            </w:pPr>
          </w:p>
        </w:tc>
      </w:tr>
      <w:tr>
        <w:trPr>
          <w:trHeight w:val="142"/>
        </w:trPr>
        <w:tc>
          <w:tcPr>
            <w:tcW w:w="4920" w:type="dxa"/>
            <w:vAlign w:val="bottom"/>
          </w:tcPr>
          <w:p>
            <w:pPr>
              <w:ind w:left="140"/>
              <w:spacing w:after="0"/>
              <w:rPr>
                <w:sz w:val="20"/>
                <w:szCs w:val="20"/>
                <w:color w:val="auto"/>
              </w:rPr>
            </w:pPr>
            <w:r>
              <w:rPr>
                <w:rFonts w:ascii="Arial" w:cs="Arial" w:eastAsia="Arial" w:hAnsi="Arial"/>
                <w:sz w:val="11"/>
                <w:szCs w:val="11"/>
                <w:color w:val="auto"/>
              </w:rPr>
              <w:t>Issuance of common stock under equity incentive plans</w:t>
            </w:r>
          </w:p>
        </w:tc>
        <w:tc>
          <w:tcPr>
            <w:tcW w:w="100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Unrealized loss on available-for-sale securities</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1"/>
                <w:szCs w:val="11"/>
                <w:b w:val="1"/>
                <w:bCs w:val="1"/>
                <w:color w:val="auto"/>
              </w:rPr>
              <w:t>Balance as of December 31,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53.2</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(965.4)</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1,549.4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564.9</w:t>
            </w:r>
          </w:p>
        </w:tc>
        <w:tc>
          <w:tcPr>
            <w:tcW w:w="0" w:type="dxa"/>
            <w:vAlign w:val="bottom"/>
          </w:tcPr>
          <w:p>
            <w:pPr>
              <w:spacing w:after="0"/>
              <w:rPr>
                <w:sz w:val="1"/>
                <w:szCs w:val="1"/>
                <w:color w:val="auto"/>
              </w:rPr>
            </w:pPr>
          </w:p>
        </w:tc>
      </w:tr>
      <w:tr>
        <w:trPr>
          <w:trHeight w:val="169"/>
        </w:trPr>
        <w:tc>
          <w:tcPr>
            <w:tcW w:w="49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42"/>
        </w:trPr>
        <w:tc>
          <w:tcPr>
            <w:tcW w:w="4920" w:type="dxa"/>
            <w:vAlign w:val="bottom"/>
          </w:tcPr>
          <w:p>
            <w:pPr>
              <w:ind w:left="140"/>
              <w:spacing w:after="0"/>
              <w:rPr>
                <w:sz w:val="20"/>
                <w:szCs w:val="20"/>
                <w:color w:val="auto"/>
              </w:rPr>
            </w:pPr>
            <w:r>
              <w:rPr>
                <w:rFonts w:ascii="Arial" w:cs="Arial" w:eastAsia="Arial" w:hAnsi="Arial"/>
                <w:sz w:val="11"/>
                <w:szCs w:val="11"/>
                <w:color w:val="auto"/>
              </w:rPr>
              <w:t>Net loss</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common stock under equity incentive plans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1"/>
        </w:trPr>
        <w:tc>
          <w:tcPr>
            <w:tcW w:w="4920" w:type="dxa"/>
            <w:vAlign w:val="bottom"/>
          </w:tcPr>
          <w:p>
            <w:pPr>
              <w:ind w:left="140"/>
              <w:spacing w:after="0"/>
              <w:rPr>
                <w:sz w:val="20"/>
                <w:szCs w:val="20"/>
                <w:color w:val="auto"/>
              </w:rPr>
            </w:pPr>
            <w:r>
              <w:rPr>
                <w:rFonts w:ascii="Arial" w:cs="Arial" w:eastAsia="Arial" w:hAnsi="Arial"/>
                <w:sz w:val="11"/>
                <w:szCs w:val="11"/>
                <w:color w:val="auto"/>
              </w:rPr>
              <w:t>Common stock issued, net of issuance costs of $17.0 million</w:t>
            </w:r>
          </w:p>
        </w:tc>
        <w:tc>
          <w:tcPr>
            <w:tcW w:w="1000" w:type="dxa"/>
            <w:vAlign w:val="bottom"/>
          </w:tcPr>
          <w:p>
            <w:pPr>
              <w:jc w:val="right"/>
              <w:spacing w:after="0"/>
              <w:rPr>
                <w:sz w:val="20"/>
                <w:szCs w:val="20"/>
                <w:color w:val="auto"/>
              </w:rPr>
            </w:pPr>
            <w:r>
              <w:rPr>
                <w:rFonts w:ascii="Arial" w:cs="Arial" w:eastAsia="Arial" w:hAnsi="Arial"/>
                <w:sz w:val="11"/>
                <w:szCs w:val="11"/>
                <w:color w:val="auto"/>
              </w:rPr>
              <w:t>14.4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370.2</w:t>
            </w: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Unrealized gain on available-for-sale securities</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16.1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16.1</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1"/>
                <w:szCs w:val="11"/>
                <w:b w:val="1"/>
                <w:bCs w:val="1"/>
                <w:color w:val="auto"/>
              </w:rPr>
              <w:t>Balance as of December 31, 2023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68.0</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(1,332.7)</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1,995.7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660.0</w:t>
            </w:r>
          </w:p>
        </w:tc>
        <w:tc>
          <w:tcPr>
            <w:tcW w:w="0" w:type="dxa"/>
            <w:vAlign w:val="bottom"/>
          </w:tcPr>
          <w:p>
            <w:pPr>
              <w:spacing w:after="0"/>
              <w:rPr>
                <w:sz w:val="1"/>
                <w:szCs w:val="1"/>
                <w:color w:val="auto"/>
              </w:rPr>
            </w:pPr>
          </w:p>
        </w:tc>
      </w:tr>
      <w:tr>
        <w:trPr>
          <w:trHeight w:val="149"/>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88.2</w:t>
            </w:r>
          </w:p>
        </w:tc>
        <w:tc>
          <w:tcPr>
            <w:tcW w:w="0" w:type="dxa"/>
            <w:vAlign w:val="bottom"/>
          </w:tcPr>
          <w:p>
            <w:pPr>
              <w:spacing w:after="0"/>
              <w:rPr>
                <w:sz w:val="1"/>
                <w:szCs w:val="1"/>
                <w:color w:val="auto"/>
              </w:rPr>
            </w:pPr>
          </w:p>
        </w:tc>
      </w:tr>
      <w:tr>
        <w:trPr>
          <w:trHeight w:val="142"/>
        </w:trPr>
        <w:tc>
          <w:tcPr>
            <w:tcW w:w="4920" w:type="dxa"/>
            <w:vAlign w:val="bottom"/>
          </w:tcPr>
          <w:p>
            <w:pPr>
              <w:ind w:left="140"/>
              <w:spacing w:after="0"/>
              <w:rPr>
                <w:sz w:val="20"/>
                <w:szCs w:val="20"/>
                <w:color w:val="auto"/>
              </w:rPr>
            </w:pPr>
            <w:r>
              <w:rPr>
                <w:rFonts w:ascii="Arial" w:cs="Arial" w:eastAsia="Arial" w:hAnsi="Arial"/>
                <w:sz w:val="11"/>
                <w:szCs w:val="11"/>
                <w:color w:val="auto"/>
              </w:rPr>
              <w:t>Net loss</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common stock under equity incentive plans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60"/>
        </w:trPr>
        <w:tc>
          <w:tcPr>
            <w:tcW w:w="4920" w:type="dxa"/>
            <w:vAlign w:val="bottom"/>
          </w:tcPr>
          <w:p>
            <w:pPr>
              <w:ind w:left="140"/>
              <w:spacing w:after="0"/>
              <w:rPr>
                <w:sz w:val="20"/>
                <w:szCs w:val="20"/>
                <w:color w:val="auto"/>
              </w:rPr>
            </w:pPr>
            <w:r>
              <w:rPr>
                <w:rFonts w:ascii="Arial" w:cs="Arial" w:eastAsia="Arial" w:hAnsi="Arial"/>
                <w:sz w:val="11"/>
                <w:szCs w:val="11"/>
                <w:color w:val="auto"/>
              </w:rPr>
              <w:t>Unrealized gain on available-for-sale securities</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561.7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consolidated financial statements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12"/>
          <w:szCs w:val="12"/>
          <w:b w:val="1"/>
          <w:bCs w:val="1"/>
          <w:color w:val="2E2E2E"/>
        </w:rPr>
        <w:t>ARVINAS</w:t>
      </w:r>
      <w:r>
        <w:rPr>
          <w:rFonts w:ascii="Arial" w:cs="Arial" w:eastAsia="Arial" w:hAnsi="Arial"/>
          <w:sz w:val="12"/>
          <w:szCs w:val="12"/>
          <w:b w:val="1"/>
          <w:bCs w:val="1"/>
          <w:color w:val="000000"/>
        </w:rPr>
        <w:t>,</w:t>
      </w:r>
      <w:r>
        <w:rPr>
          <w:rFonts w:ascii="Arial" w:cs="Arial" w:eastAsia="Arial" w:hAnsi="Arial"/>
          <w:sz w:val="12"/>
          <w:szCs w:val="12"/>
          <w:b w:val="1"/>
          <w:bCs w:val="1"/>
          <w:color w:val="2E2E2E"/>
        </w:rPr>
        <w:t xml:space="preserve"> INC</w:t>
      </w:r>
      <w:r>
        <w:rPr>
          <w:rFonts w:ascii="Arial" w:cs="Arial" w:eastAsia="Arial" w:hAnsi="Arial"/>
          <w:sz w:val="12"/>
          <w:szCs w:val="12"/>
          <w:b w:val="1"/>
          <w:bCs w:val="1"/>
          <w:color w:val="000000"/>
        </w:rPr>
        <w:t>. AND SUBSIDIARIES</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33"/>
        </w:trPr>
        <w:tc>
          <w:tcPr>
            <w:tcW w:w="63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2022</w:t>
            </w:r>
          </w:p>
        </w:tc>
      </w:tr>
      <w:tr>
        <w:trPr>
          <w:trHeight w:val="132"/>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r>
      <w:tr>
        <w:trPr>
          <w:trHeight w:val="141"/>
        </w:trPr>
        <w:tc>
          <w:tcPr>
            <w:tcW w:w="6360" w:type="dxa"/>
            <w:vAlign w:val="bottom"/>
          </w:tcPr>
          <w:p>
            <w:pPr>
              <w:ind w:left="140"/>
              <w:spacing w:after="0"/>
              <w:rPr>
                <w:sz w:val="20"/>
                <w:szCs w:val="20"/>
                <w:color w:val="auto"/>
              </w:rPr>
            </w:pPr>
            <w:r>
              <w:rPr>
                <w:rFonts w:ascii="Arial" w:cs="Arial" w:eastAsia="Arial" w:hAnsi="Arial"/>
                <w:sz w:val="10"/>
                <w:szCs w:val="10"/>
                <w:color w:val="auto"/>
              </w:rPr>
              <w:t>Net loss</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(198.9)</w:t>
            </w:r>
          </w:p>
        </w:tc>
        <w:tc>
          <w:tcPr>
            <w:tcW w:w="80" w:type="dxa"/>
            <w:vAlign w:val="bottom"/>
          </w:tcPr>
          <w:p>
            <w:pPr>
              <w:spacing w:after="0"/>
              <w:rPr>
                <w:sz w:val="12"/>
                <w:szCs w:val="12"/>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460" w:type="dxa"/>
            <w:vAlign w:val="bottom"/>
          </w:tcPr>
          <w:p>
            <w:pPr>
              <w:jc w:val="right"/>
              <w:spacing w:after="0"/>
              <w:rPr>
                <w:sz w:val="20"/>
                <w:szCs w:val="20"/>
                <w:color w:val="auto"/>
              </w:rPr>
            </w:pPr>
            <w:r>
              <w:rPr>
                <w:rFonts w:ascii="Arial" w:cs="Arial" w:eastAsia="Arial" w:hAnsi="Arial"/>
                <w:sz w:val="10"/>
                <w:szCs w:val="10"/>
                <w:color w:val="auto"/>
              </w:rPr>
              <w:t>(367.3)</w:t>
            </w:r>
          </w:p>
        </w:tc>
        <w:tc>
          <w:tcPr>
            <w:tcW w:w="80" w:type="dxa"/>
            <w:vAlign w:val="bottom"/>
          </w:tcPr>
          <w:p>
            <w:pPr>
              <w:spacing w:after="0"/>
              <w:rPr>
                <w:sz w:val="12"/>
                <w:szCs w:val="12"/>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(282.5)</w:t>
            </w:r>
          </w:p>
        </w:tc>
      </w:tr>
      <w:tr>
        <w:trPr>
          <w:trHeight w:val="156"/>
        </w:trPr>
        <w:tc>
          <w:tcPr>
            <w:tcW w:w="6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4.8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6.3</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Net accretion of bond discounts/premiums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w:t>
            </w: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Loss on sale of marketable securities</w:t>
            </w:r>
          </w:p>
        </w:tc>
        <w:tc>
          <w:tcPr>
            <w:tcW w:w="38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0.9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0.4</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Amortization of right-of-use assets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Amortization of collaboration contract asset</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Net loss on disposal of property, equipment and leasehold improvements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Stock-based compensation</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88.2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71.6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75.5</w:t>
            </w:r>
          </w:p>
        </w:tc>
      </w:tr>
      <w:tr>
        <w:trPr>
          <w:trHeight w:val="147"/>
        </w:trPr>
        <w:tc>
          <w:tcPr>
            <w:tcW w:w="6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Changes in operating assets and liabilities: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Accounts receivable</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14.0</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Other receivables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Prepaid expenses and other assets</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14.1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Collaboration contract asset</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41"/>
        </w:trPr>
        <w:tc>
          <w:tcPr>
            <w:tcW w:w="6360" w:type="dxa"/>
            <w:vAlign w:val="bottom"/>
          </w:tcPr>
          <w:p>
            <w:pPr>
              <w:ind w:left="320"/>
              <w:spacing w:after="0"/>
              <w:rPr>
                <w:sz w:val="20"/>
                <w:szCs w:val="20"/>
                <w:color w:val="auto"/>
              </w:rPr>
            </w:pPr>
            <w:r>
              <w:rPr>
                <w:rFonts w:ascii="Arial" w:cs="Arial" w:eastAsia="Arial" w:hAnsi="Arial"/>
                <w:sz w:val="10"/>
                <w:szCs w:val="10"/>
                <w:color w:val="auto"/>
              </w:rPr>
              <w:t>Accounts payable and accrued liabilities</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20.2</w:t>
            </w:r>
          </w:p>
        </w:tc>
      </w:tr>
      <w:tr>
        <w:trPr>
          <w:trHeight w:val="147"/>
        </w:trPr>
        <w:tc>
          <w:tcPr>
            <w:tcW w:w="63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Operating lease liabilities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41"/>
        </w:trPr>
        <w:tc>
          <w:tcPr>
            <w:tcW w:w="6360" w:type="dxa"/>
            <w:vAlign w:val="bottom"/>
            <w:tcBorders>
              <w:bottom w:val="single" w:sz="8" w:color="CCEEFF"/>
            </w:tcBorders>
          </w:tcPr>
          <w:p>
            <w:pPr>
              <w:ind w:left="320"/>
              <w:spacing w:after="0"/>
              <w:rPr>
                <w:sz w:val="20"/>
                <w:szCs w:val="20"/>
                <w:color w:val="auto"/>
              </w:rPr>
            </w:pPr>
            <w:r>
              <w:rPr>
                <w:rFonts w:ascii="Arial" w:cs="Arial" w:eastAsia="Arial" w:hAnsi="Arial"/>
                <w:sz w:val="10"/>
                <w:szCs w:val="10"/>
                <w:color w:val="auto"/>
              </w:rPr>
              <w:t>Deferred revenue</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(74.6)</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(116.8)</w:t>
            </w:r>
          </w:p>
        </w:tc>
      </w:tr>
      <w:tr>
        <w:trPr>
          <w:trHeight w:val="136"/>
        </w:trPr>
        <w:tc>
          <w:tcPr>
            <w:tcW w:w="6360" w:type="dxa"/>
            <w:vAlign w:val="bottom"/>
            <w:shd w:val="clear" w:color="auto" w:fill="CCEEFF"/>
          </w:tcPr>
          <w:p>
            <w:pPr>
              <w:ind w:left="440"/>
              <w:spacing w:after="0"/>
              <w:rPr>
                <w:sz w:val="20"/>
                <w:szCs w:val="20"/>
                <w:color w:val="auto"/>
              </w:rPr>
            </w:pPr>
            <w:r>
              <w:rPr>
                <w:rFonts w:ascii="Arial" w:cs="Arial" w:eastAsia="Arial" w:hAnsi="Arial"/>
                <w:sz w:val="10"/>
                <w:szCs w:val="10"/>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(259.3)</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(347.8)</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(273.5)</w:t>
            </w:r>
          </w:p>
        </w:tc>
      </w:tr>
      <w:tr>
        <w:trPr>
          <w:trHeight w:val="123"/>
        </w:trPr>
        <w:tc>
          <w:tcPr>
            <w:tcW w:w="636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5"/>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Purchase of marketable securities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(956.3)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(886.4)</w:t>
            </w:r>
          </w:p>
        </w:tc>
      </w:tr>
      <w:tr>
        <w:trPr>
          <w:trHeight w:val="141"/>
        </w:trPr>
        <w:tc>
          <w:tcPr>
            <w:tcW w:w="6360" w:type="dxa"/>
            <w:vAlign w:val="bottom"/>
          </w:tcPr>
          <w:p>
            <w:pPr>
              <w:ind w:left="160"/>
              <w:spacing w:after="0"/>
              <w:rPr>
                <w:sz w:val="20"/>
                <w:szCs w:val="20"/>
                <w:color w:val="auto"/>
              </w:rPr>
            </w:pPr>
            <w:r>
              <w:rPr>
                <w:rFonts w:ascii="Arial" w:cs="Arial" w:eastAsia="Arial" w:hAnsi="Arial"/>
                <w:sz w:val="10"/>
                <w:szCs w:val="10"/>
                <w:color w:val="auto"/>
              </w:rPr>
              <w:t>Maturities of marketable securities</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644.0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1,103.9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1,076.9</w:t>
            </w:r>
          </w:p>
        </w:tc>
      </w:tr>
      <w:tr>
        <w:trPr>
          <w:trHeight w:val="147"/>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Sale of marketable securities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59.1</w:t>
            </w:r>
          </w:p>
        </w:tc>
      </w:tr>
      <w:tr>
        <w:trPr>
          <w:trHeight w:val="141"/>
        </w:trPr>
        <w:tc>
          <w:tcPr>
            <w:tcW w:w="6360" w:type="dxa"/>
            <w:vAlign w:val="bottom"/>
          </w:tcPr>
          <w:p>
            <w:pPr>
              <w:ind w:left="160"/>
              <w:spacing w:after="0"/>
              <w:rPr>
                <w:sz w:val="20"/>
                <w:szCs w:val="20"/>
                <w:color w:val="auto"/>
              </w:rPr>
            </w:pPr>
            <w:r>
              <w:rPr>
                <w:rFonts w:ascii="Arial" w:cs="Arial" w:eastAsia="Arial" w:hAnsi="Arial"/>
                <w:sz w:val="10"/>
                <w:szCs w:val="10"/>
                <w:color w:val="auto"/>
              </w:rPr>
              <w:t>Purchase of property, equipment and leasehold improvements</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(6.8)</w:t>
            </w:r>
          </w:p>
        </w:tc>
      </w:tr>
      <w:tr>
        <w:trPr>
          <w:trHeight w:val="147"/>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disposal of property, equipment and leasehold improvements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0"/>
        </w:trPr>
        <w:tc>
          <w:tcPr>
            <w:tcW w:w="6360" w:type="dxa"/>
            <w:vAlign w:val="bottom"/>
            <w:tcBorders>
              <w:bottom w:val="single" w:sz="8" w:color="CCEEFF"/>
            </w:tcBorders>
          </w:tcPr>
          <w:p>
            <w:pPr>
              <w:ind w:left="300"/>
              <w:spacing w:after="0"/>
              <w:rPr>
                <w:sz w:val="20"/>
                <w:szCs w:val="20"/>
                <w:color w:val="auto"/>
              </w:rPr>
            </w:pPr>
            <w:r>
              <w:rPr>
                <w:rFonts w:ascii="Arial" w:cs="Arial" w:eastAsia="Arial" w:hAnsi="Arial"/>
                <w:sz w:val="10"/>
                <w:szCs w:val="10"/>
                <w:b w:val="1"/>
                <w:bCs w:val="1"/>
                <w:color w:val="auto"/>
              </w:rPr>
              <w:t>Net cash provided by investing activities</w:t>
            </w: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34.7</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203.5</w:t>
            </w:r>
          </w:p>
        </w:tc>
        <w:tc>
          <w:tcPr>
            <w:tcW w:w="8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242.8</w:t>
            </w:r>
          </w:p>
        </w:tc>
      </w:tr>
      <w:tr>
        <w:trPr>
          <w:trHeight w:val="127"/>
        </w:trPr>
        <w:tc>
          <w:tcPr>
            <w:tcW w:w="6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41"/>
        </w:trPr>
        <w:tc>
          <w:tcPr>
            <w:tcW w:w="6360" w:type="dxa"/>
            <w:vAlign w:val="bottom"/>
          </w:tcPr>
          <w:p>
            <w:pPr>
              <w:ind w:left="160"/>
              <w:spacing w:after="0"/>
              <w:rPr>
                <w:sz w:val="20"/>
                <w:szCs w:val="20"/>
                <w:color w:val="auto"/>
              </w:rPr>
            </w:pPr>
            <w:r>
              <w:rPr>
                <w:rFonts w:ascii="Arial" w:cs="Arial" w:eastAsia="Arial" w:hAnsi="Arial"/>
                <w:sz w:val="10"/>
                <w:szCs w:val="10"/>
                <w:color w:val="auto"/>
              </w:rPr>
              <w:t>Repayments of long-term debt</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7"/>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issuance of common stock and pre-funded warrants</w:t>
            </w: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41"/>
        </w:trPr>
        <w:tc>
          <w:tcPr>
            <w:tcW w:w="6360" w:type="dxa"/>
            <w:vAlign w:val="bottom"/>
          </w:tcPr>
          <w:p>
            <w:pPr>
              <w:ind w:left="160"/>
              <w:spacing w:after="0"/>
              <w:rPr>
                <w:sz w:val="20"/>
                <w:szCs w:val="20"/>
                <w:color w:val="auto"/>
              </w:rPr>
            </w:pPr>
            <w:r>
              <w:rPr>
                <w:rFonts w:ascii="Arial" w:cs="Arial" w:eastAsia="Arial" w:hAnsi="Arial"/>
                <w:sz w:val="10"/>
                <w:szCs w:val="10"/>
                <w:color w:val="auto"/>
              </w:rPr>
              <w:t>Payment of common stock offering costs</w:t>
            </w:r>
          </w:p>
        </w:tc>
        <w:tc>
          <w:tcPr>
            <w:tcW w:w="38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(17.0)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7"/>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Proceeds from exercise of stock options and issuance of ESPP shares</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w:t>
            </w:r>
          </w:p>
        </w:tc>
      </w:tr>
      <w:tr>
        <w:trPr>
          <w:trHeight w:val="130"/>
        </w:trPr>
        <w:tc>
          <w:tcPr>
            <w:tcW w:w="6360" w:type="dxa"/>
            <w:vAlign w:val="bottom"/>
            <w:tcBorders>
              <w:bottom w:val="single" w:sz="8" w:color="CCEEFF"/>
            </w:tcBorders>
          </w:tcPr>
          <w:p>
            <w:pPr>
              <w:ind w:left="300"/>
              <w:spacing w:after="0"/>
              <w:rPr>
                <w:sz w:val="20"/>
                <w:szCs w:val="20"/>
                <w:color w:val="auto"/>
              </w:rPr>
            </w:pPr>
            <w:r>
              <w:rPr>
                <w:rFonts w:ascii="Arial" w:cs="Arial" w:eastAsia="Arial" w:hAnsi="Arial"/>
                <w:sz w:val="10"/>
                <w:szCs w:val="10"/>
                <w:b w:val="1"/>
                <w:bCs w:val="1"/>
                <w:color w:val="auto"/>
              </w:rPr>
              <w:t>Net cash provided by financing activities</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374.7</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r>
      <w:tr>
        <w:trPr>
          <w:trHeight w:val="136"/>
        </w:trPr>
        <w:tc>
          <w:tcPr>
            <w:tcW w:w="6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(decrease) increase in cash, cash equivalents and restricted cash</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230.4</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w:t>
            </w:r>
          </w:p>
        </w:tc>
      </w:tr>
      <w:tr>
        <w:trPr>
          <w:trHeight w:val="141"/>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Cash, cash equivalents and restricted cash, beginning of the period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317.2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112.8</w:t>
            </w:r>
          </w:p>
        </w:tc>
      </w:tr>
      <w:tr>
        <w:trPr>
          <w:trHeight w:val="154"/>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Cash, cash equivalents and restricted cash, end of the period</w:t>
            </w: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317.2</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86.8</w:t>
            </w:r>
          </w:p>
        </w:tc>
      </w:tr>
      <w:tr>
        <w:trPr>
          <w:trHeight w:val="123"/>
        </w:trPr>
        <w:tc>
          <w:tcPr>
            <w:tcW w:w="6360" w:type="dxa"/>
            <w:vAlign w:val="bottom"/>
          </w:tcPr>
          <w:p>
            <w:pPr>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4"/>
        </w:trPr>
        <w:tc>
          <w:tcPr>
            <w:tcW w:w="63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Purchases of property, equipment and leasehold improvements unpaid at period end</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r>
      <w:tr>
        <w:trPr>
          <w:trHeight w:val="138"/>
        </w:trPr>
        <w:tc>
          <w:tcPr>
            <w:tcW w:w="6360" w:type="dxa"/>
            <w:vAlign w:val="bottom"/>
          </w:tcPr>
          <w:p>
            <w:pPr>
              <w:ind w:left="160"/>
              <w:spacing w:after="0"/>
              <w:rPr>
                <w:sz w:val="20"/>
                <w:szCs w:val="20"/>
                <w:color w:val="auto"/>
              </w:rPr>
            </w:pPr>
            <w:r>
              <w:rPr>
                <w:rFonts w:ascii="Arial" w:cs="Arial" w:eastAsia="Arial" w:hAnsi="Arial"/>
                <w:sz w:val="10"/>
                <w:szCs w:val="10"/>
                <w:color w:val="auto"/>
              </w:rPr>
              <w:t>Cash paid for taxes</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460" w:type="dxa"/>
            <w:vAlign w:val="bottom"/>
          </w:tcPr>
          <w:p>
            <w:pPr>
              <w:jc w:val="right"/>
              <w:spacing w:after="0"/>
              <w:rPr>
                <w:sz w:val="20"/>
                <w:szCs w:val="20"/>
                <w:color w:val="auto"/>
              </w:rPr>
            </w:pPr>
            <w:r>
              <w:rPr>
                <w:rFonts w:ascii="Arial" w:cs="Arial" w:eastAsia="Arial" w:hAnsi="Arial"/>
                <w:sz w:val="10"/>
                <w:szCs w:val="10"/>
                <w:color w:val="auto"/>
              </w:rPr>
              <w:t>11.1</w:t>
            </w:r>
          </w:p>
        </w:tc>
        <w:tc>
          <w:tcPr>
            <w:tcW w:w="80" w:type="dxa"/>
            <w:vAlign w:val="bottom"/>
          </w:tcPr>
          <w:p>
            <w:pPr>
              <w:spacing w:after="0"/>
              <w:rPr>
                <w:sz w:val="12"/>
                <w:szCs w:val="12"/>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11.1</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consolidated financial statements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2"/>
          <w:szCs w:val="12"/>
          <w:b w:val="1"/>
          <w:bCs w:val="1"/>
          <w:color w:val="2E2E2E"/>
        </w:rPr>
        <w:t>ARVINAS</w:t>
      </w:r>
      <w:r>
        <w:rPr>
          <w:rFonts w:ascii="Arial" w:cs="Arial" w:eastAsia="Arial" w:hAnsi="Arial"/>
          <w:sz w:val="12"/>
          <w:szCs w:val="12"/>
          <w:b w:val="1"/>
          <w:bCs w:val="1"/>
          <w:color w:val="000000"/>
        </w:rPr>
        <w:t>,</w:t>
      </w:r>
      <w:r>
        <w:rPr>
          <w:rFonts w:ascii="Arial" w:cs="Arial" w:eastAsia="Arial" w:hAnsi="Arial"/>
          <w:sz w:val="12"/>
          <w:szCs w:val="12"/>
          <w:b w:val="1"/>
          <w:bCs w:val="1"/>
          <w:color w:val="2E2E2E"/>
        </w:rPr>
        <w:t xml:space="preserve"> INC</w:t>
      </w:r>
      <w:r>
        <w:rPr>
          <w:rFonts w:ascii="Arial" w:cs="Arial" w:eastAsia="Arial" w:hAnsi="Arial"/>
          <w:sz w:val="12"/>
          <w:szCs w:val="12"/>
          <w:b w:val="1"/>
          <w:bCs w:val="1"/>
          <w:color w:val="000000"/>
        </w:rPr>
        <w:t>. AND SUBSIDIARIES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 Nature of Business and Basis of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of Business</w:t>
      </w:r>
    </w:p>
    <w:p>
      <w:pPr>
        <w:spacing w:after="0" w:line="78"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Arvinas, Inc. is a clinical-stage biotechnology company dedicated to improving the lives of patients suffering from debilitating and life-threatening diseases through the discovery, development and commercialization of therapies that degrade disease-causing proteins. Arvinas, Inc. has four wholly owned subsidiaries; Arvinas Operations, Inc. formed in 2013, Arvinas Androgen Receptor, Inc. formed in 2015, Arvinas Estrogen Receptor, Inc. formed in 2016, and Arvinas Winchester, Inc. formed in 2018 (collectively, "Arvinas" or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78" w:lineRule="exact"/>
        <w:rPr>
          <w:sz w:val="20"/>
          <w:szCs w:val="20"/>
          <w:color w:val="auto"/>
        </w:rPr>
      </w:pPr>
    </w:p>
    <w:p>
      <w:pPr>
        <w:ind w:right="180" w:firstLine="432"/>
        <w:spacing w:after="0" w:line="268" w:lineRule="auto"/>
        <w:rPr>
          <w:sz w:val="20"/>
          <w:szCs w:val="20"/>
          <w:color w:val="auto"/>
        </w:rPr>
      </w:pPr>
      <w:r>
        <w:rPr>
          <w:rFonts w:ascii="Arial" w:cs="Arial" w:eastAsia="Arial" w:hAnsi="Arial"/>
          <w:sz w:val="12"/>
          <w:szCs w:val="12"/>
          <w:color w:val="auto"/>
        </w:rPr>
        <w:t>The Company's consolidated financial statements are prepared in conformity with accounting principles generally accepted in the United States of America ("U.S. GAAP") and include the accounts of Arvinas, Inc. and its wholly owned subsidiaries. All intercompany transactions have been eliminated upon consolidation. The accounting policies used to prepare the Company's consolidated financial statements are the same as those used to prepare the consolidated financial statements in prior years.</w:t>
      </w:r>
    </w:p>
    <w:p>
      <w:pPr>
        <w:spacing w:after="0" w:line="114" w:lineRule="exact"/>
        <w:rPr>
          <w:sz w:val="20"/>
          <w:szCs w:val="20"/>
          <w:color w:val="auto"/>
        </w:rPr>
      </w:pPr>
    </w:p>
    <w:p>
      <w:pPr>
        <w:ind w:right="160" w:firstLine="432"/>
        <w:spacing w:after="0" w:line="262" w:lineRule="auto"/>
        <w:rPr>
          <w:sz w:val="20"/>
          <w:szCs w:val="20"/>
          <w:color w:val="auto"/>
        </w:rPr>
      </w:pPr>
      <w:r>
        <w:rPr>
          <w:rFonts w:ascii="Arial" w:cs="Arial" w:eastAsia="Arial" w:hAnsi="Arial"/>
          <w:sz w:val="12"/>
          <w:szCs w:val="12"/>
          <w:color w:val="auto"/>
        </w:rPr>
        <w:t>The preparation of the Company’s consolidated financial statements in conformity with U.S. GAAP requires management to make certain estimates and assumptions that affect the reported amounts and disclosures in the consolidated financial statements and notes. While management believes that estimates and assumptions used in the preparation of the consolidated financial statements and notes are appropriate, actual results could differ from those estimates. The most significant estimates are those used in the determination of the Company’s revenue recognition, uncertain tax positions and research and development expenses.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w:t>
      </w:r>
    </w:p>
    <w:p>
      <w:pPr>
        <w:spacing w:after="0" w:line="78" w:lineRule="exact"/>
        <w:rPr>
          <w:sz w:val="20"/>
          <w:szCs w:val="20"/>
          <w:color w:val="auto"/>
        </w:rPr>
      </w:pPr>
    </w:p>
    <w:p>
      <w:pPr>
        <w:ind w:right="80" w:firstLine="432"/>
        <w:spacing w:after="0" w:line="334" w:lineRule="auto"/>
        <w:rPr>
          <w:sz w:val="20"/>
          <w:szCs w:val="20"/>
          <w:color w:val="auto"/>
        </w:rPr>
      </w:pPr>
      <w:r>
        <w:rPr>
          <w:rFonts w:ascii="Arial" w:cs="Arial" w:eastAsia="Arial" w:hAnsi="Arial"/>
          <w:sz w:val="11"/>
          <w:szCs w:val="11"/>
          <w:color w:val="auto"/>
        </w:rPr>
        <w:t>The Company classifies as cash and cash equivalents amounts on deposit in banks and cash invested temporarily in various instruments, primarily money market accounts, with original maturities of three months or less at time of purchase. The carrying amounts reported in the consolidated balance sheets represent the fair values of cash and cash equivalents and are considered Level 1 financial instruments.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Cash</w:t>
      </w:r>
    </w:p>
    <w:p>
      <w:pPr>
        <w:spacing w:after="0" w:line="7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 xml:space="preserve">Restricted cash represents a letter of credit collateralized by a certificate of deposit in the same amount as was required under the terms of the Terminated Lease, as discussed below in Note 6, </w:t>
      </w:r>
      <w:r>
        <w:rPr>
          <w:rFonts w:ascii="Arial" w:cs="Arial" w:eastAsia="Arial" w:hAnsi="Arial"/>
          <w:sz w:val="12"/>
          <w:szCs w:val="12"/>
          <w:i w:val="1"/>
          <w:iCs w:val="1"/>
          <w:color w:val="auto"/>
        </w:rPr>
        <w:t>Right-of-Use Assets and Liabilities</w:t>
      </w:r>
      <w:r>
        <w:rPr>
          <w:rFonts w:ascii="Arial" w:cs="Arial" w:eastAsia="Arial" w:hAnsi="Arial"/>
          <w:sz w:val="12"/>
          <w:szCs w:val="12"/>
          <w:color w:val="auto"/>
        </w:rPr>
        <w:t>.</w:t>
      </w:r>
    </w:p>
    <w:p>
      <w:pPr>
        <w:spacing w:after="0" w:line="31"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The following table provides a reconciliation of cash, cash equivalents and restricted cash reported within the consolidated balance sheets to the total amounts shown in the consolidated statements of cash flows for the years ended December 31, 2024, 2023 and 2022:</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33"/>
        </w:trPr>
        <w:tc>
          <w:tcPr>
            <w:tcW w:w="40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23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2022</w:t>
            </w:r>
          </w:p>
        </w:tc>
      </w:tr>
      <w:tr>
        <w:trPr>
          <w:trHeight w:val="161"/>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81.3</w:t>
            </w:r>
          </w:p>
        </w:tc>
      </w:tr>
      <w:tr>
        <w:trPr>
          <w:trHeight w:val="171"/>
        </w:trPr>
        <w:tc>
          <w:tcPr>
            <w:tcW w:w="4060" w:type="dxa"/>
            <w:vAlign w:val="bottom"/>
          </w:tcPr>
          <w:p>
            <w:pPr>
              <w:spacing w:after="0"/>
              <w:rPr>
                <w:sz w:val="20"/>
                <w:szCs w:val="20"/>
                <w:color w:val="auto"/>
              </w:rPr>
            </w:pPr>
            <w:r>
              <w:rPr>
                <w:rFonts w:ascii="Arial" w:cs="Arial" w:eastAsia="Arial" w:hAnsi="Arial"/>
                <w:sz w:val="12"/>
                <w:szCs w:val="12"/>
                <w:color w:val="auto"/>
              </w:rPr>
              <w:t>Restricted cash</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58"/>
        </w:trPr>
        <w:tc>
          <w:tcPr>
            <w:tcW w:w="4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Cash, cash equivalents and restricted cash</w:t>
            </w:r>
          </w:p>
        </w:tc>
        <w:tc>
          <w:tcPr>
            <w:tcW w:w="23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86.8</w:t>
            </w:r>
          </w:p>
        </w:tc>
      </w:tr>
      <w:tr>
        <w:trPr>
          <w:trHeight w:val="605"/>
        </w:trPr>
        <w:tc>
          <w:tcPr>
            <w:tcW w:w="4060" w:type="dxa"/>
            <w:vAlign w:val="bottom"/>
          </w:tcPr>
          <w:p>
            <w:pPr>
              <w:spacing w:after="0"/>
              <w:rPr>
                <w:sz w:val="24"/>
                <w:szCs w:val="24"/>
                <w:color w:val="auto"/>
              </w:rPr>
            </w:pPr>
          </w:p>
        </w:tc>
        <w:tc>
          <w:tcPr>
            <w:tcW w:w="2680" w:type="dxa"/>
            <w:vAlign w:val="bottom"/>
            <w:gridSpan w:val="2"/>
          </w:tcPr>
          <w:p>
            <w:pPr>
              <w:jc w:val="right"/>
              <w:ind w:right="920"/>
              <w:spacing w:after="0"/>
              <w:rPr>
                <w:sz w:val="20"/>
                <w:szCs w:val="20"/>
                <w:color w:val="auto"/>
              </w:rPr>
            </w:pPr>
            <w:r>
              <w:rPr>
                <w:rFonts w:ascii="Arial" w:cs="Arial" w:eastAsia="Arial" w:hAnsi="Arial"/>
                <w:sz w:val="12"/>
                <w:szCs w:val="12"/>
                <w:color w:val="auto"/>
              </w:rPr>
              <w:t>F - 8</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0"/>
        </w:trPr>
        <w:tc>
          <w:tcPr>
            <w:tcW w:w="4060" w:type="dxa"/>
            <w:vAlign w:val="bottom"/>
            <w:tcBorders>
              <w:bottom w:val="single" w:sz="8" w:color="9A9A9A"/>
            </w:tcBorders>
          </w:tcPr>
          <w:p>
            <w:pPr>
              <w:spacing w:after="0"/>
              <w:rPr>
                <w:sz w:val="6"/>
                <w:szCs w:val="6"/>
                <w:color w:val="auto"/>
              </w:rPr>
            </w:pPr>
          </w:p>
        </w:tc>
        <w:tc>
          <w:tcPr>
            <w:tcW w:w="2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9" w:name="page170"/>
    <w:bookmarkEnd w:id="169"/>
    <w:p>
      <w:pPr>
        <w:spacing w:after="0"/>
        <w:rPr>
          <w:sz w:val="20"/>
          <w:szCs w:val="20"/>
          <w:color w:val="auto"/>
        </w:rPr>
      </w:pPr>
      <w:r>
        <w:rPr>
          <w:rFonts w:ascii="Arial" w:cs="Arial" w:eastAsia="Arial" w:hAnsi="Arial"/>
          <w:sz w:val="12"/>
          <w:szCs w:val="12"/>
          <w:b w:val="1"/>
          <w:bCs w:val="1"/>
          <w:color w:val="auto"/>
        </w:rPr>
        <w:t>Concentration of Credit Risk and Other Risks and Uncertainties</w:t>
      </w:r>
    </w:p>
    <w:p>
      <w:pPr>
        <w:spacing w:after="0" w:line="78" w:lineRule="exact"/>
        <w:rPr>
          <w:sz w:val="20"/>
          <w:szCs w:val="20"/>
          <w:color w:val="auto"/>
        </w:rPr>
      </w:pPr>
    </w:p>
    <w:p>
      <w:pPr>
        <w:ind w:right="280" w:firstLine="432"/>
        <w:spacing w:after="0" w:line="262" w:lineRule="auto"/>
        <w:rPr>
          <w:sz w:val="20"/>
          <w:szCs w:val="20"/>
          <w:color w:val="auto"/>
        </w:rPr>
      </w:pPr>
      <w:r>
        <w:rPr>
          <w:rFonts w:ascii="Arial" w:cs="Arial" w:eastAsia="Arial" w:hAnsi="Arial"/>
          <w:sz w:val="12"/>
          <w:szCs w:val="12"/>
          <w:color w:val="auto"/>
        </w:rPr>
        <w:t>The Company is subject to a number of risks similar to other biotechnology companies in a similar stage, including, but not limited to, the need to obtain adequate additional funding, possible failure of preclinical testing or clinical trials, the need to obtain marketing approval for its product candidates, competitors developing new technological innovations, and the need to successfully commercialize and gain market acceptance of the Company’s products and protect its proprietary technology. If the Company does not successfully obtain regulatory approval for its product candidates, it will be unable to generate revenue from product sales or achieve profitability.</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To date, the Company has not generated any revenue from product sales and expects to incur additional operating losses and negative operating cash flows for the foreseeable future. The Company has financed its operations primarily through sales of assets and equity interests, proceeds from collaborations and a licensing arrangement, grant funding and debt financing. The Company had cash, cash equivalents and marketable securities of approximately $1.0 billion as of December 31, 2024.</w:t>
      </w:r>
    </w:p>
    <w:p>
      <w:pPr>
        <w:spacing w:after="0" w:line="114" w:lineRule="exact"/>
        <w:rPr>
          <w:sz w:val="20"/>
          <w:szCs w:val="20"/>
          <w:color w:val="auto"/>
        </w:rPr>
      </w:pPr>
    </w:p>
    <w:p>
      <w:pPr>
        <w:ind w:right="500" w:firstLine="432"/>
        <w:spacing w:after="0" w:line="286" w:lineRule="auto"/>
        <w:rPr>
          <w:sz w:val="20"/>
          <w:szCs w:val="20"/>
          <w:color w:val="auto"/>
        </w:rPr>
      </w:pPr>
      <w:r>
        <w:rPr>
          <w:rFonts w:ascii="Arial" w:cs="Arial" w:eastAsia="Arial" w:hAnsi="Arial"/>
          <w:sz w:val="12"/>
          <w:szCs w:val="12"/>
          <w:color w:val="auto"/>
        </w:rPr>
        <w:t>The Company maintains its cash in financial institution accounts that may at times exceed federally insured limits. The cash balances in the financial institutions are insured by the Federal Deposit Insurance Corporation ("FDIC") up to $250,000. Cash may also be maintained at commercial institutions that are not insured by the FDIC.</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years ended December 31, 2024, 2023 and 2022, one collaborator represented 62%, 97% and 88% of the Company's revenue,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Marketable Securities</w:t>
      </w:r>
    </w:p>
    <w:p>
      <w:pPr>
        <w:spacing w:after="0" w:line="78"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The Company's marketable securities are classified as available-for-sale securities and are carried at their fair value based on the quoted market prices of the securities, with unrealized gains and losses reported as accumulated other comprehensive income (loss), a separate component of stockholders' equity. Realized gains and losses on available-for-sale securities are included in other income in the period earned or incurred.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Equipment, and Leasehold Improvements</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Property and equipment are recorded at cost. Depreciation is calculated using the straight-line method over the estimated useful lives, which range from three years for office equipment to five years for laboratory equipment. Maintenance and repairs which do not extend the lives of the assets are charged directly to expense as incurred. Upon retirement or disposal, cost and related accumulated depreciation is removed from the related accounts, and any resulting gain or loss is recognized as a component of income or loss for the period. Leasehold improvements are recorded at cost and amortized using the straight-line method over the shorter of the lease term or the useful life of the asset.</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and Rent Expense</w:t>
      </w:r>
    </w:p>
    <w:p>
      <w:pPr>
        <w:spacing w:after="0" w:line="7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The Company accounts for leases under Accounting Standards Codification (“ASC”) 842, </w:t>
      </w:r>
      <w:r>
        <w:rPr>
          <w:rFonts w:ascii="Arial" w:cs="Arial" w:eastAsia="Arial" w:hAnsi="Arial"/>
          <w:sz w:val="12"/>
          <w:szCs w:val="12"/>
          <w:i w:val="1"/>
          <w:iCs w:val="1"/>
          <w:color w:val="auto"/>
        </w:rPr>
        <w:t>Leases</w:t>
      </w:r>
      <w:r>
        <w:rPr>
          <w:rFonts w:ascii="Arial" w:cs="Arial" w:eastAsia="Arial" w:hAnsi="Arial"/>
          <w:sz w:val="12"/>
          <w:szCs w:val="12"/>
          <w:color w:val="auto"/>
        </w:rPr>
        <w:t>. At the inception of an arrangement, the Company determines whether the arrangement is or contains a lease based on the unique facts and circumstances present in the arrangement. Leases with a term greater than one year are recognized on the balance sheet as right-of-use ("ROU") assets and short-term and long-term lease liabilities, as applicable. ROU assets represent the Company’s right to use an underlying asset for the lease term and lease liabilities represent its obligation to make lease payments arising from the lease. The Company has elected not to recognize leases with an original term of one year or less on the balance sheet. The Company typically only includes an initial lease term in its assessment of the term of the lease arrangement. It also considers termination options and factors those into the determination of lease payments. Options to renew a lease are not included in the lease term unless there is reasonable certainty of renewal.</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83" w:right="339" w:bottom="1440" w:gutter="0" w:footer="0" w:header="0"/>
        </w:sectPr>
      </w:pPr>
    </w:p>
    <w:bookmarkStart w:id="170" w:name="page171"/>
    <w:bookmarkEnd w:id="170"/>
    <w:p>
      <w:pPr>
        <w:spacing w:after="0"/>
        <w:rPr>
          <w:sz w:val="20"/>
          <w:szCs w:val="20"/>
          <w:color w:val="auto"/>
        </w:rPr>
      </w:pPr>
      <w:r>
        <w:rPr>
          <w:rFonts w:ascii="Arial" w:cs="Arial" w:eastAsia="Arial" w:hAnsi="Arial"/>
          <w:sz w:val="12"/>
          <w:szCs w:val="12"/>
          <w:color w:val="auto"/>
        </w:rPr>
        <w:t>similar term, in a similar economic environment. The Company's weighted average incremental borrowing rate at December 31, 2024 totaled 6.8%.</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Variable lease payments are not included within the lease right-of-use asset and lease liability on the consolidated balance sheet, and instead are reflected as expense in the period they are incurred.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78"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No such impairments were recorded during 2024, 2023 or 2022.</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 and Deferred Revenue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Revenues from Contracts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The Company recognizes revenue 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The Company’s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the Company evaluates whether the license agreement, research and development services and participation in research and development steering committees represent separate or combined performance obligations. The Company has determined that these services within its existing contracts represent combined single performance obligations. The Company also generated revenue through the sale of assets based on fair value.</w:t>
      </w:r>
    </w:p>
    <w:p>
      <w:pPr>
        <w:spacing w:after="0" w:line="121"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The research collaboration and license agreements may include contingent milestone payments related to specified preclinical and clinical development milestones and regulatory milestones. These milestone payments represent variable consideration to be included within the transaction price using the most likely amount method. The Company determined that the most likely amount to be recognized was zero, against which no constraint was applied. The Company continually assesses the probability of significant reversals for any amounts that become likely to be realized prior to recognizing the variable consideration associated with these payments within the transaction price.</w:t>
      </w:r>
    </w:p>
    <w:p>
      <w:pPr>
        <w:spacing w:after="0" w:line="117"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Revenue is recognized ratably over the Company’s expected performance period under each respective arrangement. Management makes its best estimate of the period over which the Company expects to fulfill its performance obligations, which includes access to technology through the license agreement and research activities. Given the uncertainties of these collaboration arrangements, significant judgment is required to determine the duration of the performance period. Management evaluates changes in the duration of the performance period at each reporting period and adjusts revenue as necessary. Changes are accounted for prospectively as a change in accounting estimate.</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For the years ended December 31, 2024, 2023 and 2022, the transaction price allocated to the combined performance obligation identified under the individual research collaboration and license agreements was recognized as revenue on either a straight-line basis over the estimated performance period under the arrangement or over the estimated performance period based on the Company’s best estimate of costs to be incurred. Straight-line basis was considered the best measure of progress for certain agreements in which control of the combined obligation transfers to the customers, due to the contract containing license rights to technology, research and development services, and joint committee participation, which in totality are expected to occur ratably over the performance period. For agreements accounted for under the costs to be incurred method, collaboration revenue is recognized as program costs are incurred by measuring actual costs incurred to date compared to the total expected costs to satisfy the performance obligations. Management evaluates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71" w:name="page172"/>
    <w:bookmarkEnd w:id="171"/>
    <w:p>
      <w:pPr>
        <w:spacing w:after="0"/>
        <w:rPr>
          <w:sz w:val="20"/>
          <w:szCs w:val="20"/>
          <w:color w:val="auto"/>
        </w:rPr>
      </w:pPr>
      <w:r>
        <w:rPr>
          <w:rFonts w:ascii="Arial" w:cs="Arial" w:eastAsia="Arial" w:hAnsi="Arial"/>
          <w:sz w:val="12"/>
          <w:szCs w:val="12"/>
          <w:color w:val="auto"/>
        </w:rPr>
        <w:t>estimates of expected costs to satisfy the performance obligations at each reporting period and adjusts revenue as necessary. Changes are accounted for prospectively as a change in accounting estimate.</w:t>
      </w:r>
    </w:p>
    <w:p>
      <w:pPr>
        <w:spacing w:after="0" w:line="150"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The Company’s contracts may also call for certain sales-based milestone and royalty payments upon successful commercialization of a target. The Company recognizes revenues from sales-based milestone and royalty payments at the later of a) the occurrence of the subsequent sale, or b) the performance obligation to which some or all of the sales-based milestone or royalty payments has been allocated has been satisfied (or partially satisfied). The Company anticipates recognizing these milestones and royalty payments if and when subsequent sales are generated by customers from the use of the technology. To date, no revenue from these sales-based milestone and royalty payments has been recognized for any periods.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Amounts received prior to satisfying the above revenue recognition criteria are recorded as contract liabilities in the Company’s accompanying consolidated balance sheets.</w:t>
      </w:r>
    </w:p>
    <w:p>
      <w:pPr>
        <w:spacing w:after="0" w:line="150"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The Company expenses direct and incremental costs to obtaining and fulfilling a contract as and when incurred if the expected amortization period of the asset that would be recognized is one year or less, or if the amount of the asset is immaterial. Otherwise, such costs are capitalized as collaboration contract assets and amortized as general and administrative expenses over the total estimated period of performance of each underlying contract.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Method Investments</w:t>
      </w:r>
    </w:p>
    <w:p>
      <w:pPr>
        <w:spacing w:after="0" w:line="7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color w:val="auto"/>
        </w:rPr>
        <w:t xml:space="preserve">The Company accounts for investments for which it does not have a controlling interest in accordance with ASC 323, </w:t>
      </w:r>
      <w:r>
        <w:rPr>
          <w:rFonts w:ascii="Arial" w:cs="Arial" w:eastAsia="Arial" w:hAnsi="Arial"/>
          <w:sz w:val="12"/>
          <w:szCs w:val="12"/>
          <w:i w:val="1"/>
          <w:iCs w:val="1"/>
          <w:color w:val="auto"/>
        </w:rPr>
        <w:t>Investments – Equity Method and Joint Ventures</w:t>
      </w:r>
      <w:r>
        <w:rPr>
          <w:rFonts w:ascii="Arial" w:cs="Arial" w:eastAsia="Arial" w:hAnsi="Arial"/>
          <w:sz w:val="12"/>
          <w:szCs w:val="12"/>
          <w:color w:val="auto"/>
        </w:rPr>
        <w:t>. The Company recognizes its pro-rata share of income and losses in the investment in “Loss from equity method investment” on the consolidated statement of operations and comprehensive loss, with a corresponding change to the investment in equity method investment in the consolidated balance sheet until such investment is reduced to zero.</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 xml:space="preserve">Arvinas, Inc. and its wholly owned subsidiaries use the asset and liability method of accounting for income taxes, as set forth in ASC 740,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A valuation allowance is established to reduce deferred tax assets to their estimated realizable value. The Company provides a valuation allowance to the extent that it is more likely than not that all or a portion of the deferred tax assets will not be realized.</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2"/>
          <w:szCs w:val="12"/>
          <w:color w:val="auto"/>
        </w:rPr>
        <w:t>The Company follows the authoritative guidance under ASC 740 for recognizing and measuring uncertainty in income tax positions taken or expected to be taken in a tax return. The Company recognizes interest accrued related to unrecognized tax benefits and penalties in tax expense.</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Compensation</w:t>
      </w:r>
    </w:p>
    <w:p>
      <w:pPr>
        <w:spacing w:after="0" w:line="78" w:lineRule="exact"/>
        <w:rPr>
          <w:sz w:val="20"/>
          <w:szCs w:val="20"/>
          <w:color w:val="auto"/>
        </w:rPr>
      </w:pPr>
    </w:p>
    <w:p>
      <w:pPr>
        <w:jc w:val="both"/>
        <w:ind w:right="360" w:firstLine="432"/>
        <w:spacing w:after="0" w:line="268" w:lineRule="auto"/>
        <w:rPr>
          <w:sz w:val="20"/>
          <w:szCs w:val="20"/>
          <w:color w:val="auto"/>
        </w:rPr>
      </w:pPr>
      <w:r>
        <w:rPr>
          <w:rFonts w:ascii="Arial" w:cs="Arial" w:eastAsia="Arial" w:hAnsi="Arial"/>
          <w:sz w:val="12"/>
          <w:szCs w:val="12"/>
          <w:color w:val="auto"/>
        </w:rPr>
        <w:t>The Company measures employee and board of director equity-based compensation for stock option and restricted stock grants based on the grant date fair value of the equity awards. Equity-based compensation expense is recognized over the requisite service period of the awards, net of estimated forfeitures. Estimated forfeitures are updated on a periodic basis based on actual experience. For equity awards that have a performance condition, the Company recognizes compensation expense based on its assessment of the probability that the performance condition will be achieved.</w:t>
      </w:r>
    </w:p>
    <w:p>
      <w:pPr>
        <w:spacing w:after="0" w:line="114"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72" w:name="page173"/>
    <w:bookmarkEnd w:id="172"/>
    <w:p>
      <w:pPr>
        <w:spacing w:after="0"/>
        <w:rPr>
          <w:sz w:val="20"/>
          <w:szCs w:val="20"/>
          <w:color w:val="auto"/>
        </w:rPr>
      </w:pPr>
      <w:r>
        <w:rPr>
          <w:rFonts w:ascii="Arial" w:cs="Arial" w:eastAsia="Arial" w:hAnsi="Arial"/>
          <w:sz w:val="12"/>
          <w:szCs w:val="12"/>
          <w:b w:val="1"/>
          <w:bCs w:val="1"/>
          <w:color w:val="auto"/>
        </w:rPr>
        <w:t>401(k) Savings Plan</w:t>
      </w:r>
    </w:p>
    <w:p>
      <w:pPr>
        <w:spacing w:after="0" w:line="78"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Under the 401(k) Plan, the Company made discretionary matching contributions on behalf of eligible employees totaling $3.4 million, $3.1 million and $2.2 million for the years ended December 31, 2024, 2023 and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78"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Research and development expenses include (i) employee-related expenses, including salaries, benefits, stock-based compensation expense and travel; (ii) external research and development expenses incurred under arrangements with third parties, such as contract research organization agreements, investigational sites and consultants; (iii) the cost of acquiring, developing and manufacturing clinical study materials; (iv) costs associated with preclinical and clinical activities and regulatory operations; and (v) costs incurred in development of intellectual property. Costs incurred in connection with research and development activities are expensed as incurred.</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respective vendors, including the Company’s clinical sites.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78" w:lineRule="exact"/>
        <w:rPr>
          <w:sz w:val="20"/>
          <w:szCs w:val="20"/>
          <w:color w:val="auto"/>
        </w:rPr>
      </w:pPr>
    </w:p>
    <w:p>
      <w:pPr>
        <w:jc w:val="both"/>
        <w:ind w:right="160" w:firstLine="432"/>
        <w:spacing w:after="0" w:line="268" w:lineRule="auto"/>
        <w:rPr>
          <w:sz w:val="20"/>
          <w:szCs w:val="20"/>
          <w:color w:val="auto"/>
        </w:rPr>
      </w:pPr>
      <w:r>
        <w:rPr>
          <w:rFonts w:ascii="Arial" w:cs="Arial" w:eastAsia="Arial" w:hAnsi="Arial"/>
          <w:sz w:val="12"/>
          <w:szCs w:val="12"/>
          <w:color w:val="auto"/>
        </w:rPr>
        <w:t>The Company determines fair value as the price that would be received to sell an asset or paid to transfer a liability in an orderly transaction between market participants at the measurement date. Inputs used in the valuation techniques to determine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42"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2"/>
          <w:szCs w:val="12"/>
          <w:color w:val="auto"/>
        </w:rPr>
        <w:t>Level 1—</w:t>
        <w:tab/>
        <w:t>Inputs are based upon observable or quoted prices (unadjusted) for identical instruments traded in active markets. The Company’s Level 1 financial instruments consist of cash equivalents.</w:t>
      </w:r>
    </w:p>
    <w:p>
      <w:pPr>
        <w:spacing w:after="0" w:line="78" w:lineRule="exact"/>
        <w:rPr>
          <w:sz w:val="20"/>
          <w:szCs w:val="20"/>
          <w:color w:val="auto"/>
        </w:rPr>
      </w:pPr>
    </w:p>
    <w:p>
      <w:pPr>
        <w:ind w:left="1060" w:right="300" w:hanging="647"/>
        <w:spacing w:after="0" w:line="268" w:lineRule="auto"/>
        <w:tabs>
          <w:tab w:leader="none" w:pos="1040" w:val="left"/>
        </w:tabs>
        <w:rPr>
          <w:sz w:val="20"/>
          <w:szCs w:val="20"/>
          <w:color w:val="auto"/>
        </w:rPr>
      </w:pPr>
      <w:r>
        <w:rPr>
          <w:rFonts w:ascii="Arial" w:cs="Arial" w:eastAsia="Arial" w:hAnsi="Arial"/>
          <w:sz w:val="12"/>
          <w:szCs w:val="12"/>
          <w:color w:val="auto"/>
        </w:rPr>
        <w:t>Level 2—</w:t>
        <w:tab/>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The Company’s Level 2 investments consist primarily of corporate notes and bonds and U.S. government and agency securities.</w:t>
      </w:r>
    </w:p>
    <w:p>
      <w:pPr>
        <w:spacing w:after="0" w:line="42" w:lineRule="exact"/>
        <w:rPr>
          <w:sz w:val="20"/>
          <w:szCs w:val="20"/>
          <w:color w:val="auto"/>
        </w:rPr>
      </w:pPr>
    </w:p>
    <w:p>
      <w:pPr>
        <w:ind w:left="1060" w:right="160" w:hanging="647"/>
        <w:spacing w:after="0" w:line="286" w:lineRule="auto"/>
        <w:tabs>
          <w:tab w:leader="none" w:pos="1040" w:val="left"/>
        </w:tabs>
        <w:rPr>
          <w:sz w:val="20"/>
          <w:szCs w:val="20"/>
          <w:color w:val="auto"/>
        </w:rPr>
      </w:pPr>
      <w:r>
        <w:rPr>
          <w:rFonts w:ascii="Arial" w:cs="Arial" w:eastAsia="Arial" w:hAnsi="Arial"/>
          <w:sz w:val="12"/>
          <w:szCs w:val="12"/>
          <w:color w:val="auto"/>
        </w:rPr>
        <w:t>Level 3—</w:t>
        <w:tab/>
        <w:t>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03" w:lineRule="exact"/>
        <w:rPr>
          <w:sz w:val="20"/>
          <w:szCs w:val="20"/>
          <w:color w:val="auto"/>
        </w:rPr>
      </w:pPr>
    </w:p>
    <w:p>
      <w:pPr>
        <w:ind w:right="280" w:firstLine="432"/>
        <w:spacing w:after="0" w:line="286" w:lineRule="auto"/>
        <w:rPr>
          <w:sz w:val="20"/>
          <w:szCs w:val="20"/>
          <w:color w:val="auto"/>
        </w:rPr>
      </w:pPr>
      <w:r>
        <w:rPr>
          <w:rFonts w:ascii="Arial" w:cs="Arial" w:eastAsia="Arial" w:hAnsi="Arial"/>
          <w:sz w:val="12"/>
          <w:szCs w:val="12"/>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73" w:name="page174"/>
    <w:bookmarkEnd w:id="173"/>
    <w:p>
      <w:pPr>
        <w:ind w:left="8"/>
        <w:spacing w:after="0"/>
        <w:rPr>
          <w:sz w:val="20"/>
          <w:szCs w:val="20"/>
          <w:color w:val="auto"/>
        </w:rPr>
      </w:pPr>
      <w:r>
        <w:rPr>
          <w:rFonts w:ascii="Arial" w:cs="Arial" w:eastAsia="Arial" w:hAnsi="Arial"/>
          <w:sz w:val="12"/>
          <w:szCs w:val="12"/>
          <w:b w:val="1"/>
          <w:bCs w:val="1"/>
          <w:color w:val="auto"/>
        </w:rPr>
        <w:t>Net Loss per Common Share</w:t>
      </w:r>
    </w:p>
    <w:p>
      <w:pPr>
        <w:spacing w:after="0" w:line="78" w:lineRule="exact"/>
        <w:rPr>
          <w:sz w:val="20"/>
          <w:szCs w:val="20"/>
          <w:color w:val="auto"/>
        </w:rPr>
      </w:pPr>
    </w:p>
    <w:p>
      <w:pPr>
        <w:ind w:left="8" w:right="60" w:firstLine="432"/>
        <w:spacing w:after="0" w:line="286" w:lineRule="auto"/>
        <w:rPr>
          <w:sz w:val="20"/>
          <w:szCs w:val="20"/>
          <w:color w:val="auto"/>
        </w:rPr>
      </w:pPr>
      <w:r>
        <w:rPr>
          <w:rFonts w:ascii="Arial" w:cs="Arial" w:eastAsia="Arial" w:hAnsi="Arial"/>
          <w:sz w:val="12"/>
          <w:szCs w:val="12"/>
          <w:color w:val="auto"/>
        </w:rPr>
        <w:t>Basic net loss per common share is computed by dividing net loss by the weighted-average number of common shares outstanding during the period. Diluted net loss per common share is computed using the weighted-average number of common shares outstanding during the period and, if dilutive, the weighted-average number of potential shares of common shares.</w:t>
      </w:r>
    </w:p>
    <w:p>
      <w:pPr>
        <w:spacing w:after="0" w:line="103" w:lineRule="exact"/>
        <w:rPr>
          <w:sz w:val="20"/>
          <w:szCs w:val="20"/>
          <w:color w:val="auto"/>
        </w:rPr>
      </w:pPr>
    </w:p>
    <w:p>
      <w:pPr>
        <w:ind w:left="8" w:right="260" w:firstLine="432"/>
        <w:spacing w:after="0" w:line="286" w:lineRule="auto"/>
        <w:rPr>
          <w:sz w:val="20"/>
          <w:szCs w:val="20"/>
          <w:color w:val="auto"/>
        </w:rPr>
      </w:pPr>
      <w:r>
        <w:rPr>
          <w:rFonts w:ascii="Arial" w:cs="Arial" w:eastAsia="Arial" w:hAnsi="Arial"/>
          <w:sz w:val="12"/>
          <w:szCs w:val="12"/>
          <w:color w:val="auto"/>
        </w:rPr>
        <w:t xml:space="preserve">The weighted-average number of common shares included in the computation of basic and diluted net loss per common share gives effect to pre-funded warrants. See Note 9, </w:t>
      </w:r>
      <w:r>
        <w:rPr>
          <w:rFonts w:ascii="Arial" w:cs="Arial" w:eastAsia="Arial" w:hAnsi="Arial"/>
          <w:sz w:val="12"/>
          <w:szCs w:val="12"/>
          <w:i w:val="1"/>
          <w:iCs w:val="1"/>
          <w:color w:val="auto"/>
        </w:rPr>
        <w:t>Equity</w:t>
      </w:r>
      <w:r>
        <w:rPr>
          <w:rFonts w:ascii="Arial" w:cs="Arial" w:eastAsia="Arial" w:hAnsi="Arial"/>
          <w:sz w:val="12"/>
          <w:szCs w:val="12"/>
          <w:color w:val="auto"/>
        </w:rPr>
        <w:t xml:space="preserve">, and Note 13, </w:t>
      </w:r>
      <w:r>
        <w:rPr>
          <w:rFonts w:ascii="Arial" w:cs="Arial" w:eastAsia="Arial" w:hAnsi="Arial"/>
          <w:sz w:val="12"/>
          <w:szCs w:val="12"/>
          <w:i w:val="1"/>
          <w:iCs w:val="1"/>
          <w:color w:val="auto"/>
        </w:rPr>
        <w:t>Net</w:t>
      </w:r>
      <w:r>
        <w:rPr>
          <w:rFonts w:ascii="Arial" w:cs="Arial" w:eastAsia="Arial" w:hAnsi="Arial"/>
          <w:sz w:val="12"/>
          <w:szCs w:val="12"/>
          <w:color w:val="auto"/>
        </w:rPr>
        <w:t xml:space="preserve"> </w:t>
      </w:r>
      <w:r>
        <w:rPr>
          <w:rFonts w:ascii="Arial" w:cs="Arial" w:eastAsia="Arial" w:hAnsi="Arial"/>
          <w:sz w:val="12"/>
          <w:szCs w:val="12"/>
          <w:i w:val="1"/>
          <w:iCs w:val="1"/>
          <w:color w:val="auto"/>
        </w:rPr>
        <w:t>Loss Per Share</w:t>
      </w:r>
      <w:r>
        <w:rPr>
          <w:rFonts w:ascii="Arial" w:cs="Arial" w:eastAsia="Arial" w:hAnsi="Arial"/>
          <w:sz w:val="12"/>
          <w:szCs w:val="12"/>
          <w:color w:val="auto"/>
        </w:rPr>
        <w:t>.</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New Accounting Pronouncements</w:t>
      </w:r>
    </w:p>
    <w:p>
      <w:pPr>
        <w:spacing w:after="0" w:line="8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b w:val="1"/>
          <w:bCs w:val="1"/>
          <w:i w:val="1"/>
          <w:iCs w:val="1"/>
          <w:color w:val="auto"/>
        </w:rPr>
        <w:t xml:space="preserve">Segment Reporting (Topic 280) </w:t>
      </w:r>
      <w:r>
        <w:rPr>
          <w:rFonts w:ascii="Arial" w:cs="Arial" w:eastAsia="Arial" w:hAnsi="Arial"/>
          <w:sz w:val="12"/>
          <w:szCs w:val="12"/>
          <w:color w:val="auto"/>
        </w:rPr>
        <w:t>- In November 2023, the Financial Accounting Standards Board (“FASB”) issued Accounting Standards Update (“ASU”) No. 2023-07, “</w:t>
      </w:r>
      <w:r>
        <w:rPr>
          <w:rFonts w:ascii="Arial" w:cs="Arial" w:eastAsia="Arial" w:hAnsi="Arial"/>
          <w:sz w:val="12"/>
          <w:szCs w:val="12"/>
          <w:i w:val="1"/>
          <w:iCs w:val="1"/>
          <w:color w:val="auto"/>
        </w:rPr>
        <w:t>Segment Reporting - Improvements</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to Reportable Segment Disclosures,</w:t>
      </w:r>
      <w:r>
        <w:rPr>
          <w:rFonts w:ascii="Arial" w:cs="Arial" w:eastAsia="Arial" w:hAnsi="Arial"/>
          <w:sz w:val="12"/>
          <w:szCs w:val="12"/>
          <w:color w:val="auto"/>
        </w:rPr>
        <w:t>” which requires disclosure of incremental segment information on an annual and interim basis and also requires companies with a single reportable segment to provide all</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disclosures required by this ASU and all existing segment disclosures in Accounting Standard Codification (“ASC”) 280, “</w:t>
      </w:r>
      <w:r>
        <w:rPr>
          <w:rFonts w:ascii="Arial" w:cs="Arial" w:eastAsia="Arial" w:hAnsi="Arial"/>
          <w:sz w:val="12"/>
          <w:szCs w:val="12"/>
          <w:i w:val="1"/>
          <w:iCs w:val="1"/>
          <w:color w:val="auto"/>
        </w:rPr>
        <w:t>Segment Reporting</w:t>
      </w:r>
      <w:r>
        <w:rPr>
          <w:rFonts w:ascii="Arial" w:cs="Arial" w:eastAsia="Arial" w:hAnsi="Arial"/>
          <w:sz w:val="12"/>
          <w:szCs w:val="12"/>
          <w:color w:val="auto"/>
        </w:rPr>
        <w:t>.” The requirements of the ASU are effective for fiscal years beginning after December 15, 2023 and interim periods beginning after December 15, 2024. The Company adopted the new standard on January 1, 2024. The adoption of the standard did not have a material impact on the Company's consolidated financial statements.</w:t>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Recently Issued Accounting Pronouncements Not Yet Adopted</w:t>
      </w:r>
    </w:p>
    <w:p>
      <w:pPr>
        <w:spacing w:after="0" w:line="76"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2"/>
          <w:szCs w:val="12"/>
          <w:b w:val="1"/>
          <w:bCs w:val="1"/>
          <w:i w:val="1"/>
          <w:iCs w:val="1"/>
          <w:color w:val="auto"/>
        </w:rPr>
        <w:t xml:space="preserve">Income Statement - Reporting Comprehensive Income - Expense Disaggregation Disclosures (Subtopic 220-40) </w:t>
      </w:r>
      <w:r>
        <w:rPr>
          <w:rFonts w:ascii="Arial" w:cs="Arial" w:eastAsia="Arial" w:hAnsi="Arial"/>
          <w:sz w:val="12"/>
          <w:szCs w:val="12"/>
          <w:color w:val="auto"/>
        </w:rPr>
        <w:t>- In November 2024, the FASB issued ASU No. 2024-03, "</w:t>
      </w:r>
      <w:r>
        <w:rPr>
          <w:rFonts w:ascii="Arial" w:cs="Arial" w:eastAsia="Arial" w:hAnsi="Arial"/>
          <w:sz w:val="12"/>
          <w:szCs w:val="12"/>
          <w:i w:val="1"/>
          <w:iCs w:val="1"/>
          <w:color w:val="auto"/>
        </w:rPr>
        <w:t>Disaggregation of Income</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Statement Expenses</w:t>
      </w:r>
      <w:r>
        <w:rPr>
          <w:rFonts w:ascii="Arial" w:cs="Arial" w:eastAsia="Arial" w:hAnsi="Arial"/>
          <w:sz w:val="12"/>
          <w:szCs w:val="12"/>
          <w:color w:val="auto"/>
        </w:rPr>
        <w:t>," which requires disaggregation and disclosure of specified information about certain costs and expenses in the notes to the financial statements. The requirements of the ASU are effective for</w:t>
      </w:r>
      <w:r>
        <w:rPr>
          <w:rFonts w:ascii="Arial" w:cs="Arial" w:eastAsia="Arial" w:hAnsi="Arial"/>
          <w:sz w:val="12"/>
          <w:szCs w:val="12"/>
          <w:i w:val="1"/>
          <w:iCs w:val="1"/>
          <w:color w:val="auto"/>
        </w:rPr>
        <w:t xml:space="preserve"> </w:t>
      </w:r>
      <w:r>
        <w:rPr>
          <w:rFonts w:ascii="Arial" w:cs="Arial" w:eastAsia="Arial" w:hAnsi="Arial"/>
          <w:sz w:val="12"/>
          <w:szCs w:val="12"/>
          <w:color w:val="auto"/>
        </w:rPr>
        <w:t>annual periods beginning after December 15, 2026, and interim reporting periods beginning after December 15, 2027, with early adoption permitted. The Company is currently evaluating the impact ASU No. 2024-03 will have on its consolidated financial statements.</w:t>
      </w:r>
    </w:p>
    <w:p>
      <w:pPr>
        <w:spacing w:after="0" w:line="117" w:lineRule="exact"/>
        <w:rPr>
          <w:sz w:val="20"/>
          <w:szCs w:val="20"/>
          <w:color w:val="auto"/>
        </w:rPr>
      </w:pPr>
    </w:p>
    <w:p>
      <w:pPr>
        <w:jc w:val="both"/>
        <w:ind w:left="8" w:firstLine="432"/>
        <w:spacing w:after="0" w:line="262" w:lineRule="auto"/>
        <w:rPr>
          <w:sz w:val="20"/>
          <w:szCs w:val="20"/>
          <w:color w:val="auto"/>
        </w:rPr>
      </w:pPr>
      <w:r>
        <w:rPr>
          <w:rFonts w:ascii="Arial" w:cs="Arial" w:eastAsia="Arial" w:hAnsi="Arial"/>
          <w:sz w:val="12"/>
          <w:szCs w:val="12"/>
          <w:b w:val="1"/>
          <w:bCs w:val="1"/>
          <w:i w:val="1"/>
          <w:iCs w:val="1"/>
          <w:color w:val="auto"/>
        </w:rPr>
        <w:t xml:space="preserve">Income Taxes (Topic 740) </w:t>
      </w:r>
      <w:r>
        <w:rPr>
          <w:rFonts w:ascii="Arial" w:cs="Arial" w:eastAsia="Arial" w:hAnsi="Arial"/>
          <w:sz w:val="12"/>
          <w:szCs w:val="12"/>
          <w:color w:val="auto"/>
        </w:rPr>
        <w:t>- In December 2023, the FASB issued ASU No. 2023-09, "</w:t>
      </w:r>
      <w:r>
        <w:rPr>
          <w:rFonts w:ascii="Arial" w:cs="Arial" w:eastAsia="Arial" w:hAnsi="Arial"/>
          <w:sz w:val="12"/>
          <w:szCs w:val="12"/>
          <w:i w:val="1"/>
          <w:iCs w:val="1"/>
          <w:color w:val="auto"/>
        </w:rPr>
        <w:t>Improvements to Income Tax Disclosures</w:t>
      </w:r>
      <w:r>
        <w:rPr>
          <w:rFonts w:ascii="Arial" w:cs="Arial" w:eastAsia="Arial" w:hAnsi="Arial"/>
          <w:sz w:val="12"/>
          <w:szCs w:val="12"/>
          <w:color w:val="auto"/>
        </w:rPr>
        <w:t>," which requires enhanced income tax disclosures, including specific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ASU No. 2023-09 will have on its consolidated financial statements.</w:t>
      </w:r>
    </w:p>
    <w:p>
      <w:pPr>
        <w:spacing w:after="0" w:line="191" w:lineRule="exact"/>
        <w:rPr>
          <w:sz w:val="20"/>
          <w:szCs w:val="20"/>
          <w:color w:val="auto"/>
        </w:rPr>
      </w:pPr>
    </w:p>
    <w:p>
      <w:pPr>
        <w:ind w:left="8" w:right="8380" w:hanging="8"/>
        <w:spacing w:after="0" w:line="407" w:lineRule="auto"/>
        <w:tabs>
          <w:tab w:leader="none" w:pos="141" w:val="left"/>
        </w:tabs>
        <w:numPr>
          <w:ilvl w:val="0"/>
          <w:numId w:val="90"/>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Research Collaboration and License Agreements </w:t>
      </w:r>
      <w:r>
        <w:rPr>
          <w:rFonts w:ascii="Arial" w:cs="Arial" w:eastAsia="Arial" w:hAnsi="Arial"/>
          <w:sz w:val="11"/>
          <w:szCs w:val="11"/>
          <w:b w:val="1"/>
          <w:bCs w:val="1"/>
          <w:color w:val="auto"/>
        </w:rPr>
        <w:t>Novartis License and Asset Agreements</w:t>
      </w:r>
    </w:p>
    <w:p>
      <w:pPr>
        <w:spacing w:after="0" w:line="1" w:lineRule="exact"/>
        <w:rPr>
          <w:sz w:val="20"/>
          <w:szCs w:val="20"/>
          <w:color w:val="auto"/>
        </w:rPr>
      </w:pPr>
    </w:p>
    <w:p>
      <w:pPr>
        <w:ind w:left="8" w:right="40" w:firstLine="432"/>
        <w:spacing w:after="0" w:line="259" w:lineRule="auto"/>
        <w:rPr>
          <w:sz w:val="20"/>
          <w:szCs w:val="20"/>
          <w:color w:val="auto"/>
        </w:rPr>
      </w:pPr>
      <w:r>
        <w:rPr>
          <w:rFonts w:ascii="Arial" w:cs="Arial" w:eastAsia="Arial" w:hAnsi="Arial"/>
          <w:sz w:val="12"/>
          <w:szCs w:val="12"/>
          <w:color w:val="auto"/>
        </w:rPr>
        <w:t>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the Company's second generation PROTAC androgen receptor (AR) degrader for patients with prostate cancer and for the sale of the Company's preclinical AR-V7 program. Under the terms of the agreements, Novartis is responsible for worldwide clinical development and commercialization of luxdegalutamide (ARV-766) and has all research, development, manufacturing, and commercialization rights with respect to the Company’s PROTAC protein degrader targeting AR-V7, a splice variant of the AR.</w:t>
      </w:r>
    </w:p>
    <w:p>
      <w:pPr>
        <w:spacing w:after="0" w:line="119" w:lineRule="exact"/>
        <w:rPr>
          <w:sz w:val="20"/>
          <w:szCs w:val="20"/>
          <w:color w:val="auto"/>
        </w:rPr>
      </w:pPr>
    </w:p>
    <w:p>
      <w:pPr>
        <w:ind w:left="8" w:right="260" w:firstLine="432"/>
        <w:spacing w:after="0" w:line="286" w:lineRule="auto"/>
        <w:rPr>
          <w:sz w:val="20"/>
          <w:szCs w:val="20"/>
          <w:color w:val="auto"/>
        </w:rPr>
      </w:pPr>
      <w:r>
        <w:rPr>
          <w:rFonts w:ascii="Arial" w:cs="Arial" w:eastAsia="Arial" w:hAnsi="Arial"/>
          <w:sz w:val="12"/>
          <w:szCs w:val="12"/>
          <w:color w:val="auto"/>
        </w:rPr>
        <w:t>In May 2024, the applicable waiting period under the Hart-Scott-Rodino Antitrust Improvements Act of 1976, as amended, expired with respect to the Novartis Transaction (the “HSR Termination”). As a result of the HSR Termination and satisfaction of other closing conditions, Novartis paid to the Company a one-time, upfront</w:t>
      </w: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3" w:right="299" w:bottom="1440" w:gutter="0" w:footer="0" w:header="0"/>
        </w:sectPr>
      </w:pPr>
    </w:p>
    <w:bookmarkStart w:id="174" w:name="page175"/>
    <w:bookmarkEnd w:id="174"/>
    <w:p>
      <w:pPr>
        <w:ind w:right="60"/>
        <w:spacing w:after="0" w:line="262" w:lineRule="auto"/>
        <w:rPr>
          <w:sz w:val="20"/>
          <w:szCs w:val="20"/>
          <w:color w:val="auto"/>
        </w:rPr>
      </w:pPr>
      <w:r>
        <w:rPr>
          <w:rFonts w:ascii="Arial" w:cs="Arial" w:eastAsia="Arial" w:hAnsi="Arial"/>
          <w:sz w:val="12"/>
          <w:szCs w:val="12"/>
          <w:color w:val="auto"/>
        </w:rPr>
        <w:t>payment in the aggregate amount of $150.0 million in accordance with the terms of the Novartis License Agreement and the Novartis Asset Agreement. Under the terms of the Novartis License Agreement, the Company is eligible to receive up to an additional $1.01 billion as contingent payments based on specified development, regulatory and commercial milestones for luxdegalutamide (ARV-766) being met, as well as tiered royalties based on worldwide net sales of luxdegalutamide (ARV-766), subject to reduction under certain circumstances as provided in the Novartis License Agreement. There were no development, regulatory or commercial milestone payments, or sales-based royalties received through December 31, 2024.</w:t>
      </w:r>
    </w:p>
    <w:p>
      <w:pPr>
        <w:spacing w:after="0" w:line="117"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14"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 xml:space="preserve">The Company determined that the Novartis License Agreement and the Novartis Asset Agreement entered into with Novartis concurrently should be accounted for as a combined contract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 Company determined the fair value of the assets sold under the Novartis Asset Agreement to be $20.0 million, which was recognized at the time of sale as revenue, and the fair value of the Novartis License Agreement to be $130.0 million, which was recognized as revenue over the total estimated period of performance during the technology transfer period, as defined in the agreement, based on the cost incurred input method. Under the Novartis License Agreement, Novartis will also reimburse the Company for development costs incurred during the technology transfer period, which will be recognized as revenue as costs are incurred. As of December 31, 2024, the technology transfer period ended as the Company completed the transition of its ongoing and planned clinical trials of luxdegalutamide (ARV-766) to Novartis.</w:t>
      </w:r>
    </w:p>
    <w:p>
      <w:pPr>
        <w:spacing w:after="0" w:line="121"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 xml:space="preserve">As a direct result of the Company’s entry into the Novartis Transaction, the Company incurred direct and incremental costs to obtain the contract, paid to a financial advisor, totaling $3.0 million. In accordance with ASC 340, </w:t>
      </w:r>
      <w:r>
        <w:rPr>
          <w:rFonts w:ascii="Arial" w:cs="Arial" w:eastAsia="Arial" w:hAnsi="Arial"/>
          <w:sz w:val="12"/>
          <w:szCs w:val="12"/>
          <w:i w:val="1"/>
          <w:iCs w:val="1"/>
          <w:color w:val="auto"/>
        </w:rPr>
        <w:t>Other Assets and Deferred Costs</w:t>
      </w:r>
      <w:r>
        <w:rPr>
          <w:rFonts w:ascii="Arial" w:cs="Arial" w:eastAsia="Arial" w:hAnsi="Arial"/>
          <w:sz w:val="12"/>
          <w:szCs w:val="12"/>
          <w:color w:val="auto"/>
        </w:rPr>
        <w:t>, the Company recognized an asset of $3.0 million in collaboration contract asset and other assets in the consolidated balance sheet at inception of the Novartis License Agreement and the Novartis Asset Agreement, which was amortized as general and administrative expense over the total estimated period of performance under the Novartis License Agreement and the Novartis Asset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Vepdegestrant (ARV-471) Collaboration Agreement</w:t>
      </w:r>
    </w:p>
    <w:p>
      <w:pPr>
        <w:spacing w:after="0" w:line="7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July 2021, the Company entered into a collaboration agreement with Pfizer (the “Vepdegestrant (ARV-471) Collaboration Agreement”) pursuant to which the Company granted Pfizer worldwide co-exclusive rights to develop and commercialize products containing the Company’s proprietary compound vepdegestrant (the “Licensed Products”). Under the Vepdegestrant (ARV-471) Collaboration Agreement, the Company received an upfront, non-refundable payment of $650.0 million. In addition, the Company will be eligible to receive up to an additional $1.4 billion in contingent payments based on specific regulatory and sales-based milestones for the Licensed Products. Of the total contingent payments, $400.0 million in regulatory milestones are related to marketing approvals and $1.0 billion are related to sales-based milestones. There were no regulatory or sales-based milestone payments received through December 31, 2024.</w:t>
      </w:r>
    </w:p>
    <w:p>
      <w:pPr>
        <w:spacing w:after="0" w:line="119"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The Company and Pfizer share equally all development costs, including costs of conducting clinical trials, for the Licensed Products, subject to certain exceptions. Except for certain regions described below, the parties will also share equally all profits and losses in commercialization and medical affairs activities for the Licensed Products in all other countries, subject to certain exceptions.</w:t>
      </w:r>
    </w:p>
    <w:p>
      <w:pPr>
        <w:spacing w:after="0" w:line="103"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The Company will be the marketing authorization applicant in the United States and, subject to approval, can book sales in the United States, while Pfizer will hold marketing authorizations outside the United States. The parties will determine which, if any, regions within the world will be solely commercialized by one party, and in such region the parties will adjust their share of profits and losses for the Licensed Products based on the role each party will be performing.</w:t>
      </w:r>
    </w:p>
    <w:p>
      <w:pPr>
        <w:spacing w:after="0" w:line="114" w:lineRule="exact"/>
        <w:rPr>
          <w:sz w:val="20"/>
          <w:szCs w:val="20"/>
          <w:color w:val="auto"/>
        </w:rPr>
      </w:pPr>
    </w:p>
    <w:p>
      <w:pPr>
        <w:ind w:right="360" w:firstLine="432"/>
        <w:spacing w:after="0" w:line="286" w:lineRule="auto"/>
        <w:rPr>
          <w:sz w:val="20"/>
          <w:szCs w:val="20"/>
          <w:color w:val="auto"/>
        </w:rPr>
      </w:pPr>
      <w:r>
        <w:rPr>
          <w:rFonts w:ascii="Arial" w:cs="Arial" w:eastAsia="Arial" w:hAnsi="Arial"/>
          <w:sz w:val="12"/>
          <w:szCs w:val="12"/>
          <w:color w:val="auto"/>
        </w:rPr>
        <w:t>In addition, in connection with the execution of the Vepdegestrant (ARV-471) Collaboration Agreement, the Company and Pfizer entered into a Stock Purchase Agreement (the "Pfizer Stock Purchase Agreement") for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75" w:name="page176"/>
    <w:bookmarkEnd w:id="175"/>
    <w:p>
      <w:pPr>
        <w:spacing w:after="0" w:line="268" w:lineRule="auto"/>
        <w:rPr>
          <w:sz w:val="20"/>
          <w:szCs w:val="20"/>
          <w:color w:val="auto"/>
        </w:rPr>
      </w:pPr>
      <w:r>
        <w:rPr>
          <w:rFonts w:ascii="Arial" w:cs="Arial" w:eastAsia="Arial" w:hAnsi="Arial"/>
          <w:sz w:val="12"/>
          <w:szCs w:val="12"/>
          <w:color w:val="auto"/>
        </w:rPr>
        <w:t>the sale and issuance of 3,457,815 shares of the Company’s common stock (the “Shares”) to Pfizer at a price of $101.22 per share, for an aggregate purchase price of $ 350.0 million (the “Pfizer Equity Transaction”), less financial advisor fees of $4.6 million, which was consummated in September 2021. Pursuant to terms of the Pfizer Stock Purchase Agreement, Pfizer has agreed not to sell or transfer the Shares without prior written approval of the Company for a specified time period, subject to specified exceptions.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determined that the Vepdegestrant (ARV-471) Collaboration Agreement and the Pfizer Equity Transaction entered into with Pfizer concurrently should be evaluated as a combined contract in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accordance with Accounting Standards Codification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 Company determined the fair value of the shares sold under the Pfizer Equity Transaction to be</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$85.4 million less than the contractual purchase price stipulated in the agreement. In accordance with the applicable accounting guidance in ASC 815-40, </w:t>
      </w:r>
      <w:r>
        <w:rPr>
          <w:rFonts w:ascii="Arial" w:cs="Arial" w:eastAsia="Arial" w:hAnsi="Arial"/>
          <w:sz w:val="11"/>
          <w:szCs w:val="11"/>
          <w:i w:val="1"/>
          <w:iCs w:val="1"/>
          <w:color w:val="auto"/>
        </w:rPr>
        <w:t>Contracts in Entity’s Own Equity</w:t>
      </w:r>
      <w:r>
        <w:rPr>
          <w:rFonts w:ascii="Arial" w:cs="Arial" w:eastAsia="Arial" w:hAnsi="Arial"/>
          <w:sz w:val="11"/>
          <w:szCs w:val="11"/>
          <w:color w:val="auto"/>
        </w:rPr>
        <w:t>, the Company determined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that the sale of stock should be recorded at fair value and therefore allocated the excess consideration received under the Pfizer Equity Transaction to the Vepdegestrant (ARV-471) Collaboration Agreement,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which, along with the non-refundable payment of $650.0 million, is being recognized as revenue over the total estimated period of performance based on the Company’s best estimate of costs to be incurred.</w:t>
      </w:r>
    </w:p>
    <w:p>
      <w:pPr>
        <w:spacing w:after="0" w:line="138"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 xml:space="preserve">As a direct result of the Company’s entry into the Vepdegestrant (ARV-471) Collaboration Agreement, the Company incurred direct and incremental costs to obtain the contract, paid to a financial advisor, totaling $12.9 million. In accordance with ASC 340, </w:t>
      </w:r>
      <w:r>
        <w:rPr>
          <w:rFonts w:ascii="Arial" w:cs="Arial" w:eastAsia="Arial" w:hAnsi="Arial"/>
          <w:sz w:val="12"/>
          <w:szCs w:val="12"/>
          <w:i w:val="1"/>
          <w:iCs w:val="1"/>
          <w:color w:val="auto"/>
        </w:rPr>
        <w:t>Other Assets and Deferred Costs</w:t>
      </w:r>
      <w:r>
        <w:rPr>
          <w:rFonts w:ascii="Arial" w:cs="Arial" w:eastAsia="Arial" w:hAnsi="Arial"/>
          <w:sz w:val="12"/>
          <w:szCs w:val="12"/>
          <w:color w:val="auto"/>
        </w:rPr>
        <w:t>, the Company recognized an asset of $12.9 million in collaboration contract asset and other assets in the consolidated balance sheet, which is being amortized as general and administrative expense over the total estimated period of performance under the Vepdegestrant (ARV-471) Collaboration Agreement.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Pfizer Research Collaboration Agreement</w:t>
      </w:r>
    </w:p>
    <w:p>
      <w:pPr>
        <w:spacing w:after="0" w:line="78"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In December 2017, the Company entered into a Research Collaboration and License Agreement with Pfizer (the "Pfizer Research Collaboration Agreement"). Under the terms of the Pfizer Research Collaboration Agreement, the Company received an upfront, non-refundable payment and certain additional payments totaling $28.0 million in 2018 in exchange for use of the Company’s technology license and to fund Pfizer-related research as defined within the Pfizer Research Collaboration Agreement. These payments are being recognized over the total estimated period of performance. The Company is eligible to receive up to an additional $37.5 million in non-refundable option payments if Pfizer exercises its options for all targets under the Pfizer Research Collaboration Agreement.</w:t>
      </w:r>
    </w:p>
    <w:p>
      <w:pPr>
        <w:spacing w:after="0" w:line="45"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The Company is also entitled to receive up to $225.0 million in development milestone payments and up to $ 550.0 million in sales-based milestone payments for all designated targets under the Pfizer Research Collaboration Agreement, as well as tiered royalties based on sales. Pfizer selected additional targets and initiated additional services totaling $1.0 million in December 2022. There were no sales-based milestone payments or royalties received through December 31, 2024.</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Bayer Collaboration Agreement</w:t>
      </w:r>
    </w:p>
    <w:p>
      <w:pPr>
        <w:spacing w:after="0" w:line="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June 2019, the Company and Bayer AG entered into a Collaboration and License Agreement (the "Bayer Collaboration Agreement") setting forth the Company’s collaboration with Bayer AG to identify or optimize proteolysis targeting chimeras, or PROTAC targeted protein degraders, that mediate for degradation of target proteins ("Targets"), using the Company’s proprietary platform technology, which Targets were selected by Bayer AG, subject to certain exclusions and limitations. Under the terms of the Bayer Collaboration Agreement, the Company received an upfront, non-refundable payment of $ 17.5 million in exchange for the use of the Company’s technology license. The Company also received an additional $12.0 million from Bayer AG from inception through 2023, including $1.5 million received during the year ended December 31, 2023 and $3.0 million received during the year ended December 31, 2022. These payments were recognized over the total estimated period of performance.</w:t>
      </w:r>
    </w:p>
    <w:p>
      <w:pPr>
        <w:spacing w:after="0" w:line="110" w:lineRule="exact"/>
        <w:rPr>
          <w:sz w:val="20"/>
          <w:szCs w:val="20"/>
          <w:color w:val="auto"/>
        </w:rPr>
      </w:pPr>
    </w:p>
    <w:p>
      <w:pPr>
        <w:ind w:right="180" w:firstLine="432"/>
        <w:spacing w:after="0" w:line="252" w:lineRule="auto"/>
        <w:rPr>
          <w:sz w:val="20"/>
          <w:szCs w:val="20"/>
          <w:color w:val="auto"/>
        </w:rPr>
      </w:pPr>
      <w:r>
        <w:rPr>
          <w:rFonts w:ascii="Arial" w:cs="Arial" w:eastAsia="Arial" w:hAnsi="Arial"/>
          <w:sz w:val="12"/>
          <w:szCs w:val="12"/>
          <w:color w:val="auto"/>
        </w:rPr>
        <w:t>The Company was also eligible to receive up to $197.5 million in development milestone payments and up to $490.0 million in sales-based milestone payments for all designated Targets. In addition, the Company was eligible to receive, on net sales of PROTAC targeted protein degrader-related products, mid-single digit to low-double digit tiered royalties, which were subject to reductions. There were no development or sales-based milestone payments or royalties received through December 31, 2024.</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76" w:name="page177"/>
    <w:bookmarkEnd w:id="176"/>
    <w:p>
      <w:pPr>
        <w:ind w:left="420"/>
        <w:spacing w:after="0"/>
        <w:rPr>
          <w:sz w:val="20"/>
          <w:szCs w:val="20"/>
          <w:color w:val="auto"/>
        </w:rPr>
      </w:pPr>
      <w:r>
        <w:rPr>
          <w:rFonts w:ascii="Arial" w:cs="Arial" w:eastAsia="Arial" w:hAnsi="Arial"/>
          <w:sz w:val="12"/>
          <w:szCs w:val="12"/>
          <w:color w:val="auto"/>
        </w:rPr>
        <w:t>Pursuant to notice from Bayer AG in accordance with the terms of the Bayer Collaboration Agreement, the Bayer Collaboration Agreement was terminated effective August 12, 2024.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Genentech Modification</w:t>
      </w:r>
    </w:p>
    <w:p>
      <w:pPr>
        <w:spacing w:after="0" w:line="78"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In November 2017, the Company entered into an Amended and Restated Option, License, and Collaboration Agreement (the "Genentech Modification") with Genentech, Inc. and F. Hoffman-La Roche Ltd (together "Genentech"), amending a previous Genentech agreement entered into in September 2015. Under the Genentech Modification, the Company received upfront, non-refundable payments of $34.5 million (in addition to $11.0 million received under the previous agreement in 2015) to fund Genentech-related research. Upfront non-refundable payments were recognized as revenue over the total estimated period of performance, which concluded during the first quarter of 2023.</w:t>
      </w:r>
    </w:p>
    <w:p>
      <w:pPr>
        <w:spacing w:after="0" w:line="11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The Company is eligible to receive up to $44.0 million per target in development milestone payments, $52.5 million in regulatory milestone payments and $ 60.0 million in commercial milestone payments based on sales as well as tiered royalties based on sales. There were no development, regulatory or commercial milestone payments or royalties received through December 31, 2024.</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the Company's contract balances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8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200" w:type="dxa"/>
            <w:vAlign w:val="bottom"/>
            <w:tcBorders>
              <w:bottom w:val="single" w:sz="8" w:color="auto"/>
            </w:tcBorders>
          </w:tcPr>
          <w:p>
            <w:pPr>
              <w:spacing w:after="0"/>
              <w:rPr>
                <w:sz w:val="11"/>
                <w:szCs w:val="11"/>
                <w:color w:val="auto"/>
              </w:rPr>
            </w:pPr>
          </w:p>
        </w:tc>
      </w:tr>
      <w:tr>
        <w:trPr>
          <w:trHeight w:val="133"/>
        </w:trPr>
        <w:tc>
          <w:tcPr>
            <w:tcW w:w="780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2023</w:t>
            </w:r>
          </w:p>
        </w:tc>
      </w:tr>
      <w:tr>
        <w:trPr>
          <w:trHeight w:val="152"/>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Accounts receivable</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7800" w:type="dxa"/>
            <w:vAlign w:val="bottom"/>
          </w:tcPr>
          <w:p>
            <w:pPr>
              <w:ind w:left="140"/>
              <w:spacing w:after="0"/>
              <w:rPr>
                <w:sz w:val="20"/>
                <w:szCs w:val="20"/>
                <w:color w:val="auto"/>
              </w:rPr>
            </w:pPr>
            <w:r>
              <w:rPr>
                <w:rFonts w:ascii="Arial" w:cs="Arial" w:eastAsia="Arial" w:hAnsi="Arial"/>
                <w:sz w:val="12"/>
                <w:szCs w:val="12"/>
                <w:color w:val="auto"/>
              </w:rPr>
              <w:t>Beginning balance</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w:t>
            </w:r>
          </w:p>
        </w:tc>
      </w:tr>
      <w:tr>
        <w:trPr>
          <w:trHeight w:val="174"/>
        </w:trPr>
        <w:tc>
          <w:tcPr>
            <w:tcW w:w="7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Additions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21.7</w:t>
            </w:r>
          </w:p>
        </w:tc>
      </w:tr>
      <w:tr>
        <w:trPr>
          <w:trHeight w:val="168"/>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Payments received</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w:t>
            </w:r>
          </w:p>
        </w:tc>
      </w:tr>
      <w:tr>
        <w:trPr>
          <w:trHeight w:val="163"/>
        </w:trPr>
        <w:tc>
          <w:tcPr>
            <w:tcW w:w="78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Ending balance</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1"/>
        </w:trPr>
        <w:tc>
          <w:tcPr>
            <w:tcW w:w="7800" w:type="dxa"/>
            <w:vAlign w:val="bottom"/>
          </w:tcPr>
          <w:p>
            <w:pPr>
              <w:spacing w:after="0"/>
              <w:rPr>
                <w:sz w:val="20"/>
                <w:szCs w:val="20"/>
                <w:color w:val="auto"/>
              </w:rPr>
            </w:pPr>
            <w:r>
              <w:rPr>
                <w:rFonts w:ascii="Arial" w:cs="Arial" w:eastAsia="Arial" w:hAnsi="Arial"/>
                <w:sz w:val="12"/>
                <w:szCs w:val="12"/>
                <w:b w:val="1"/>
                <w:bCs w:val="1"/>
                <w:color w:val="auto"/>
              </w:rPr>
              <w:t>Accounts payable related to collaborations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78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Beginning balance</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r>
      <w:tr>
        <w:trPr>
          <w:trHeight w:val="168"/>
        </w:trPr>
        <w:tc>
          <w:tcPr>
            <w:tcW w:w="7800" w:type="dxa"/>
            <w:vAlign w:val="bottom"/>
          </w:tcPr>
          <w:p>
            <w:pPr>
              <w:ind w:left="300"/>
              <w:spacing w:after="0"/>
              <w:rPr>
                <w:sz w:val="20"/>
                <w:szCs w:val="20"/>
                <w:color w:val="auto"/>
              </w:rPr>
            </w:pPr>
            <w:r>
              <w:rPr>
                <w:rFonts w:ascii="Arial" w:cs="Arial" w:eastAsia="Arial" w:hAnsi="Arial"/>
                <w:sz w:val="12"/>
                <w:szCs w:val="12"/>
                <w:color w:val="auto"/>
              </w:rPr>
              <w:t>Additions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48.9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44.1</w:t>
            </w:r>
          </w:p>
        </w:tc>
      </w:tr>
      <w:tr>
        <w:trPr>
          <w:trHeight w:val="171"/>
        </w:trPr>
        <w:tc>
          <w:tcPr>
            <w:tcW w:w="7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Payments made</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w:t>
            </w:r>
          </w:p>
        </w:tc>
      </w:tr>
      <w:tr>
        <w:trPr>
          <w:trHeight w:val="179"/>
        </w:trPr>
        <w:tc>
          <w:tcPr>
            <w:tcW w:w="7800" w:type="dxa"/>
            <w:vAlign w:val="bottom"/>
            <w:tcBorders>
              <w:bottom w:val="single" w:sz="8" w:color="CCEEFF"/>
            </w:tcBorders>
          </w:tcPr>
          <w:p>
            <w:pPr>
              <w:ind w:left="440"/>
              <w:spacing w:after="0"/>
              <w:rPr>
                <w:sz w:val="20"/>
                <w:szCs w:val="20"/>
                <w:color w:val="auto"/>
              </w:rPr>
            </w:pPr>
            <w:r>
              <w:rPr>
                <w:rFonts w:ascii="Arial" w:cs="Arial" w:eastAsia="Arial" w:hAnsi="Arial"/>
                <w:sz w:val="12"/>
                <w:szCs w:val="12"/>
                <w:b w:val="1"/>
                <w:bCs w:val="1"/>
                <w:color w:val="auto"/>
              </w:rPr>
              <w:t>Ending balance</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13.1</w:t>
            </w:r>
          </w:p>
        </w:tc>
      </w:tr>
      <w:tr>
        <w:trPr>
          <w:trHeight w:val="153"/>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Contract assets: Collaboration contract asset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7800" w:type="dxa"/>
            <w:vAlign w:val="bottom"/>
          </w:tcPr>
          <w:p>
            <w:pPr>
              <w:ind w:left="140"/>
              <w:spacing w:after="0"/>
              <w:rPr>
                <w:sz w:val="20"/>
                <w:szCs w:val="20"/>
                <w:color w:val="auto"/>
              </w:rPr>
            </w:pPr>
            <w:r>
              <w:rPr>
                <w:rFonts w:ascii="Arial" w:cs="Arial" w:eastAsia="Arial" w:hAnsi="Arial"/>
                <w:sz w:val="12"/>
                <w:szCs w:val="12"/>
                <w:color w:val="auto"/>
              </w:rPr>
              <w:t>Beginning balance</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4"/>
                <w:szCs w:val="14"/>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10.7</w:t>
            </w:r>
          </w:p>
        </w:tc>
      </w:tr>
      <w:tr>
        <w:trPr>
          <w:trHeight w:val="174"/>
        </w:trPr>
        <w:tc>
          <w:tcPr>
            <w:tcW w:w="7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Additions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68"/>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Amortization</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83"/>
        </w:trPr>
        <w:tc>
          <w:tcPr>
            <w:tcW w:w="7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Ending balance</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9.4</w:t>
            </w:r>
          </w:p>
        </w:tc>
      </w:tr>
      <w:tr>
        <w:trPr>
          <w:trHeight w:val="149"/>
        </w:trPr>
        <w:tc>
          <w:tcPr>
            <w:tcW w:w="7800" w:type="dxa"/>
            <w:vAlign w:val="bottom"/>
          </w:tcPr>
          <w:p>
            <w:pPr>
              <w:spacing w:after="0"/>
              <w:rPr>
                <w:sz w:val="20"/>
                <w:szCs w:val="20"/>
                <w:color w:val="auto"/>
              </w:rPr>
            </w:pPr>
            <w:r>
              <w:rPr>
                <w:rFonts w:ascii="Arial" w:cs="Arial" w:eastAsia="Arial" w:hAnsi="Arial"/>
                <w:sz w:val="12"/>
                <w:szCs w:val="12"/>
                <w:b w:val="1"/>
                <w:bCs w:val="1"/>
                <w:color w:val="auto"/>
              </w:rPr>
              <w:t>Contract liabilities: Deferred revenue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78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Beginning balance</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623.7</w:t>
            </w:r>
          </w:p>
        </w:tc>
      </w:tr>
      <w:tr>
        <w:trPr>
          <w:trHeight w:val="168"/>
        </w:trPr>
        <w:tc>
          <w:tcPr>
            <w:tcW w:w="7800" w:type="dxa"/>
            <w:vAlign w:val="bottom"/>
          </w:tcPr>
          <w:p>
            <w:pPr>
              <w:ind w:left="300"/>
              <w:spacing w:after="0"/>
              <w:rPr>
                <w:sz w:val="20"/>
                <w:szCs w:val="20"/>
                <w:color w:val="auto"/>
              </w:rPr>
            </w:pPr>
            <w:r>
              <w:rPr>
                <w:rFonts w:ascii="Arial" w:cs="Arial" w:eastAsia="Arial" w:hAnsi="Arial"/>
                <w:sz w:val="12"/>
                <w:szCs w:val="12"/>
                <w:color w:val="auto"/>
              </w:rPr>
              <w:t>Additions to collaboration agreements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1.5</w:t>
            </w:r>
          </w:p>
        </w:tc>
      </w:tr>
      <w:tr>
        <w:trPr>
          <w:trHeight w:val="174"/>
        </w:trPr>
        <w:tc>
          <w:tcPr>
            <w:tcW w:w="7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Revenue recognized from balances held at the beginning of the period</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w:t>
            </w:r>
          </w:p>
        </w:tc>
      </w:tr>
      <w:tr>
        <w:trPr>
          <w:trHeight w:val="168"/>
        </w:trPr>
        <w:tc>
          <w:tcPr>
            <w:tcW w:w="78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Revenue recognized from balances not held at the beginning of the period</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(130.0)</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79"/>
        </w:trPr>
        <w:tc>
          <w:tcPr>
            <w:tcW w:w="7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Ending balance</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448.2</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549.2</w:t>
            </w:r>
          </w:p>
        </w:tc>
      </w:tr>
    </w:tbl>
    <w:p>
      <w:pPr>
        <w:spacing w:after="0" w:line="19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color w:val="auto"/>
        </w:rPr>
        <w:t>During the year ended December 31, 2024, the Company changed its estimate of the duration of the performance period under the Pfizer Research Collaboration Agreement as a result of updated research timelines. The changes in accounting estimate resulted in a decrease in revenue and an increase in net loss of $2.4 million, respectively, and an increase in net loss per share of $0.03 for the year ended December 31, 2024. The reversed revenue will be recognized in subsequent periods as the Company continues to advance on the performance obligation under the updated collaboration timeline.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77" w:name="page178"/>
    <w:bookmarkEnd w:id="177"/>
    <w:p>
      <w:pPr>
        <w:ind w:right="20" w:firstLine="432"/>
        <w:spacing w:after="0" w:line="268" w:lineRule="auto"/>
        <w:rPr>
          <w:sz w:val="20"/>
          <w:szCs w:val="20"/>
          <w:color w:val="auto"/>
        </w:rPr>
      </w:pPr>
      <w:r>
        <w:rPr>
          <w:rFonts w:ascii="Arial" w:cs="Arial" w:eastAsia="Arial" w:hAnsi="Arial"/>
          <w:sz w:val="12"/>
          <w:szCs w:val="12"/>
          <w:color w:val="auto"/>
        </w:rPr>
        <w:t>During the fourth quarter of 2023, the Company had a change to its estimate to satisfy the performance obligations under the Vepdegestrant (ARV-471) Collaboration Agreement due to the expansion of the development programs. The changes in accounting estimate resulted in a decrease in revenue and increase in net loss of $35.0 million, respectively, and an increase in net loss per share of $0.63 for the year ended December 31, 2023. The reversed revenue will continue to be recognized in future periods as the Company continues to advance on the performance obligation under the collaboration.</w:t>
      </w:r>
    </w:p>
    <w:p>
      <w:pPr>
        <w:spacing w:after="0" w:line="114"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During the year ended December 31, 2023, the Company also changed its estimate of the duration of the performance period under the Bayer Collaboration Agreement and Pfizer Research Collaboration Agreement as a result of updated research timelines. The changes in accounting estimate resulted in a decrease in revenue and an increase in net loss of $ 10.6 million, respectively, and an increase in net loss per share of $0.19 for the year ended December 31, 2023. The reversed revenue was recognized in subsequent periods as the Company continued to advance on the performance obligation under the updated collaboration timelines.</w:t>
      </w:r>
    </w:p>
    <w:p>
      <w:pPr>
        <w:spacing w:after="0" w:line="117" w:lineRule="exact"/>
        <w:rPr>
          <w:sz w:val="20"/>
          <w:szCs w:val="20"/>
          <w:color w:val="auto"/>
        </w:rPr>
      </w:pPr>
    </w:p>
    <w:p>
      <w:pPr>
        <w:ind w:right="460" w:firstLine="432"/>
        <w:spacing w:after="0" w:line="286" w:lineRule="auto"/>
        <w:rPr>
          <w:sz w:val="20"/>
          <w:szCs w:val="20"/>
          <w:color w:val="auto"/>
        </w:rPr>
      </w:pPr>
      <w:r>
        <w:rPr>
          <w:rFonts w:ascii="Arial" w:cs="Arial" w:eastAsia="Arial" w:hAnsi="Arial"/>
          <w:sz w:val="12"/>
          <w:szCs w:val="12"/>
          <w:color w:val="auto"/>
        </w:rPr>
        <w:t>During the year ended December 31, 2022, the Company recorded a cumulative catch-up adjustment from contract modifications totaling $0.7 million relating to performance obligations which were satisfied in prior periods.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aggregate amount of the transaction price allocated to performance obligations that were unsatisfied as of December 31, 2024 totaled $448.2 million, which is expected to be recognized in the following</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660" w:type="dxa"/>
            <w:vAlign w:val="bottom"/>
          </w:tcPr>
          <w:p>
            <w:pPr>
              <w:spacing w:after="0"/>
              <w:rPr>
                <w:sz w:val="20"/>
                <w:szCs w:val="20"/>
                <w:color w:val="auto"/>
              </w:rPr>
            </w:pPr>
            <w:r>
              <w:rPr>
                <w:rFonts w:ascii="Arial" w:cs="Arial" w:eastAsia="Arial" w:hAnsi="Arial"/>
                <w:sz w:val="10"/>
                <w:szCs w:val="10"/>
                <w:i w:val="1"/>
                <w:iCs w:val="1"/>
                <w:color w:val="auto"/>
              </w:rPr>
              <w:t>(dollars in millions)</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156.2</w:t>
            </w:r>
          </w:p>
        </w:tc>
        <w:tc>
          <w:tcPr>
            <w:tcW w:w="0" w:type="dxa"/>
            <w:vAlign w:val="bottom"/>
          </w:tcPr>
          <w:p>
            <w:pPr>
              <w:spacing w:after="0"/>
              <w:rPr>
                <w:sz w:val="1"/>
                <w:szCs w:val="1"/>
                <w:color w:val="auto"/>
              </w:rPr>
            </w:pPr>
          </w:p>
        </w:tc>
      </w:tr>
      <w:tr>
        <w:trPr>
          <w:trHeight w:val="168"/>
        </w:trPr>
        <w:tc>
          <w:tcPr>
            <w:tcW w:w="3660" w:type="dxa"/>
            <w:vAlign w:val="bottom"/>
          </w:tcPr>
          <w:p>
            <w:pPr>
              <w:spacing w:after="0"/>
              <w:rPr>
                <w:sz w:val="20"/>
                <w:szCs w:val="20"/>
                <w:color w:val="auto"/>
              </w:rPr>
            </w:pPr>
            <w:r>
              <w:rPr>
                <w:rFonts w:ascii="Arial" w:cs="Arial" w:eastAsia="Arial" w:hAnsi="Arial"/>
                <w:sz w:val="12"/>
                <w:szCs w:val="12"/>
                <w:color w:val="auto"/>
              </w:rPr>
              <w:t>2026</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105.0</w:t>
            </w:r>
          </w:p>
        </w:tc>
        <w:tc>
          <w:tcPr>
            <w:tcW w:w="0" w:type="dxa"/>
            <w:vAlign w:val="bottom"/>
          </w:tcPr>
          <w:p>
            <w:pPr>
              <w:spacing w:after="0"/>
              <w:rPr>
                <w:sz w:val="1"/>
                <w:szCs w:val="1"/>
                <w:color w:val="auto"/>
              </w:rPr>
            </w:pPr>
          </w:p>
        </w:tc>
      </w:tr>
      <w:tr>
        <w:trPr>
          <w:trHeight w:val="174"/>
        </w:trPr>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68"/>
        </w:trPr>
        <w:tc>
          <w:tcPr>
            <w:tcW w:w="3660" w:type="dxa"/>
            <w:vAlign w:val="bottom"/>
          </w:tcPr>
          <w:p>
            <w:pPr>
              <w:spacing w:after="0"/>
              <w:rPr>
                <w:sz w:val="20"/>
                <w:szCs w:val="20"/>
                <w:color w:val="auto"/>
              </w:rPr>
            </w:pPr>
            <w:r>
              <w:rPr>
                <w:rFonts w:ascii="Arial" w:cs="Arial" w:eastAsia="Arial" w:hAnsi="Arial"/>
                <w:sz w:val="12"/>
                <w:szCs w:val="12"/>
                <w:color w:val="auto"/>
              </w:rPr>
              <w:t>2028</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59.8</w:t>
            </w:r>
          </w:p>
        </w:tc>
        <w:tc>
          <w:tcPr>
            <w:tcW w:w="0" w:type="dxa"/>
            <w:vAlign w:val="bottom"/>
          </w:tcPr>
          <w:p>
            <w:pPr>
              <w:spacing w:after="0"/>
              <w:rPr>
                <w:sz w:val="1"/>
                <w:szCs w:val="1"/>
                <w:color w:val="auto"/>
              </w:rPr>
            </w:pPr>
          </w:p>
        </w:tc>
      </w:tr>
      <w:tr>
        <w:trPr>
          <w:trHeight w:val="174"/>
        </w:trPr>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2029</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69.6</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1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Total</w:t>
            </w:r>
          </w:p>
        </w:tc>
        <w:tc>
          <w:tcPr>
            <w:tcW w:w="1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448.2</w:t>
            </w:r>
          </w:p>
        </w:tc>
        <w:tc>
          <w:tcPr>
            <w:tcW w:w="0" w:type="dxa"/>
            <w:vAlign w:val="bottom"/>
          </w:tcPr>
          <w:p>
            <w:pPr>
              <w:spacing w:after="0"/>
              <w:rPr>
                <w:sz w:val="1"/>
                <w:szCs w:val="1"/>
                <w:color w:val="auto"/>
              </w:rPr>
            </w:pPr>
          </w:p>
        </w:tc>
      </w:tr>
      <w:tr>
        <w:trPr>
          <w:trHeight w:val="429"/>
        </w:trPr>
        <w:tc>
          <w:tcPr>
            <w:tcW w:w="3660" w:type="dxa"/>
            <w:vAlign w:val="bottom"/>
          </w:tcPr>
          <w:p>
            <w:pPr>
              <w:spacing w:after="0"/>
              <w:rPr>
                <w:sz w:val="20"/>
                <w:szCs w:val="20"/>
                <w:color w:val="auto"/>
              </w:rPr>
            </w:pPr>
            <w:r>
              <w:rPr>
                <w:rFonts w:ascii="Arial" w:cs="Arial" w:eastAsia="Arial" w:hAnsi="Arial"/>
                <w:sz w:val="12"/>
                <w:szCs w:val="12"/>
                <w:b w:val="1"/>
                <w:bCs w:val="1"/>
                <w:color w:val="auto"/>
              </w:rPr>
              <w:t>4. Marketable Securities and Fair Value Measurements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40" w:type="dxa"/>
            <w:vAlign w:val="bottom"/>
            <w:gridSpan w:val="9"/>
          </w:tcPr>
          <w:p>
            <w:pPr>
              <w:ind w:left="420"/>
              <w:spacing w:after="0"/>
              <w:rPr>
                <w:sz w:val="20"/>
                <w:szCs w:val="20"/>
                <w:color w:val="auto"/>
              </w:rPr>
            </w:pPr>
            <w:r>
              <w:rPr>
                <w:rFonts w:ascii="Arial" w:cs="Arial" w:eastAsia="Arial" w:hAnsi="Arial"/>
                <w:sz w:val="12"/>
                <w:szCs w:val="12"/>
                <w:color w:val="auto"/>
              </w:rPr>
              <w:t>The following is a summary of the Company’s available for sale marketable securities measured at fair value on a recurring basis.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Gross</w:t>
            </w:r>
          </w:p>
        </w:tc>
        <w:tc>
          <w:tcPr>
            <w:tcW w:w="300" w:type="dxa"/>
            <w:vAlign w:val="bottom"/>
          </w:tcPr>
          <w:p>
            <w:pPr>
              <w:spacing w:after="0"/>
              <w:rPr>
                <w:sz w:val="11"/>
                <w:szCs w:val="1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Gross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60" w:type="dxa"/>
            <w:vAlign w:val="bottom"/>
            <w:vMerge w:val="restart"/>
          </w:tcPr>
          <w:p>
            <w:pPr>
              <w:spacing w:after="0"/>
              <w:rPr>
                <w:sz w:val="20"/>
                <w:szCs w:val="20"/>
                <w:color w:val="auto"/>
              </w:rPr>
            </w:pPr>
            <w:r>
              <w:rPr>
                <w:rFonts w:ascii="Arial" w:cs="Arial" w:eastAsia="Arial" w:hAnsi="Arial"/>
                <w:sz w:val="10"/>
                <w:szCs w:val="10"/>
                <w:i w:val="1"/>
                <w:iCs w:val="1"/>
                <w:color w:val="auto"/>
              </w:rPr>
              <w:t>(dollars in millions)</w:t>
            </w:r>
          </w:p>
        </w:tc>
        <w:tc>
          <w:tcPr>
            <w:tcW w:w="1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Valuation</w:t>
            </w:r>
          </w:p>
        </w:tc>
        <w:tc>
          <w:tcPr>
            <w:tcW w:w="220" w:type="dxa"/>
            <w:vAlign w:val="bottom"/>
          </w:tcPr>
          <w:p>
            <w:pPr>
              <w:spacing w:after="0"/>
              <w:rPr>
                <w:sz w:val="10"/>
                <w:szCs w:val="1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Amortized</w:t>
            </w:r>
          </w:p>
        </w:tc>
        <w:tc>
          <w:tcPr>
            <w:tcW w:w="220" w:type="dxa"/>
            <w:vAlign w:val="bottom"/>
          </w:tcPr>
          <w:p>
            <w:pPr>
              <w:spacing w:after="0"/>
              <w:rPr>
                <w:sz w:val="10"/>
                <w:szCs w:val="1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Unrealized</w:t>
            </w:r>
          </w:p>
        </w:tc>
        <w:tc>
          <w:tcPr>
            <w:tcW w:w="300" w:type="dxa"/>
            <w:vAlign w:val="bottom"/>
          </w:tcPr>
          <w:p>
            <w:pPr>
              <w:spacing w:after="0"/>
              <w:rPr>
                <w:sz w:val="10"/>
                <w:szCs w:val="1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Unrealized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center"/>
              <w:ind w:right="323"/>
              <w:spacing w:after="0"/>
              <w:rPr>
                <w:sz w:val="20"/>
                <w:szCs w:val="20"/>
                <w:color w:val="auto"/>
              </w:rPr>
            </w:pPr>
            <w:r>
              <w:rPr>
                <w:rFonts w:ascii="Arial" w:cs="Arial" w:eastAsia="Arial" w:hAnsi="Arial"/>
                <w:sz w:val="10"/>
                <w:szCs w:val="10"/>
                <w:b w:val="1"/>
                <w:bCs w:val="1"/>
                <w:color w:val="auto"/>
                <w:w w:val="86"/>
              </w:rPr>
              <w:t>Fair</w:t>
            </w:r>
          </w:p>
        </w:tc>
        <w:tc>
          <w:tcPr>
            <w:tcW w:w="0" w:type="dxa"/>
            <w:vAlign w:val="bottom"/>
          </w:tcPr>
          <w:p>
            <w:pPr>
              <w:spacing w:after="0"/>
              <w:rPr>
                <w:sz w:val="1"/>
                <w:szCs w:val="1"/>
                <w:color w:val="auto"/>
              </w:rPr>
            </w:pPr>
          </w:p>
        </w:tc>
      </w:tr>
      <w:tr>
        <w:trPr>
          <w:trHeight w:val="134"/>
        </w:trPr>
        <w:tc>
          <w:tcPr>
            <w:tcW w:w="3660" w:type="dxa"/>
            <w:vAlign w:val="bottom"/>
            <w:tcBorders>
              <w:bottom w:val="single" w:sz="8" w:color="CCEEFF"/>
            </w:tcBorders>
            <w:vMerge w:val="continue"/>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Hierarchy</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8"/>
              </w:rPr>
              <w:t>Cost</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67"/>
              <w:spacing w:after="0"/>
              <w:rPr>
                <w:sz w:val="20"/>
                <w:szCs w:val="20"/>
                <w:color w:val="auto"/>
              </w:rPr>
            </w:pPr>
            <w:r>
              <w:rPr>
                <w:rFonts w:ascii="Arial" w:cs="Arial" w:eastAsia="Arial" w:hAnsi="Arial"/>
                <w:sz w:val="10"/>
                <w:szCs w:val="10"/>
                <w:b w:val="1"/>
                <w:bCs w:val="1"/>
                <w:color w:val="auto"/>
              </w:rPr>
              <w:t>Gains</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8"/>
              </w:rPr>
              <w:t>Losses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52"/>
        </w:trPr>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8"/>
              </w:rPr>
              <w:t>Level 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934.4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935.4</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2"/>
                <w:szCs w:val="12"/>
                <w:color w:val="auto"/>
              </w:rPr>
              <w:t>Government securities</w:t>
            </w:r>
          </w:p>
        </w:tc>
        <w:tc>
          <w:tcPr>
            <w:tcW w:w="1460" w:type="dxa"/>
            <w:vAlign w:val="bottom"/>
            <w:gridSpan w:val="2"/>
          </w:tcPr>
          <w:p>
            <w:pPr>
              <w:jc w:val="center"/>
              <w:ind w:right="80"/>
              <w:spacing w:after="0"/>
              <w:rPr>
                <w:sz w:val="20"/>
                <w:szCs w:val="20"/>
                <w:color w:val="auto"/>
              </w:rPr>
            </w:pPr>
            <w:r>
              <w:rPr>
                <w:rFonts w:ascii="Arial" w:cs="Arial" w:eastAsia="Arial" w:hAnsi="Arial"/>
                <w:sz w:val="12"/>
                <w:szCs w:val="12"/>
                <w:color w:val="auto"/>
                <w:w w:val="98"/>
              </w:rPr>
              <w:t>Level 2</w:t>
            </w:r>
          </w:p>
        </w:tc>
        <w:tc>
          <w:tcPr>
            <w:tcW w:w="220" w:type="dxa"/>
            <w:vAlign w:val="bottom"/>
          </w:tcPr>
          <w:p>
            <w:pPr>
              <w:spacing w:after="0"/>
              <w:rPr>
                <w:sz w:val="14"/>
                <w:szCs w:val="14"/>
                <w:color w:val="auto"/>
              </w:rPr>
            </w:pP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8"/>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937.9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938.9</w:t>
            </w:r>
          </w:p>
        </w:tc>
        <w:tc>
          <w:tcPr>
            <w:tcW w:w="0" w:type="dxa"/>
            <w:vAlign w:val="bottom"/>
          </w:tcPr>
          <w:p>
            <w:pPr>
              <w:spacing w:after="0"/>
              <w:rPr>
                <w:sz w:val="1"/>
                <w:szCs w:val="1"/>
                <w:color w:val="auto"/>
              </w:rPr>
            </w:pPr>
          </w:p>
        </w:tc>
      </w:tr>
      <w:tr>
        <w:trPr>
          <w:trHeight w:val="359"/>
        </w:trPr>
        <w:tc>
          <w:tcPr>
            <w:tcW w:w="36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8"/>
              </w:rPr>
              <w:t>Amortized</w:t>
            </w:r>
          </w:p>
        </w:tc>
        <w:tc>
          <w:tcPr>
            <w:tcW w:w="220" w:type="dxa"/>
            <w:vAlign w:val="bottom"/>
          </w:tcPr>
          <w:p>
            <w:pPr>
              <w:spacing w:after="0"/>
              <w:rPr>
                <w:sz w:val="11"/>
                <w:szCs w:val="1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Gross</w:t>
            </w:r>
          </w:p>
        </w:tc>
        <w:tc>
          <w:tcPr>
            <w:tcW w:w="300" w:type="dxa"/>
            <w:vAlign w:val="bottom"/>
          </w:tcPr>
          <w:p>
            <w:pPr>
              <w:spacing w:after="0"/>
              <w:rPr>
                <w:sz w:val="11"/>
                <w:szCs w:val="1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Gross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Valuation</w:t>
            </w:r>
          </w:p>
        </w:tc>
        <w:tc>
          <w:tcPr>
            <w:tcW w:w="2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Unrealized</w:t>
            </w:r>
          </w:p>
        </w:tc>
        <w:tc>
          <w:tcPr>
            <w:tcW w:w="300" w:type="dxa"/>
            <w:vAlign w:val="bottom"/>
          </w:tcPr>
          <w:p>
            <w:pPr>
              <w:spacing w:after="0"/>
              <w:rPr>
                <w:sz w:val="10"/>
                <w:szCs w:val="1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Unrealized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center"/>
              <w:ind w:right="323"/>
              <w:spacing w:after="0"/>
              <w:rPr>
                <w:sz w:val="20"/>
                <w:szCs w:val="20"/>
                <w:color w:val="auto"/>
              </w:rPr>
            </w:pPr>
            <w:r>
              <w:rPr>
                <w:rFonts w:ascii="Arial" w:cs="Arial" w:eastAsia="Arial" w:hAnsi="Arial"/>
                <w:sz w:val="10"/>
                <w:szCs w:val="10"/>
                <w:b w:val="1"/>
                <w:bCs w:val="1"/>
                <w:color w:val="auto"/>
                <w:w w:val="86"/>
              </w:rPr>
              <w:t>Fair</w:t>
            </w:r>
          </w:p>
        </w:tc>
        <w:tc>
          <w:tcPr>
            <w:tcW w:w="0" w:type="dxa"/>
            <w:vAlign w:val="bottom"/>
          </w:tcPr>
          <w:p>
            <w:pPr>
              <w:spacing w:after="0"/>
              <w:rPr>
                <w:sz w:val="1"/>
                <w:szCs w:val="1"/>
                <w:color w:val="auto"/>
              </w:rPr>
            </w:pPr>
          </w:p>
        </w:tc>
      </w:tr>
      <w:tr>
        <w:trPr>
          <w:trHeight w:val="133"/>
        </w:trPr>
        <w:tc>
          <w:tcPr>
            <w:tcW w:w="36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Hierarchy</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8"/>
              </w:rPr>
              <w:t>Cost</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67"/>
              <w:spacing w:after="0"/>
              <w:rPr>
                <w:sz w:val="20"/>
                <w:szCs w:val="20"/>
                <w:color w:val="auto"/>
              </w:rPr>
            </w:pPr>
            <w:r>
              <w:rPr>
                <w:rFonts w:ascii="Arial" w:cs="Arial" w:eastAsia="Arial" w:hAnsi="Arial"/>
                <w:sz w:val="10"/>
                <w:szCs w:val="10"/>
                <w:b w:val="1"/>
                <w:bCs w:val="1"/>
                <w:color w:val="auto"/>
              </w:rPr>
              <w:t>Gains</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8"/>
              </w:rPr>
              <w:t>Losses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303"/>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51"/>
        </w:trPr>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8"/>
              </w:rPr>
              <w:t>Level 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934.4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931.3</w:t>
            </w:r>
          </w:p>
        </w:tc>
        <w:tc>
          <w:tcPr>
            <w:tcW w:w="0" w:type="dxa"/>
            <w:vAlign w:val="bottom"/>
          </w:tcPr>
          <w:p>
            <w:pPr>
              <w:spacing w:after="0"/>
              <w:rPr>
                <w:sz w:val="1"/>
                <w:szCs w:val="1"/>
                <w:color w:val="auto"/>
              </w:rPr>
            </w:pPr>
          </w:p>
        </w:tc>
      </w:tr>
      <w:tr>
        <w:trPr>
          <w:trHeight w:val="153"/>
        </w:trPr>
        <w:tc>
          <w:tcPr>
            <w:tcW w:w="3660" w:type="dxa"/>
            <w:vAlign w:val="bottom"/>
          </w:tcPr>
          <w:p>
            <w:pPr>
              <w:spacing w:after="0"/>
              <w:rPr>
                <w:sz w:val="20"/>
                <w:szCs w:val="20"/>
                <w:color w:val="auto"/>
              </w:rPr>
            </w:pPr>
            <w:r>
              <w:rPr>
                <w:rFonts w:ascii="Arial" w:cs="Arial" w:eastAsia="Arial" w:hAnsi="Arial"/>
                <w:sz w:val="12"/>
                <w:szCs w:val="12"/>
                <w:color w:val="auto"/>
              </w:rPr>
              <w:t>Government securities</w:t>
            </w:r>
          </w:p>
        </w:tc>
        <w:tc>
          <w:tcPr>
            <w:tcW w:w="1460" w:type="dxa"/>
            <w:vAlign w:val="bottom"/>
            <w:gridSpan w:val="2"/>
          </w:tcPr>
          <w:p>
            <w:pPr>
              <w:jc w:val="center"/>
              <w:ind w:right="80"/>
              <w:spacing w:after="0"/>
              <w:rPr>
                <w:sz w:val="20"/>
                <w:szCs w:val="20"/>
                <w:color w:val="auto"/>
              </w:rPr>
            </w:pPr>
            <w:r>
              <w:rPr>
                <w:rFonts w:ascii="Arial" w:cs="Arial" w:eastAsia="Arial" w:hAnsi="Arial"/>
                <w:sz w:val="12"/>
                <w:szCs w:val="12"/>
                <w:color w:val="auto"/>
                <w:w w:val="98"/>
              </w:rPr>
              <w:t>Level 2</w:t>
            </w:r>
          </w:p>
        </w:tc>
        <w:tc>
          <w:tcPr>
            <w:tcW w:w="220" w:type="dxa"/>
            <w:vAlign w:val="bottom"/>
          </w:tcPr>
          <w:p>
            <w:pPr>
              <w:spacing w:after="0"/>
              <w:rPr>
                <w:sz w:val="13"/>
                <w:szCs w:val="13"/>
                <w:color w:val="auto"/>
              </w:rPr>
            </w:pP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18.0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58"/>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952.4</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949.3</w:t>
            </w:r>
          </w:p>
        </w:tc>
        <w:tc>
          <w:tcPr>
            <w:tcW w:w="0" w:type="dxa"/>
            <w:vAlign w:val="bottom"/>
          </w:tcPr>
          <w:p>
            <w:pPr>
              <w:spacing w:after="0"/>
              <w:rPr>
                <w:sz w:val="1"/>
                <w:szCs w:val="1"/>
                <w:color w:val="auto"/>
              </w:rPr>
            </w:pPr>
          </w:p>
        </w:tc>
      </w:tr>
      <w:tr>
        <w:trPr>
          <w:trHeight w:val="605"/>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2"/>
                <w:szCs w:val="12"/>
                <w:color w:val="auto"/>
              </w:rPr>
              <w:t>F - 17</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6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78" w:name="page179"/>
    <w:bookmarkEnd w:id="178"/>
    <w:p>
      <w:pPr>
        <w:ind w:right="140" w:firstLine="432"/>
        <w:spacing w:after="0" w:line="286" w:lineRule="auto"/>
        <w:rPr>
          <w:sz w:val="20"/>
          <w:szCs w:val="20"/>
          <w:color w:val="auto"/>
        </w:rPr>
      </w:pPr>
      <w:r>
        <w:rPr>
          <w:rFonts w:ascii="Arial" w:cs="Arial" w:eastAsia="Arial" w:hAnsi="Arial"/>
          <w:sz w:val="12"/>
          <w:szCs w:val="12"/>
          <w:color w:val="auto"/>
        </w:rPr>
        <w:t>The Company generally does not intend to sell any investments prior to recovery of their amortized cost basis for any investment in an unrealized loss position. As such, the Company has classified these losses as temporary in nature.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carrying value of cash and cash equivalents, accounts receivable and accounts payable and accrued liabilities approximate their fair values due to the short-term nature of these assets and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 Property, Equipment and Leasehold Improvements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Property, equipment and leasehold improvements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33"/>
        </w:trPr>
        <w:tc>
          <w:tcPr>
            <w:tcW w:w="802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2023</w:t>
            </w:r>
          </w:p>
        </w:tc>
      </w:tr>
      <w:tr>
        <w:trPr>
          <w:trHeight w:val="161"/>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18.5</w:t>
            </w:r>
          </w:p>
        </w:tc>
      </w:tr>
      <w:tr>
        <w:trPr>
          <w:trHeight w:val="168"/>
        </w:trPr>
        <w:tc>
          <w:tcPr>
            <w:tcW w:w="8020" w:type="dxa"/>
            <w:vAlign w:val="bottom"/>
          </w:tcPr>
          <w:p>
            <w:pPr>
              <w:spacing w:after="0"/>
              <w:rPr>
                <w:sz w:val="20"/>
                <w:szCs w:val="20"/>
                <w:color w:val="auto"/>
              </w:rPr>
            </w:pPr>
            <w:r>
              <w:rPr>
                <w:rFonts w:ascii="Arial" w:cs="Arial" w:eastAsia="Arial" w:hAnsi="Arial"/>
                <w:sz w:val="12"/>
                <w:szCs w:val="12"/>
                <w:color w:val="auto"/>
              </w:rPr>
              <w:t>Leasehold improvements</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11.5</w:t>
            </w:r>
          </w:p>
        </w:tc>
      </w:tr>
      <w:tr>
        <w:trPr>
          <w:trHeight w:val="174"/>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Office equipment</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w:t>
            </w:r>
          </w:p>
        </w:tc>
      </w:tr>
      <w:tr>
        <w:trPr>
          <w:trHeight w:val="157"/>
        </w:trPr>
        <w:tc>
          <w:tcPr>
            <w:tcW w:w="8020" w:type="dxa"/>
            <w:vAlign w:val="bottom"/>
          </w:tcPr>
          <w:p>
            <w:pPr>
              <w:ind w:left="140"/>
              <w:spacing w:after="0"/>
              <w:rPr>
                <w:sz w:val="20"/>
                <w:szCs w:val="20"/>
                <w:color w:val="auto"/>
              </w:rPr>
            </w:pPr>
            <w:r>
              <w:rPr>
                <w:rFonts w:ascii="Arial" w:cs="Arial" w:eastAsia="Arial" w:hAnsi="Arial"/>
                <w:sz w:val="12"/>
                <w:szCs w:val="12"/>
                <w:b w:val="1"/>
                <w:bCs w:val="1"/>
                <w:color w:val="auto"/>
              </w:rPr>
              <w:t>Total property, equipment and leasehold improvements</w:t>
            </w: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32.6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32.6</w:t>
            </w:r>
          </w:p>
        </w:tc>
      </w:tr>
      <w:tr>
        <w:trPr>
          <w:trHeight w:val="174"/>
        </w:trPr>
        <w:tc>
          <w:tcPr>
            <w:tcW w:w="80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accumulated depreciation and amortization</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w:t>
            </w:r>
          </w:p>
        </w:tc>
      </w:tr>
      <w:tr>
        <w:trPr>
          <w:trHeight w:val="157"/>
        </w:trPr>
        <w:tc>
          <w:tcPr>
            <w:tcW w:w="8020" w:type="dxa"/>
            <w:vAlign w:val="bottom"/>
          </w:tcPr>
          <w:p>
            <w:pPr>
              <w:ind w:left="440"/>
              <w:spacing w:after="0"/>
              <w:rPr>
                <w:sz w:val="20"/>
                <w:szCs w:val="20"/>
                <w:color w:val="auto"/>
              </w:rPr>
            </w:pPr>
            <w:r>
              <w:rPr>
                <w:rFonts w:ascii="Arial" w:cs="Arial" w:eastAsia="Arial" w:hAnsi="Arial"/>
                <w:sz w:val="12"/>
                <w:szCs w:val="12"/>
                <w:b w:val="1"/>
                <w:bCs w:val="1"/>
                <w:color w:val="auto"/>
              </w:rPr>
              <w:t>Property, equipment and leasehold improvements, net</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11.5</w:t>
            </w:r>
          </w:p>
        </w:tc>
      </w:tr>
      <w:tr>
        <w:trPr>
          <w:trHeight w:val="20"/>
        </w:trPr>
        <w:tc>
          <w:tcPr>
            <w:tcW w:w="8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2"/>
          <w:szCs w:val="12"/>
          <w:color w:val="auto"/>
        </w:rPr>
        <w:t xml:space="preserve">During the year ended December 31, 2024, the Company wrote-off leasehold improvements totaling $2.4 million resulting from the termination of the Terminated Lease, as discussed below in Note 6, </w:t>
      </w:r>
      <w:r>
        <w:rPr>
          <w:rFonts w:ascii="Arial" w:cs="Arial" w:eastAsia="Arial" w:hAnsi="Arial"/>
          <w:sz w:val="12"/>
          <w:szCs w:val="12"/>
          <w:i w:val="1"/>
          <w:iCs w:val="1"/>
          <w:color w:val="auto"/>
        </w:rPr>
        <w:t>Right-of-Use Assets and Liabilities.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Depreciation expense totaled $4.6 million, $4.8 million, and $6.3 million for the years ended December 31, 2024, 2023 and 2022,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6. Right-of-Use Assets and Liabilities</w:t>
      </w:r>
    </w:p>
    <w:p>
      <w:pPr>
        <w:spacing w:after="0" w:line="76"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In December 2024, the Company, entered into a Seventh Amendment and an Eighth Amendment to its lease (collectively the “Seventh and Eighth Building 5 Lease Amendments") with Science Park Development Corporation for certain premises in New Haven, Connecticut (the “Building 5 Premises”). The Seventh and Eighth Building 5 Lease Amendments extend the term of the original lease to December 31, 2029, resulting in an increase in the Company's ROU assets of $8.5 million, and, effective on January 1 2025, expand the Building 5 Premises to include approximately 11,200 square feet of additional laboratory and office space. The annual base rent during the extended term will range from $2.2 million to $2.6 million.</w:t>
      </w:r>
    </w:p>
    <w:p>
      <w:pPr>
        <w:spacing w:after="0" w:line="117" w:lineRule="exact"/>
        <w:rPr>
          <w:sz w:val="20"/>
          <w:szCs w:val="20"/>
          <w:color w:val="auto"/>
        </w:rPr>
      </w:pPr>
    </w:p>
    <w:p>
      <w:pPr>
        <w:jc w:val="both"/>
        <w:ind w:right="120" w:firstLine="432"/>
        <w:spacing w:after="0" w:line="278" w:lineRule="auto"/>
        <w:rPr>
          <w:sz w:val="20"/>
          <w:szCs w:val="20"/>
          <w:color w:val="auto"/>
        </w:rPr>
      </w:pPr>
      <w:r>
        <w:rPr>
          <w:rFonts w:ascii="Arial" w:cs="Arial" w:eastAsia="Arial" w:hAnsi="Arial"/>
          <w:sz w:val="11"/>
          <w:szCs w:val="11"/>
          <w:color w:val="auto"/>
        </w:rPr>
        <w:t>In August 2024, the Company entered into a Lease Termination Agreement with 101 College Street LLC (the "Landlord"). Under the terms of the Lease Termination Agreement, the lease, by and between the Company and the Landlord, dated May 4, 2021 (as amended, the "Terminated Lease"), for certain leased premises of approximately 160,000 square feet of laboratory and office space, was terminated in full, effective August 15, 2024. The leased premises were expected to be occupied by the Company in 2025. In connection with the Lease Termination Agreement and as consideration for the Landlord’s agreement to terminate the lease for its laboratory and office space at 101 College Street in full, the Company agreed to pay to the Landlord a one-time cash termination fee in the amount of $41.5 million and wrote-off</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$1.9 million of prepaid rent, both of which are recognized in general and administrative operating expenses on the consolidated statements of operations. The Company also cancelled its previously issued letter of credit in the amount of $5.5 million.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operating leases for its corporate office, laboratories and certain equipment, which expire no later than December 2029. The leases have a weighted-average remaining term of 4.8</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79" w:name="page180"/>
    <w:bookmarkEnd w:id="179"/>
    <w:p>
      <w:pPr>
        <w:ind w:left="420"/>
        <w:spacing w:after="0"/>
        <w:rPr>
          <w:sz w:val="20"/>
          <w:szCs w:val="20"/>
          <w:color w:val="auto"/>
        </w:rPr>
      </w:pPr>
      <w:r>
        <w:rPr>
          <w:rFonts w:ascii="Arial" w:cs="Arial" w:eastAsia="Arial" w:hAnsi="Arial"/>
          <w:sz w:val="12"/>
          <w:szCs w:val="12"/>
          <w:color w:val="auto"/>
        </w:rPr>
        <w:t>The components of lease expense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6"/>
              </w:rPr>
              <w:t>Year Ended December 31,</w:t>
            </w: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1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353"/>
        </w:trPr>
        <w:tc>
          <w:tcPr>
            <w:tcW w:w="5080" w:type="dxa"/>
            <w:vAlign w:val="bottom"/>
          </w:tcPr>
          <w:p>
            <w:pPr>
              <w:ind w:left="420"/>
              <w:spacing w:after="0"/>
              <w:rPr>
                <w:sz w:val="20"/>
                <w:szCs w:val="20"/>
                <w:color w:val="auto"/>
              </w:rPr>
            </w:pPr>
            <w:r>
              <w:rPr>
                <w:rFonts w:ascii="Arial" w:cs="Arial" w:eastAsia="Arial" w:hAnsi="Arial"/>
                <w:sz w:val="12"/>
                <w:szCs w:val="12"/>
                <w:color w:val="auto"/>
              </w:rPr>
              <w:t>Supplemental cash flow information related to leases was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8"/>
              </w:rPr>
              <w:t>December 31,</w:t>
            </w: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12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ind w:left="160"/>
              <w:spacing w:after="0"/>
              <w:rPr>
                <w:sz w:val="20"/>
                <w:szCs w:val="20"/>
                <w:color w:val="auto"/>
              </w:rPr>
            </w:pPr>
            <w:r>
              <w:rPr>
                <w:rFonts w:ascii="Arial" w:cs="Arial" w:eastAsia="Arial" w:hAnsi="Arial"/>
                <w:sz w:val="12"/>
                <w:szCs w:val="12"/>
                <w:color w:val="auto"/>
              </w:rPr>
              <w:t>Operating cash flows from operating leases</w:t>
            </w:r>
          </w:p>
        </w:tc>
        <w:tc>
          <w:tcPr>
            <w:tcW w:w="166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5"/>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4"/>
                <w:szCs w:val="14"/>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Supplemental non-cash information:</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80" w:type="dxa"/>
            <w:vAlign w:val="bottom"/>
          </w:tcPr>
          <w:p>
            <w:pPr>
              <w:ind w:left="160"/>
              <w:spacing w:after="0"/>
              <w:rPr>
                <w:sz w:val="20"/>
                <w:szCs w:val="20"/>
                <w:color w:val="auto"/>
              </w:rPr>
            </w:pPr>
            <w:r>
              <w:rPr>
                <w:rFonts w:ascii="Arial" w:cs="Arial" w:eastAsia="Arial" w:hAnsi="Arial"/>
                <w:sz w:val="12"/>
                <w:szCs w:val="12"/>
                <w:color w:val="auto"/>
              </w:rPr>
              <w:t>Right-of-use assets obtained in exchange for new lease obligations</w:t>
            </w:r>
          </w:p>
        </w:tc>
        <w:tc>
          <w:tcPr>
            <w:tcW w:w="166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5"/>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351"/>
        </w:trPr>
        <w:tc>
          <w:tcPr>
            <w:tcW w:w="5080" w:type="dxa"/>
            <w:vAlign w:val="bottom"/>
          </w:tcPr>
          <w:p>
            <w:pPr>
              <w:ind w:left="420"/>
              <w:spacing w:after="0"/>
              <w:rPr>
                <w:sz w:val="20"/>
                <w:szCs w:val="20"/>
                <w:color w:val="auto"/>
              </w:rPr>
            </w:pPr>
            <w:r>
              <w:rPr>
                <w:rFonts w:ascii="Arial" w:cs="Arial" w:eastAsia="Arial" w:hAnsi="Arial"/>
                <w:sz w:val="12"/>
                <w:szCs w:val="12"/>
                <w:color w:val="auto"/>
              </w:rPr>
              <w:t>Maturities of operating lease liabilities as of December 31, 2024 were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80" w:type="dxa"/>
            <w:vAlign w:val="bottom"/>
          </w:tcPr>
          <w:p>
            <w:pPr>
              <w:spacing w:after="0"/>
              <w:rPr>
                <w:sz w:val="20"/>
                <w:szCs w:val="20"/>
                <w:color w:val="auto"/>
              </w:rPr>
            </w:pPr>
            <w:r>
              <w:rPr>
                <w:rFonts w:ascii="Arial" w:cs="Arial" w:eastAsia="Arial" w:hAnsi="Arial"/>
                <w:sz w:val="10"/>
                <w:szCs w:val="10"/>
                <w:i w:val="1"/>
                <w:iCs w:val="1"/>
                <w:color w:val="auto"/>
              </w:rPr>
              <w:t>(dollars in millions)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20"/>
                <w:szCs w:val="20"/>
                <w:color w:val="auto"/>
              </w:rPr>
            </w:pPr>
            <w:r>
              <w:rPr>
                <w:rFonts w:ascii="Arial" w:cs="Arial" w:eastAsia="Arial" w:hAnsi="Arial"/>
                <w:sz w:val="12"/>
                <w:szCs w:val="12"/>
                <w:color w:val="auto"/>
              </w:rPr>
              <w:t>2026</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4"/>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20"/>
                <w:szCs w:val="20"/>
                <w:color w:val="auto"/>
              </w:rPr>
            </w:pPr>
            <w:r>
              <w:rPr>
                <w:rFonts w:ascii="Arial" w:cs="Arial" w:eastAsia="Arial" w:hAnsi="Arial"/>
                <w:sz w:val="12"/>
                <w:szCs w:val="12"/>
                <w:color w:val="auto"/>
              </w:rPr>
              <w:t>2028</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74"/>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2029</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1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Total lease payments</w:t>
            </w: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Less: imputed interest</w:t>
            </w:r>
          </w:p>
        </w:tc>
        <w:tc>
          <w:tcPr>
            <w:tcW w:w="1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82"/>
        </w:trPr>
        <w:tc>
          <w:tcPr>
            <w:tcW w:w="5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Total</w:t>
            </w:r>
          </w:p>
        </w:tc>
        <w:tc>
          <w:tcPr>
            <w:tcW w:w="1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429"/>
        </w:trPr>
        <w:tc>
          <w:tcPr>
            <w:tcW w:w="5080" w:type="dxa"/>
            <w:vAlign w:val="bottom"/>
          </w:tcPr>
          <w:p>
            <w:pPr>
              <w:spacing w:after="0"/>
              <w:rPr>
                <w:sz w:val="20"/>
                <w:szCs w:val="20"/>
                <w:color w:val="auto"/>
              </w:rPr>
            </w:pPr>
            <w:r>
              <w:rPr>
                <w:rFonts w:ascii="Arial" w:cs="Arial" w:eastAsia="Arial" w:hAnsi="Arial"/>
                <w:sz w:val="12"/>
                <w:szCs w:val="12"/>
                <w:b w:val="1"/>
                <w:bCs w:val="1"/>
                <w:i w:val="1"/>
                <w:iCs w:val="1"/>
                <w:color w:val="auto"/>
              </w:rPr>
              <w:t>7. Accounts Payable and Accrued Liabilities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420"/>
              <w:spacing w:after="0"/>
              <w:rPr>
                <w:sz w:val="20"/>
                <w:szCs w:val="20"/>
                <w:color w:val="auto"/>
              </w:rPr>
            </w:pPr>
            <w:r>
              <w:rPr>
                <w:rFonts w:ascii="Arial" w:cs="Arial" w:eastAsia="Arial" w:hAnsi="Arial"/>
                <w:sz w:val="12"/>
                <w:szCs w:val="12"/>
                <w:color w:val="auto"/>
              </w:rPr>
              <w:t>Accounts payable and accrued liabilities consisted of the following:</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1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8"/>
              </w:rPr>
              <w:t>2024</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20"/>
                <w:szCs w:val="20"/>
                <w:color w:val="auto"/>
              </w:rPr>
            </w:pPr>
            <w:r>
              <w:rPr>
                <w:rFonts w:ascii="Arial" w:cs="Arial" w:eastAsia="Arial" w:hAnsi="Arial"/>
                <w:sz w:val="12"/>
                <w:szCs w:val="12"/>
                <w:color w:val="auto"/>
              </w:rPr>
              <w:t>Accrued liabilities</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Employee expenses</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67"/>
        </w:trPr>
        <w:tc>
          <w:tcPr>
            <w:tcW w:w="5080" w:type="dxa"/>
            <w:vAlign w:val="bottom"/>
          </w:tcPr>
          <w:p>
            <w:pPr>
              <w:ind w:left="140"/>
              <w:spacing w:after="0"/>
              <w:rPr>
                <w:sz w:val="20"/>
                <w:szCs w:val="20"/>
                <w:color w:val="auto"/>
              </w:rPr>
            </w:pPr>
            <w:r>
              <w:rPr>
                <w:rFonts w:ascii="Arial" w:cs="Arial" w:eastAsia="Arial" w:hAnsi="Arial"/>
                <w:sz w:val="12"/>
                <w:szCs w:val="12"/>
                <w:color w:val="auto"/>
              </w:rPr>
              <w:t>Research and development expenses</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25.9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fees</w:t>
            </w: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68"/>
        </w:trPr>
        <w:tc>
          <w:tcPr>
            <w:tcW w:w="5080" w:type="dxa"/>
            <w:vAlign w:val="bottom"/>
          </w:tcPr>
          <w:p>
            <w:pPr>
              <w:ind w:left="140"/>
              <w:spacing w:after="0"/>
              <w:rPr>
                <w:sz w:val="20"/>
                <w:szCs w:val="20"/>
                <w:color w:val="auto"/>
              </w:rPr>
            </w:pPr>
            <w:r>
              <w:rPr>
                <w:rFonts w:ascii="Arial" w:cs="Arial" w:eastAsia="Arial" w:hAnsi="Arial"/>
                <w:sz w:val="12"/>
                <w:szCs w:val="12"/>
                <w:color w:val="auto"/>
              </w:rPr>
              <w:t>General and administrative and commercial expenses</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taxes</w:t>
            </w: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64"/>
        </w:trPr>
        <w:tc>
          <w:tcPr>
            <w:tcW w:w="5080" w:type="dxa"/>
            <w:vAlign w:val="bottom"/>
          </w:tcPr>
          <w:p>
            <w:pPr>
              <w:spacing w:after="0"/>
              <w:rPr>
                <w:sz w:val="20"/>
                <w:szCs w:val="20"/>
                <w:color w:val="auto"/>
              </w:rPr>
            </w:pPr>
            <w:r>
              <w:rPr>
                <w:rFonts w:ascii="Arial" w:cs="Arial" w:eastAsia="Arial" w:hAnsi="Arial"/>
                <w:sz w:val="12"/>
                <w:szCs w:val="12"/>
                <w:color w:val="auto"/>
              </w:rPr>
              <w:t>Accounts payable and accrued liabilities</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92.2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gridSpan w:val="3"/>
            <w:vMerge w:val="restart"/>
          </w:tcPr>
          <w:p>
            <w:pPr>
              <w:jc w:val="right"/>
              <w:ind w:right="940"/>
              <w:spacing w:after="0"/>
              <w:rPr>
                <w:sz w:val="20"/>
                <w:szCs w:val="20"/>
                <w:color w:val="auto"/>
              </w:rPr>
            </w:pPr>
            <w:r>
              <w:rPr>
                <w:rFonts w:ascii="Arial" w:cs="Arial" w:eastAsia="Arial" w:hAnsi="Arial"/>
                <w:sz w:val="12"/>
                <w:szCs w:val="12"/>
                <w:color w:val="auto"/>
              </w:rPr>
              <w:t>F - 19</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80" w:type="dxa"/>
            <w:vAlign w:val="bottom"/>
          </w:tcPr>
          <w:p>
            <w:pPr>
              <w:spacing w:after="0"/>
              <w:rPr>
                <w:sz w:val="24"/>
                <w:szCs w:val="24"/>
                <w:color w:val="auto"/>
              </w:rPr>
            </w:pPr>
          </w:p>
        </w:tc>
        <w:tc>
          <w:tcPr>
            <w:tcW w:w="166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50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80" w:name="page181"/>
    <w:bookmarkEnd w:id="180"/>
    <w:p>
      <w:pPr>
        <w:ind w:left="8"/>
        <w:spacing w:after="0"/>
        <w:rPr>
          <w:sz w:val="20"/>
          <w:szCs w:val="20"/>
          <w:color w:val="auto"/>
        </w:rPr>
      </w:pPr>
      <w:r>
        <w:rPr>
          <w:rFonts w:ascii="Arial" w:cs="Arial" w:eastAsia="Arial" w:hAnsi="Arial"/>
          <w:sz w:val="12"/>
          <w:szCs w:val="12"/>
          <w:b w:val="1"/>
          <w:bCs w:val="1"/>
          <w:i w:val="1"/>
          <w:iCs w:val="1"/>
          <w:color w:val="auto"/>
        </w:rPr>
        <w:t>8. Long-Term Debt</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Debt obligations consisted of the following:</w:t>
      </w:r>
    </w:p>
    <w:p>
      <w:pPr>
        <w:spacing w:after="0" w:line="347"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(dollars in millions)</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color w:val="auto"/>
        </w:rPr>
        <w:t>2018 Assistance Agreement Debt</w:t>
      </w:r>
    </w:p>
    <w:p>
      <w:pPr>
        <w:spacing w:after="0" w:line="42" w:lineRule="exact"/>
        <w:rPr>
          <w:sz w:val="20"/>
          <w:szCs w:val="20"/>
          <w:color w:val="auto"/>
        </w:rPr>
      </w:pPr>
    </w:p>
    <w:p>
      <w:pPr>
        <w:ind w:left="148"/>
        <w:spacing w:after="0" w:line="270" w:lineRule="auto"/>
        <w:rPr>
          <w:sz w:val="20"/>
          <w:szCs w:val="20"/>
          <w:color w:val="auto"/>
        </w:rPr>
      </w:pPr>
      <w:r>
        <w:rPr>
          <w:rFonts w:ascii="Arial" w:cs="Arial" w:eastAsia="Arial" w:hAnsi="Arial"/>
          <w:sz w:val="12"/>
          <w:szCs w:val="12"/>
          <w:color w:val="auto"/>
        </w:rPr>
        <w:t>Less: current installments included within Accounts Payable and Accrued Liabilities</w:t>
      </w:r>
    </w:p>
    <w:p>
      <w:pPr>
        <w:spacing w:after="0" w:line="23" w:lineRule="exact"/>
        <w:rPr>
          <w:sz w:val="20"/>
          <w:szCs w:val="20"/>
          <w:color w:val="auto"/>
        </w:rPr>
      </w:pPr>
    </w:p>
    <w:p>
      <w:pPr>
        <w:ind w:left="308"/>
        <w:spacing w:after="0"/>
        <w:rPr>
          <w:sz w:val="20"/>
          <w:szCs w:val="20"/>
          <w:color w:val="auto"/>
        </w:rPr>
      </w:pPr>
      <w:r>
        <w:rPr>
          <w:rFonts w:ascii="Arial" w:cs="Arial" w:eastAsia="Arial" w:hAnsi="Arial"/>
          <w:sz w:val="12"/>
          <w:szCs w:val="12"/>
          <w:b w:val="1"/>
          <w:bCs w:val="1"/>
          <w:color w:val="auto"/>
        </w:rPr>
        <w:t>Total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200" w:type="dxa"/>
            <w:vAlign w:val="bottom"/>
            <w:tcBorders>
              <w:bottom w:val="single" w:sz="8" w:color="auto"/>
            </w:tcBorders>
          </w:tcPr>
          <w:p>
            <w:pPr>
              <w:spacing w:after="0"/>
              <w:rPr>
                <w:sz w:val="11"/>
                <w:szCs w:val="11"/>
                <w:color w:val="auto"/>
              </w:rPr>
            </w:pPr>
          </w:p>
        </w:tc>
      </w:tr>
      <w:tr>
        <w:trPr>
          <w:trHeight w:val="133"/>
        </w:trPr>
        <w:tc>
          <w:tcPr>
            <w:tcW w:w="1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Maturity Date</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Interest Rate</w:t>
            </w:r>
          </w:p>
        </w:tc>
        <w:tc>
          <w:tcPr>
            <w:tcW w:w="400" w:type="dxa"/>
            <w:vAlign w:val="bottom"/>
          </w:tcPr>
          <w:p>
            <w:pPr>
              <w:spacing w:after="0"/>
              <w:rPr>
                <w:sz w:val="11"/>
                <w:szCs w:val="11"/>
                <w:color w:val="auto"/>
              </w:rPr>
            </w:pPr>
          </w:p>
        </w:tc>
        <w:tc>
          <w:tcPr>
            <w:tcW w:w="1300" w:type="dxa"/>
            <w:vAlign w:val="bottom"/>
          </w:tcPr>
          <w:p>
            <w:pPr>
              <w:jc w:val="right"/>
              <w:ind w:right="685"/>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jc w:val="right"/>
              <w:ind w:right="703"/>
              <w:spacing w:after="0"/>
              <w:rPr>
                <w:sz w:val="20"/>
                <w:szCs w:val="20"/>
                <w:color w:val="auto"/>
              </w:rPr>
            </w:pPr>
            <w:r>
              <w:rPr>
                <w:rFonts w:ascii="Arial" w:cs="Arial" w:eastAsia="Arial" w:hAnsi="Arial"/>
                <w:sz w:val="10"/>
                <w:szCs w:val="10"/>
                <w:b w:val="1"/>
                <w:bCs w:val="1"/>
                <w:color w:val="auto"/>
              </w:rPr>
              <w:t>2023</w:t>
            </w:r>
          </w:p>
        </w:tc>
      </w:tr>
      <w:tr>
        <w:trPr>
          <w:trHeight w:val="307"/>
        </w:trPr>
        <w:tc>
          <w:tcPr>
            <w:tcW w:w="1700" w:type="dxa"/>
            <w:vAlign w:val="bottom"/>
            <w:tcBorders>
              <w:top w:val="single" w:sz="8" w:color="auto"/>
            </w:tcBorders>
          </w:tcPr>
          <w:p>
            <w:pPr>
              <w:jc w:val="right"/>
              <w:ind w:right="646"/>
              <w:spacing w:after="0"/>
              <w:rPr>
                <w:sz w:val="20"/>
                <w:szCs w:val="20"/>
                <w:color w:val="auto"/>
              </w:rPr>
            </w:pPr>
            <w:r>
              <w:rPr>
                <w:rFonts w:ascii="Arial" w:cs="Arial" w:eastAsia="Arial" w:hAnsi="Arial"/>
                <w:sz w:val="12"/>
                <w:szCs w:val="12"/>
                <w:color w:val="auto"/>
              </w:rPr>
              <w:t>09/28</w:t>
            </w:r>
          </w:p>
        </w:tc>
        <w:tc>
          <w:tcPr>
            <w:tcW w:w="80" w:type="dxa"/>
            <w:vAlign w:val="bottom"/>
          </w:tcPr>
          <w:p>
            <w:pPr>
              <w:spacing w:after="0"/>
              <w:rPr>
                <w:sz w:val="24"/>
                <w:szCs w:val="24"/>
                <w:color w:val="auto"/>
              </w:rPr>
            </w:pPr>
          </w:p>
        </w:tc>
        <w:tc>
          <w:tcPr>
            <w:tcW w:w="1720" w:type="dxa"/>
            <w:vAlign w:val="bottom"/>
            <w:tcBorders>
              <w:top w:val="single" w:sz="8" w:color="auto"/>
            </w:tcBorders>
          </w:tcPr>
          <w:p>
            <w:pPr>
              <w:jc w:val="right"/>
              <w:ind w:right="646"/>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24"/>
                <w:szCs w:val="24"/>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24"/>
                <w:szCs w:val="24"/>
                <w:color w:val="auto"/>
              </w:rPr>
            </w:pPr>
          </w:p>
        </w:tc>
        <w:tc>
          <w:tcPr>
            <w:tcW w:w="5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1.0</w:t>
            </w:r>
          </w:p>
        </w:tc>
      </w:tr>
      <w:tr>
        <w:trPr>
          <w:trHeight w:val="300"/>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r>
        <w:trPr>
          <w:trHeight w:val="160"/>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0.8</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-536575</wp:posOffset>
            </wp:positionV>
            <wp:extent cx="717804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-136525</wp:posOffset>
            </wp:positionV>
            <wp:extent cx="7178040" cy="1257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7178040" cy="12573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028" w:space="200"/>
            <w:col w:w="7080"/>
          </w:cols>
          <w:pgMar w:left="292" w:top="885" w:right="299" w:bottom="1440" w:gutter="0" w:footer="0" w:header="0"/>
        </w:sectPr>
      </w:pPr>
    </w:p>
    <w:p>
      <w:pPr>
        <w:ind w:left="8" w:right="140" w:firstLine="432"/>
        <w:spacing w:after="0" w:line="259" w:lineRule="auto"/>
        <w:rPr>
          <w:sz w:val="20"/>
          <w:szCs w:val="20"/>
          <w:color w:val="auto"/>
        </w:rPr>
      </w:pPr>
      <w:r>
        <w:rPr>
          <w:rFonts w:ascii="Arial" w:cs="Arial" w:eastAsia="Arial" w:hAnsi="Arial"/>
          <w:sz w:val="12"/>
          <w:szCs w:val="12"/>
          <w:color w:val="auto"/>
        </w:rPr>
        <w:t>In June 2018, the Company entered into an Assistance Agreement with the State of Connecticut (the "2018 Assistance Agreement") to provide funding for the expansion and renovation of laboratory and office space. In September 2018, the Company borrowed $2.0 million under the 2018 Assistance Agreement, of which $ 1.0 million was forgiven by the State of Connecticut in April 2021 as the Company met certain employment conditions, as defined in the agreement. Borrowings under the 2018 Assistance Agreement bear an interest rate of 3.25% per annum, with interest-only payments required for the first 60 months, and mature in September 2028. The 2018 Assistance Agreement requires that the Company be located in the State of Connecticut through September 2028 with a default penalty of repayment of the full original funding amount of $2.0 million plus liquidated damages of 7.5% of the total amount of funding received.</w:t>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9700" w:type="dxa"/>
            <w:vAlign w:val="bottom"/>
          </w:tcPr>
          <w:p>
            <w:pPr>
              <w:ind w:left="420"/>
              <w:spacing w:after="0"/>
              <w:rPr>
                <w:sz w:val="20"/>
                <w:szCs w:val="20"/>
                <w:color w:val="auto"/>
              </w:rPr>
            </w:pPr>
            <w:r>
              <w:rPr>
                <w:rFonts w:ascii="Arial" w:cs="Arial" w:eastAsia="Arial" w:hAnsi="Arial"/>
                <w:sz w:val="12"/>
                <w:szCs w:val="12"/>
                <w:color w:val="auto"/>
              </w:rPr>
              <w:t>Minimum future principal payments on long-term debt as of December 31, 2024 are as follows:</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1"/>
        </w:trPr>
        <w:tc>
          <w:tcPr>
            <w:tcW w:w="9700" w:type="dxa"/>
            <w:vAlign w:val="bottom"/>
          </w:tcPr>
          <w:p>
            <w:pPr>
              <w:spacing w:after="0"/>
              <w:rPr>
                <w:sz w:val="20"/>
                <w:szCs w:val="20"/>
                <w:color w:val="auto"/>
              </w:rPr>
            </w:pPr>
            <w:r>
              <w:rPr>
                <w:rFonts w:ascii="Arial" w:cs="Arial" w:eastAsia="Arial" w:hAnsi="Arial"/>
                <w:sz w:val="10"/>
                <w:szCs w:val="10"/>
                <w:i w:val="1"/>
                <w:iCs w:val="1"/>
                <w:color w:val="auto"/>
              </w:rPr>
              <w:t>(dollars in millions)</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4"/>
        </w:trPr>
        <w:tc>
          <w:tcPr>
            <w:tcW w:w="97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r>
      <w:tr>
        <w:trPr>
          <w:trHeight w:val="171"/>
        </w:trPr>
        <w:tc>
          <w:tcPr>
            <w:tcW w:w="9700" w:type="dxa"/>
            <w:vAlign w:val="bottom"/>
          </w:tcPr>
          <w:p>
            <w:pPr>
              <w:spacing w:after="0"/>
              <w:rPr>
                <w:sz w:val="20"/>
                <w:szCs w:val="20"/>
                <w:color w:val="auto"/>
              </w:rPr>
            </w:pPr>
            <w:r>
              <w:rPr>
                <w:rFonts w:ascii="Arial" w:cs="Arial" w:eastAsia="Arial" w:hAnsi="Arial"/>
                <w:sz w:val="12"/>
                <w:szCs w:val="12"/>
                <w:color w:val="auto"/>
              </w:rPr>
              <w:t>2026</w:t>
            </w:r>
          </w:p>
        </w:tc>
        <w:tc>
          <w:tcPr>
            <w:tcW w:w="7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171"/>
        </w:trPr>
        <w:tc>
          <w:tcPr>
            <w:tcW w:w="970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r>
      <w:tr>
        <w:trPr>
          <w:trHeight w:val="171"/>
        </w:trPr>
        <w:tc>
          <w:tcPr>
            <w:tcW w:w="9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2028</w:t>
            </w:r>
          </w:p>
        </w:tc>
        <w:tc>
          <w:tcPr>
            <w:tcW w:w="7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r>
        <w:trPr>
          <w:trHeight w:val="176"/>
        </w:trPr>
        <w:tc>
          <w:tcPr>
            <w:tcW w:w="9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Total</w:t>
            </w: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r>
    </w:tbl>
    <w:p>
      <w:pPr>
        <w:spacing w:after="0" w:line="185" w:lineRule="exact"/>
        <w:rPr>
          <w:sz w:val="20"/>
          <w:szCs w:val="20"/>
          <w:color w:val="auto"/>
        </w:rPr>
      </w:pPr>
    </w:p>
    <w:p>
      <w:pPr>
        <w:ind w:left="408"/>
        <w:spacing w:after="0"/>
        <w:rPr>
          <w:sz w:val="20"/>
          <w:szCs w:val="20"/>
          <w:color w:val="auto"/>
        </w:rPr>
      </w:pPr>
      <w:r>
        <w:rPr>
          <w:rFonts w:ascii="Arial" w:cs="Arial" w:eastAsia="Arial" w:hAnsi="Arial"/>
          <w:sz w:val="12"/>
          <w:szCs w:val="12"/>
          <w:color w:val="auto"/>
        </w:rPr>
        <w:t>During the years ended December 31, 2024, 2023 and 2022, interest expense was immaterial.</w:t>
      </w:r>
    </w:p>
    <w:p>
      <w:pPr>
        <w:spacing w:after="0" w:line="224" w:lineRule="exact"/>
        <w:rPr>
          <w:sz w:val="20"/>
          <w:szCs w:val="20"/>
          <w:color w:val="auto"/>
        </w:rPr>
      </w:pPr>
    </w:p>
    <w:p>
      <w:pPr>
        <w:ind w:left="8" w:right="10420" w:hanging="8"/>
        <w:spacing w:after="0" w:line="407" w:lineRule="auto"/>
        <w:tabs>
          <w:tab w:leader="none" w:pos="141" w:val="left"/>
        </w:tabs>
        <w:numPr>
          <w:ilvl w:val="0"/>
          <w:numId w:val="91"/>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Equity </w:t>
      </w:r>
      <w:r>
        <w:rPr>
          <w:rFonts w:ascii="Arial" w:cs="Arial" w:eastAsia="Arial" w:hAnsi="Arial"/>
          <w:sz w:val="11"/>
          <w:szCs w:val="11"/>
          <w:b w:val="1"/>
          <w:bCs w:val="1"/>
          <w:color w:val="auto"/>
        </w:rPr>
        <w:t>Preferred Stock</w:t>
      </w:r>
    </w:p>
    <w:p>
      <w:pPr>
        <w:spacing w:after="0" w:line="1" w:lineRule="exact"/>
        <w:rPr>
          <w:sz w:val="20"/>
          <w:szCs w:val="20"/>
          <w:color w:val="auto"/>
        </w:rPr>
      </w:pPr>
    </w:p>
    <w:p>
      <w:pPr>
        <w:ind w:left="8" w:right="100" w:firstLine="432"/>
        <w:spacing w:after="0" w:line="262" w:lineRule="auto"/>
        <w:rPr>
          <w:sz w:val="20"/>
          <w:szCs w:val="20"/>
          <w:color w:val="auto"/>
        </w:rPr>
      </w:pPr>
      <w:r>
        <w:rPr>
          <w:rFonts w:ascii="Arial" w:cs="Arial" w:eastAsia="Arial" w:hAnsi="Arial"/>
          <w:sz w:val="12"/>
          <w:szCs w:val="12"/>
          <w:color w:val="auto"/>
        </w:rPr>
        <w:t>As of December 31, 2024 and 2023, the Company had authorized 5,000,000 shares of preferred stock, at a $0.001 par value per share. Preferred stock may be issued in one or more series upon authorization of the Company's board of directors. The board of directors is authorized to fix the designations, powers, preferences and the relative, participating, optional or other special rights and any qualifications, limitations and restrictions of the shares of each series of preferred stock. The authorized shares of the Company's preferred stock are available for issuance without further action by the Company's stockholders, unless such action is required by applicable law or the rules of any stock exchange on which our securities may be listed.</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78" w:lineRule="exact"/>
        <w:rPr>
          <w:sz w:val="20"/>
          <w:szCs w:val="20"/>
          <w:color w:val="auto"/>
        </w:rPr>
      </w:pPr>
    </w:p>
    <w:p>
      <w:pPr>
        <w:jc w:val="both"/>
        <w:ind w:left="8" w:right="20" w:firstLine="432"/>
        <w:spacing w:after="0" w:line="268" w:lineRule="auto"/>
        <w:rPr>
          <w:sz w:val="20"/>
          <w:szCs w:val="20"/>
          <w:color w:val="auto"/>
        </w:rPr>
      </w:pPr>
      <w:r>
        <w:rPr>
          <w:rFonts w:ascii="Arial" w:cs="Arial" w:eastAsia="Arial" w:hAnsi="Arial"/>
          <w:sz w:val="12"/>
          <w:szCs w:val="12"/>
          <w:color w:val="auto"/>
        </w:rPr>
        <w:t>As of December 31, 2024 and 2023, the Company had authorized 200,000,000 shares of common stock, at a $ 0.001 par value per share. 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 No dividends have been declared or paid by the Company since its inception.</w:t>
      </w:r>
    </w:p>
    <w:p>
      <w:pPr>
        <w:spacing w:after="0" w:line="114" w:lineRule="exact"/>
        <w:rPr>
          <w:sz w:val="20"/>
          <w:szCs w:val="20"/>
          <w:color w:val="auto"/>
        </w:rPr>
      </w:pPr>
    </w:p>
    <w:p>
      <w:pPr>
        <w:ind w:left="8" w:right="120" w:firstLine="432"/>
        <w:spacing w:after="0" w:line="268" w:lineRule="auto"/>
        <w:rPr>
          <w:sz w:val="20"/>
          <w:szCs w:val="20"/>
          <w:color w:val="auto"/>
        </w:rPr>
      </w:pPr>
      <w:r>
        <w:rPr>
          <w:rFonts w:ascii="Arial" w:cs="Arial" w:eastAsia="Arial" w:hAnsi="Arial"/>
          <w:sz w:val="12"/>
          <w:szCs w:val="12"/>
          <w:color w:val="auto"/>
        </w:rPr>
        <w:t>In November 2023, the Company completed a private placement offering with certain institutional investors in which the Company issued and sold 12,963,542 shares of common stock at a price of $21.36 per share and, to one investor, in lieu of common stock, pre-funded warrants to purchase up to 3,422,380 shares of common stock at a price of $21.359 per pre-funded warrant. Each pre-funded warrant has an exercise price of</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5" w:right="299" w:bottom="1440" w:gutter="0" w:footer="0" w:header="0"/>
          <w:type w:val="continuous"/>
        </w:sectPr>
      </w:pPr>
    </w:p>
    <w:bookmarkStart w:id="181" w:name="page182"/>
    <w:bookmarkEnd w:id="181"/>
    <w:p>
      <w:pPr>
        <w:ind w:right="660"/>
        <w:spacing w:after="0" w:line="286" w:lineRule="auto"/>
        <w:rPr>
          <w:sz w:val="20"/>
          <w:szCs w:val="20"/>
          <w:color w:val="auto"/>
        </w:rPr>
      </w:pPr>
      <w:r>
        <w:rPr>
          <w:rFonts w:ascii="Arial" w:cs="Arial" w:eastAsia="Arial" w:hAnsi="Arial"/>
          <w:sz w:val="12"/>
          <w:szCs w:val="12"/>
          <w:color w:val="auto"/>
        </w:rPr>
        <w:t>$0.001 per share, is exercisable immediately and is exercisable until exercised in full. The aggregate gross proceeds from the issuance of common stock and pre-funded warrants totaled approximately $350.0 million, before deducting placement agent fees and offering costs of approximately $15.9 million.</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Distribution Agreements</w:t>
      </w:r>
    </w:p>
    <w:p>
      <w:pPr>
        <w:spacing w:after="0" w:line="78"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In August 2021, the Company entered into an Equity Distribution Agreement with Piper Sandler &amp; Company (“Piper Sandler”) and Cantor Fitzgerald &amp; Co. (“Cantor”), as agents, pursuant to which the Company may offer and sell from time to time, through the agents, up to $300.0 million of the common stock registered under a universal shelf registration statement pursuant to one or more “at-the-market" offerings. During the year ended December 31, 2023, the Company issued 1,449,275 shares of common stock under this agreement resulting in gross proceeds of approximately $37.2 million, less offering costs of approximately $1.1 million.</w:t>
      </w:r>
    </w:p>
    <w:p>
      <w:pPr>
        <w:spacing w:after="0" w:line="117"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In November 2023, the Company amended and restated the Equity Distribution Agreement with Piper Sandler and Cantor, pursuant to which the Company may offer and sell from time to time, through the agents, up to approximately $262.8 million of the common stock registered under a universal shelf registration statement pursuant to one or more “at-the-market” offerings. During the year ended December 31, 2024, no shares were issued under this amended and restated agreement.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Share-based Compensation</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2018 Employee Stock Purchase Plan</w:t>
      </w:r>
    </w:p>
    <w:p>
      <w:pPr>
        <w:spacing w:after="0" w:line="7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In September 2018, the Company adopted the 2018 Employee Stock Purchase Plan (the "2018 ESPP"), with the first offering period under the 2018 ESPP commencing on January 1, 2020, by initially providing participating employees with the opportunity to purchase an aggregate of 311,850 shares of the Company's common stock. The number of shares of the Company's common stock reserved for issuance under the 2018 ESPP increased, pursuant to the terms of the 2018 ESPP, by additional shares equal to 1% of the Company’s then-outstanding common stock, effective as of January 1 of each year. As of December 31, 2024, 2,999,879 shares remained available for purchase. During the years ended December 31, 2024, 2023 and 2022, the Company issued 120,834, 78,528 and 24,898 shares, respectively, of common stock under the 2018 ESPP.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2018 Stock Incentive Plan</w:t>
      </w:r>
    </w:p>
    <w:p>
      <w:pPr>
        <w:spacing w:after="0" w:line="76"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In September 2018, the Company’s board of directors adopted, and the Company’s stockholders approved, the 2018 Stock Incentive Plan (the "2018 Plan"), which became effective upon the effectiveness of the registration statement on Form S-1 for the Company’s initial public offering. The number of common shares initially available for issuance under the 2018 Plan equaled the sum of (1) 4,067,007 shares of common stock; plus (2) the number of shares of common stock (up to 1,277,181 shares) issued in respect of incentive units granted under the Incentive Plan that were subject to vesting immediately prior to the effectiveness of the registration statement that expire, terminate or are otherwise surrendered, cancelled, forfeited or repurchased by the Company at their original issuance price pursuant to a contractual repurchase right; plus (3) an annual increase on the first day of each year beginning with the year ended December 31, 2019 and continuing to, and including, the year ending December 31, 2028, equal to the lesser of 4,989,593 shares of the Company’s common stock, 4% of the number of shares of the Company’s common stock outstanding on the first day of the year or an amount determined by the Company’s board of directors. As of December 31, 2024, 3,521,243 shares are available for issuance under the 2018 Plan. Common shares subject to outstanding equity awards that expire or are terminated, surrendered, or cancelled without having been fully exercised or are forfeited in whole or in part are available for future grants of awards.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Compensation Expense</w:t>
      </w:r>
    </w:p>
    <w:p>
      <w:pPr>
        <w:spacing w:after="0" w:line="76"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For the years ended December 31, 2024, 2023 and 2022, the Company recognized compensation expense of $88.2 million, $71.6 million and $75.5 million, respectively, related to the issuance of incentive awards, including $0.7 million, $0.8 million and $0.7 million, respectively, related to the 2018 ESPP.</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2024, there was $52.8 million of compensation expense that is expected to be recognized over a weighted-average period of approximately 1.2 years.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1" w:right="339" w:bottom="1440" w:gutter="0" w:footer="0" w:header="0"/>
        </w:sectPr>
      </w:pPr>
    </w:p>
    <w:bookmarkStart w:id="182" w:name="page183"/>
    <w:bookmarkEnd w:id="182"/>
    <w:p>
      <w:pPr>
        <w:ind w:left="428"/>
        <w:spacing w:after="0"/>
        <w:rPr>
          <w:sz w:val="20"/>
          <w:szCs w:val="20"/>
          <w:color w:val="auto"/>
        </w:rPr>
      </w:pPr>
      <w:r>
        <w:rPr>
          <w:rFonts w:ascii="Arial" w:cs="Arial" w:eastAsia="Arial" w:hAnsi="Arial"/>
          <w:sz w:val="12"/>
          <w:szCs w:val="12"/>
          <w:b w:val="1"/>
          <w:bCs w:val="1"/>
          <w:i w:val="1"/>
          <w:iCs w:val="1"/>
          <w:color w:val="auto"/>
        </w:rPr>
        <w:t>Stock Options</w:t>
      </w:r>
    </w:p>
    <w:p>
      <w:pPr>
        <w:spacing w:after="0" w:line="76" w:lineRule="exact"/>
        <w:rPr>
          <w:sz w:val="20"/>
          <w:szCs w:val="20"/>
          <w:color w:val="auto"/>
        </w:rPr>
      </w:pPr>
    </w:p>
    <w:p>
      <w:pPr>
        <w:ind w:left="8" w:right="340" w:firstLine="432"/>
        <w:spacing w:after="0" w:line="286" w:lineRule="auto"/>
        <w:rPr>
          <w:sz w:val="20"/>
          <w:szCs w:val="20"/>
          <w:color w:val="auto"/>
        </w:rPr>
      </w:pPr>
      <w:r>
        <w:rPr>
          <w:rFonts w:ascii="Arial" w:cs="Arial" w:eastAsia="Arial" w:hAnsi="Arial"/>
          <w:sz w:val="12"/>
          <w:szCs w:val="12"/>
          <w:color w:val="auto"/>
        </w:rPr>
        <w:t>The fair value of the stock options granted during each of the years ended December 31, 2024, 2023 and 2022 was determined using the Black-Scholes option pricing model at the grant date with the following range of assumptions:</w:t>
      </w:r>
    </w:p>
    <w:p>
      <w:pPr>
        <w:spacing w:after="0" w:line="136" w:lineRule="exact"/>
        <w:rPr>
          <w:sz w:val="20"/>
          <w:szCs w:val="20"/>
          <w:color w:val="auto"/>
        </w:rPr>
      </w:pPr>
    </w:p>
    <w:p>
      <w:pPr>
        <w:ind w:left="7488"/>
        <w:spacing w:after="0"/>
        <w:rPr>
          <w:sz w:val="20"/>
          <w:szCs w:val="20"/>
          <w:color w:val="auto"/>
        </w:rPr>
      </w:pPr>
      <w:r>
        <w:rPr>
          <w:rFonts w:ascii="Arial" w:cs="Arial" w:eastAsia="Arial" w:hAnsi="Arial"/>
          <w:sz w:val="10"/>
          <w:szCs w:val="10"/>
          <w:b w:val="1"/>
          <w:bCs w:val="1"/>
          <w:color w:val="auto"/>
        </w:rPr>
        <w:t>Year ended December 31,</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840" w:type="dxa"/>
            <w:vAlign w:val="bottom"/>
          </w:tcPr>
          <w:p>
            <w:pPr>
              <w:spacing w:after="0"/>
              <w:rPr>
                <w:sz w:val="10"/>
                <w:szCs w:val="1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8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jc w:val="right"/>
              <w:ind w:right="849"/>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70"/>
        </w:trPr>
        <w:tc>
          <w:tcPr>
            <w:tcW w:w="484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8"/>
                <w:szCs w:val="8"/>
                <w:color w:val="auto"/>
              </w:rPr>
              <w:t>Expected volatility</w:t>
            </w:r>
          </w:p>
        </w:tc>
        <w:tc>
          <w:tcPr>
            <w:tcW w:w="112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8"/>
                <w:szCs w:val="8"/>
                <w:color w:val="auto"/>
              </w:rPr>
              <w:t>72.0% - 75.6%</w:t>
            </w:r>
          </w:p>
        </w:tc>
        <w:tc>
          <w:tcPr>
            <w:tcW w:w="420" w:type="dxa"/>
            <w:vAlign w:val="bottom"/>
            <w:tcBorders>
              <w:top w:val="single" w:sz="8" w:color="CCEEFF"/>
            </w:tcBorders>
            <w:vMerge w:val="restart"/>
            <w:shd w:val="clear" w:color="auto" w:fill="CCEEFF"/>
          </w:tcPr>
          <w:p>
            <w:pPr>
              <w:jc w:val="right"/>
              <w:ind w:right="159"/>
              <w:spacing w:after="0"/>
              <w:rPr>
                <w:sz w:val="20"/>
                <w:szCs w:val="20"/>
                <w:color w:val="auto"/>
              </w:rPr>
            </w:pPr>
            <w:r>
              <w:rPr>
                <w:rFonts w:ascii="Arial" w:cs="Arial" w:eastAsia="Arial" w:hAnsi="Arial"/>
                <w:sz w:val="8"/>
                <w:szCs w:val="8"/>
                <w:color w:val="auto"/>
              </w:rPr>
              <w:t>(1)</w:t>
            </w:r>
          </w:p>
        </w:tc>
        <w:tc>
          <w:tcPr>
            <w:tcW w:w="112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8"/>
                <w:szCs w:val="8"/>
                <w:color w:val="auto"/>
              </w:rPr>
              <w:t>71.3% - 75.0%</w:t>
            </w:r>
          </w:p>
        </w:tc>
        <w:tc>
          <w:tcPr>
            <w:tcW w:w="8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8"/>
                <w:szCs w:val="8"/>
                <w:color w:val="auto"/>
              </w:rPr>
              <w:t>73.2% - 76.0%</w:t>
            </w:r>
          </w:p>
        </w:tc>
        <w:tc>
          <w:tcPr>
            <w:tcW w:w="0" w:type="dxa"/>
            <w:vAlign w:val="bottom"/>
          </w:tcPr>
          <w:p>
            <w:pPr>
              <w:spacing w:after="0"/>
              <w:rPr>
                <w:sz w:val="1"/>
                <w:szCs w:val="1"/>
                <w:color w:val="auto"/>
              </w:rPr>
            </w:pPr>
          </w:p>
        </w:tc>
      </w:tr>
      <w:tr>
        <w:trPr>
          <w:trHeight w:val="61"/>
        </w:trPr>
        <w:tc>
          <w:tcPr>
            <w:tcW w:w="484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5960" w:type="dxa"/>
            <w:vAlign w:val="bottom"/>
            <w:gridSpan w:val="2"/>
          </w:tcPr>
          <w:p>
            <w:pPr>
              <w:spacing w:after="0" w:line="90" w:lineRule="exact"/>
              <w:rPr>
                <w:sz w:val="20"/>
                <w:szCs w:val="20"/>
                <w:color w:val="auto"/>
              </w:rPr>
            </w:pPr>
            <w:r>
              <w:rPr>
                <w:rFonts w:ascii="Arial" w:cs="Arial" w:eastAsia="Arial" w:hAnsi="Arial"/>
                <w:sz w:val="10"/>
                <w:szCs w:val="10"/>
                <w:color w:val="auto"/>
              </w:rPr>
              <w:t>Expected term (years)</w:t>
            </w:r>
          </w:p>
        </w:tc>
        <w:tc>
          <w:tcPr>
            <w:tcW w:w="860" w:type="dxa"/>
            <w:vAlign w:val="bottom"/>
          </w:tcPr>
          <w:p>
            <w:pPr>
              <w:jc w:val="right"/>
              <w:spacing w:after="0" w:line="90" w:lineRule="exact"/>
              <w:rPr>
                <w:sz w:val="20"/>
                <w:szCs w:val="20"/>
                <w:color w:val="auto"/>
              </w:rPr>
            </w:pPr>
            <w:r>
              <w:rPr>
                <w:rFonts w:ascii="Arial" w:cs="Arial" w:eastAsia="Arial" w:hAnsi="Arial"/>
                <w:sz w:val="10"/>
                <w:szCs w:val="10"/>
                <w:color w:val="auto"/>
              </w:rPr>
              <w:t>5.4 - 5.5</w:t>
            </w:r>
          </w:p>
        </w:tc>
        <w:tc>
          <w:tcPr>
            <w:tcW w:w="420" w:type="dxa"/>
            <w:vAlign w:val="bottom"/>
            <w:vMerge w:val="restart"/>
          </w:tcPr>
          <w:p>
            <w:pPr>
              <w:jc w:val="right"/>
              <w:ind w:right="159"/>
              <w:spacing w:after="0"/>
              <w:rPr>
                <w:sz w:val="20"/>
                <w:szCs w:val="20"/>
                <w:color w:val="auto"/>
              </w:rPr>
            </w:pPr>
            <w:r>
              <w:rPr>
                <w:rFonts w:ascii="Arial" w:cs="Arial" w:eastAsia="Arial" w:hAnsi="Arial"/>
                <w:sz w:val="8"/>
                <w:szCs w:val="8"/>
                <w:color w:val="auto"/>
              </w:rPr>
              <w:t>(2)</w:t>
            </w:r>
          </w:p>
        </w:tc>
        <w:tc>
          <w:tcPr>
            <w:tcW w:w="1120" w:type="dxa"/>
            <w:vAlign w:val="bottom"/>
          </w:tcPr>
          <w:p>
            <w:pPr>
              <w:spacing w:after="0"/>
              <w:rPr>
                <w:sz w:val="7"/>
                <w:szCs w:val="7"/>
                <w:color w:val="auto"/>
              </w:rPr>
            </w:pPr>
          </w:p>
        </w:tc>
        <w:tc>
          <w:tcPr>
            <w:tcW w:w="860" w:type="dxa"/>
            <w:vAlign w:val="bottom"/>
          </w:tcPr>
          <w:p>
            <w:pPr>
              <w:jc w:val="right"/>
              <w:spacing w:after="0" w:line="90" w:lineRule="exact"/>
              <w:rPr>
                <w:sz w:val="20"/>
                <w:szCs w:val="20"/>
                <w:color w:val="auto"/>
              </w:rPr>
            </w:pPr>
            <w:r>
              <w:rPr>
                <w:rFonts w:ascii="Arial" w:cs="Arial" w:eastAsia="Arial" w:hAnsi="Arial"/>
                <w:sz w:val="10"/>
                <w:szCs w:val="10"/>
                <w:color w:val="auto"/>
              </w:rPr>
              <w:t>5.5 - 7.0</w:t>
            </w:r>
          </w:p>
        </w:tc>
        <w:tc>
          <w:tcPr>
            <w:tcW w:w="80" w:type="dxa"/>
            <w:vAlign w:val="bottom"/>
          </w:tcPr>
          <w:p>
            <w:pPr>
              <w:spacing w:after="0"/>
              <w:rPr>
                <w:sz w:val="7"/>
                <w:szCs w:val="7"/>
                <w:color w:val="auto"/>
              </w:rPr>
            </w:pPr>
          </w:p>
        </w:tc>
        <w:tc>
          <w:tcPr>
            <w:tcW w:w="2000" w:type="dxa"/>
            <w:vAlign w:val="bottom"/>
          </w:tcPr>
          <w:p>
            <w:pPr>
              <w:jc w:val="right"/>
              <w:spacing w:after="0" w:line="90" w:lineRule="exact"/>
              <w:rPr>
                <w:sz w:val="20"/>
                <w:szCs w:val="20"/>
                <w:color w:val="auto"/>
              </w:rPr>
            </w:pPr>
            <w:r>
              <w:rPr>
                <w:rFonts w:ascii="Arial" w:cs="Arial" w:eastAsia="Arial" w:hAnsi="Arial"/>
                <w:sz w:val="10"/>
                <w:szCs w:val="10"/>
                <w:color w:val="auto"/>
              </w:rPr>
              <w:t>5.5 - 7.0</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
        </w:trPr>
        <w:tc>
          <w:tcPr>
            <w:tcW w:w="4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5960" w:type="dxa"/>
            <w:vAlign w:val="bottom"/>
            <w:gridSpan w:val="2"/>
            <w:shd w:val="clear" w:color="auto" w:fill="CCEEFF"/>
          </w:tcPr>
          <w:p>
            <w:pPr>
              <w:spacing w:after="0" w:line="90" w:lineRule="exact"/>
              <w:rPr>
                <w:sz w:val="20"/>
                <w:szCs w:val="20"/>
                <w:color w:val="auto"/>
              </w:rPr>
            </w:pPr>
            <w:r>
              <w:rPr>
                <w:rFonts w:ascii="Arial" w:cs="Arial" w:eastAsia="Arial" w:hAnsi="Arial"/>
                <w:sz w:val="10"/>
                <w:szCs w:val="10"/>
                <w:color w:val="auto"/>
              </w:rPr>
              <w:t>Risk free interest rate</w:t>
            </w:r>
          </w:p>
        </w:tc>
        <w:tc>
          <w:tcPr>
            <w:tcW w:w="86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3.5% - 4.6%</w:t>
            </w:r>
          </w:p>
        </w:tc>
        <w:tc>
          <w:tcPr>
            <w:tcW w:w="420" w:type="dxa"/>
            <w:vAlign w:val="bottom"/>
            <w:vMerge w:val="restart"/>
            <w:shd w:val="clear" w:color="auto" w:fill="CCEEFF"/>
          </w:tcPr>
          <w:p>
            <w:pPr>
              <w:jc w:val="right"/>
              <w:ind w:right="159"/>
              <w:spacing w:after="0"/>
              <w:rPr>
                <w:sz w:val="20"/>
                <w:szCs w:val="20"/>
                <w:color w:val="auto"/>
              </w:rPr>
            </w:pPr>
            <w:r>
              <w:rPr>
                <w:rFonts w:ascii="Arial" w:cs="Arial" w:eastAsia="Arial" w:hAnsi="Arial"/>
                <w:sz w:val="8"/>
                <w:szCs w:val="8"/>
                <w:color w:val="auto"/>
              </w:rPr>
              <w:t>(3)</w:t>
            </w:r>
          </w:p>
        </w:tc>
        <w:tc>
          <w:tcPr>
            <w:tcW w:w="112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3.4% - 4.8%</w:t>
            </w:r>
          </w:p>
        </w:tc>
        <w:tc>
          <w:tcPr>
            <w:tcW w:w="80" w:type="dxa"/>
            <w:vAlign w:val="bottom"/>
            <w:shd w:val="clear" w:color="auto" w:fill="CCEEFF"/>
          </w:tcPr>
          <w:p>
            <w:pPr>
              <w:spacing w:after="0"/>
              <w:rPr>
                <w:sz w:val="7"/>
                <w:szCs w:val="7"/>
                <w:color w:val="auto"/>
              </w:rPr>
            </w:pPr>
          </w:p>
        </w:tc>
        <w:tc>
          <w:tcPr>
            <w:tcW w:w="20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1.5% - 4.2%</w:t>
            </w:r>
          </w:p>
        </w:tc>
        <w:tc>
          <w:tcPr>
            <w:tcW w:w="0" w:type="dxa"/>
            <w:vAlign w:val="bottom"/>
          </w:tcPr>
          <w:p>
            <w:pPr>
              <w:spacing w:after="0"/>
              <w:rPr>
                <w:sz w:val="1"/>
                <w:szCs w:val="1"/>
                <w:color w:val="auto"/>
              </w:rPr>
            </w:pPr>
          </w:p>
        </w:tc>
      </w:tr>
      <w:tr>
        <w:trPr>
          <w:trHeight w:val="61"/>
        </w:trPr>
        <w:tc>
          <w:tcPr>
            <w:tcW w:w="484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960" w:type="dxa"/>
            <w:vAlign w:val="bottom"/>
            <w:gridSpan w:val="2"/>
          </w:tcPr>
          <w:p>
            <w:pPr>
              <w:spacing w:after="0"/>
              <w:rPr>
                <w:sz w:val="20"/>
                <w:szCs w:val="20"/>
                <w:color w:val="auto"/>
              </w:rPr>
            </w:pPr>
            <w:r>
              <w:rPr>
                <w:rFonts w:ascii="Arial" w:cs="Arial" w:eastAsia="Arial" w:hAnsi="Arial"/>
                <w:sz w:val="12"/>
                <w:szCs w:val="12"/>
                <w:color w:val="auto"/>
              </w:rPr>
              <w:t>Expected dividend yield</w:t>
            </w:r>
          </w:p>
        </w:tc>
        <w:tc>
          <w:tcPr>
            <w:tcW w:w="860" w:type="dxa"/>
            <w:vAlign w:val="bottom"/>
          </w:tcPr>
          <w:p>
            <w:pPr>
              <w:jc w:val="right"/>
              <w:spacing w:after="0"/>
              <w:rPr>
                <w:sz w:val="20"/>
                <w:szCs w:val="20"/>
                <w:color w:val="auto"/>
              </w:rPr>
            </w:pPr>
            <w:r>
              <w:rPr>
                <w:rFonts w:ascii="Arial" w:cs="Arial" w:eastAsia="Arial" w:hAnsi="Arial"/>
                <w:sz w:val="12"/>
                <w:szCs w:val="12"/>
                <w:color w:val="auto"/>
              </w:rPr>
              <w:t>0 %</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0 %</w:t>
            </w:r>
          </w:p>
        </w:tc>
        <w:tc>
          <w:tcPr>
            <w:tcW w:w="8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0 %</w:t>
            </w:r>
          </w:p>
        </w:tc>
        <w:tc>
          <w:tcPr>
            <w:tcW w:w="0" w:type="dxa"/>
            <w:vAlign w:val="bottom"/>
          </w:tcPr>
          <w:p>
            <w:pPr>
              <w:spacing w:after="0"/>
              <w:rPr>
                <w:sz w:val="1"/>
                <w:szCs w:val="1"/>
                <w:color w:val="auto"/>
              </w:rPr>
            </w:pPr>
          </w:p>
        </w:tc>
      </w:tr>
      <w:tr>
        <w:trPr>
          <w:trHeight w:val="153"/>
        </w:trPr>
        <w:tc>
          <w:tcPr>
            <w:tcW w:w="5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$24.19 - $47.00</w:t>
            </w: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$16.21 - $36.27</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$36.79 - $78.91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28" w:hanging="228"/>
        <w:spacing w:after="0"/>
        <w:tabs>
          <w:tab w:leader="none" w:pos="228" w:val="left"/>
        </w:tabs>
        <w:numPr>
          <w:ilvl w:val="0"/>
          <w:numId w:val="92"/>
        </w:numPr>
        <w:rPr>
          <w:rFonts w:ascii="Arial" w:cs="Arial" w:eastAsia="Arial" w:hAnsi="Arial"/>
          <w:sz w:val="16"/>
          <w:szCs w:val="16"/>
          <w:color w:val="auto"/>
          <w:vertAlign w:val="superscript"/>
        </w:rPr>
      </w:pPr>
      <w:r>
        <w:rPr>
          <w:rFonts w:ascii="Arial" w:cs="Arial" w:eastAsia="Arial" w:hAnsi="Arial"/>
          <w:sz w:val="12"/>
          <w:szCs w:val="12"/>
          <w:color w:val="auto"/>
        </w:rPr>
        <w:t>Expected volatility is calculated by utilizing the Company's historical volatility of its stock price over a period equal to the expected term.</w:t>
      </w:r>
    </w:p>
    <w:p>
      <w:pPr>
        <w:ind w:left="228" w:hanging="228"/>
        <w:spacing w:after="0" w:line="201" w:lineRule="auto"/>
        <w:tabs>
          <w:tab w:leader="none" w:pos="228" w:val="left"/>
        </w:tabs>
        <w:numPr>
          <w:ilvl w:val="0"/>
          <w:numId w:val="92"/>
        </w:numPr>
        <w:rPr>
          <w:rFonts w:ascii="Arial" w:cs="Arial" w:eastAsia="Arial" w:hAnsi="Arial"/>
          <w:sz w:val="14"/>
          <w:szCs w:val="14"/>
          <w:color w:val="auto"/>
          <w:vertAlign w:val="superscript"/>
        </w:rPr>
      </w:pPr>
      <w:r>
        <w:rPr>
          <w:rFonts w:ascii="Arial" w:cs="Arial" w:eastAsia="Arial" w:hAnsi="Arial"/>
          <w:sz w:val="11"/>
          <w:szCs w:val="11"/>
          <w:color w:val="auto"/>
        </w:rPr>
        <w:t>Expected term is calculated based on the Company's historical experience.</w:t>
      </w:r>
    </w:p>
    <w:p>
      <w:pPr>
        <w:ind w:left="268" w:hanging="268"/>
        <w:spacing w:after="0" w:line="191" w:lineRule="auto"/>
        <w:tabs>
          <w:tab w:leader="none" w:pos="268" w:val="left"/>
        </w:tabs>
        <w:numPr>
          <w:ilvl w:val="0"/>
          <w:numId w:val="92"/>
        </w:numPr>
        <w:rPr>
          <w:rFonts w:ascii="Arial" w:cs="Arial" w:eastAsia="Arial" w:hAnsi="Arial"/>
          <w:sz w:val="16"/>
          <w:szCs w:val="16"/>
          <w:color w:val="auto"/>
          <w:vertAlign w:val="superscript"/>
        </w:rPr>
      </w:pPr>
      <w:r>
        <w:rPr>
          <w:rFonts w:ascii="Arial" w:cs="Arial" w:eastAsia="Arial" w:hAnsi="Arial"/>
          <w:sz w:val="12"/>
          <w:szCs w:val="12"/>
          <w:color w:val="auto"/>
        </w:rPr>
        <w:t>Risk free interest rate is based on an interpolation of U.S. Treasury rates to reflect the expected term at the date of grant.</w:t>
      </w:r>
    </w:p>
    <w:p>
      <w:pPr>
        <w:spacing w:after="0" w:line="121" w:lineRule="exact"/>
        <w:rPr>
          <w:sz w:val="20"/>
          <w:szCs w:val="20"/>
          <w:color w:val="auto"/>
        </w:rPr>
      </w:pPr>
    </w:p>
    <w:p>
      <w:pPr>
        <w:ind w:left="8" w:right="40" w:firstLine="432"/>
        <w:spacing w:after="0" w:line="286" w:lineRule="auto"/>
        <w:rPr>
          <w:sz w:val="20"/>
          <w:szCs w:val="20"/>
          <w:color w:val="auto"/>
        </w:rPr>
      </w:pPr>
      <w:r>
        <w:rPr>
          <w:rFonts w:ascii="Arial" w:cs="Arial" w:eastAsia="Arial" w:hAnsi="Arial"/>
          <w:sz w:val="12"/>
          <w:szCs w:val="12"/>
          <w:color w:val="auto"/>
        </w:rPr>
        <w:t>During the years ended December 31, 2023 and 2022, the Company calculated volatility of its common stock by utilizing a weighted-average of a collection of peer company volatilities and its own common stock volatility as the Company’s common stock had not been trading for a sufficient period of time. The expected term was calculated utilizing the simplified method.</w:t>
      </w:r>
    </w:p>
    <w:p>
      <w:pPr>
        <w:spacing w:after="0" w:line="103" w:lineRule="exact"/>
        <w:rPr>
          <w:sz w:val="20"/>
          <w:szCs w:val="20"/>
          <w:color w:val="auto"/>
        </w:rPr>
      </w:pPr>
    </w:p>
    <w:p>
      <w:pPr>
        <w:ind w:left="8" w:right="140" w:firstLine="432"/>
        <w:spacing w:after="0" w:line="334" w:lineRule="auto"/>
        <w:rPr>
          <w:sz w:val="20"/>
          <w:szCs w:val="20"/>
          <w:color w:val="auto"/>
        </w:rPr>
      </w:pPr>
      <w:r>
        <w:rPr>
          <w:rFonts w:ascii="Arial" w:cs="Arial" w:eastAsia="Arial" w:hAnsi="Arial"/>
          <w:sz w:val="11"/>
          <w:szCs w:val="11"/>
          <w:color w:val="auto"/>
        </w:rPr>
        <w:t>A summary of the stock option activity under the 2018 Plan as of December 31, 2024 is presented below. Included in the table are stock options granted to employees, directors and consultants under the 2018 Plan, as well as options to purchase 255,611 shares of common stock granted to certain employees pursuant to the Nasdaq inducement grant exception in accordance with Nasdaq Listing Rule 5635(c)(4).</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millions,</w:t>
            </w: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Weighted-Average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Weighted-Average Remaining</w:t>
            </w:r>
          </w:p>
        </w:tc>
        <w:tc>
          <w:tcPr>
            <w:tcW w:w="280" w:type="dxa"/>
            <w:vAlign w:val="bottom"/>
          </w:tcPr>
          <w:p>
            <w:pPr>
              <w:spacing w:after="0"/>
              <w:rPr>
                <w:sz w:val="10"/>
                <w:szCs w:val="10"/>
                <w:color w:val="auto"/>
              </w:rPr>
            </w:pPr>
          </w:p>
        </w:tc>
        <w:tc>
          <w:tcPr>
            <w:tcW w:w="1320" w:type="dxa"/>
            <w:vAlign w:val="bottom"/>
            <w:vMerge w:val="restart"/>
          </w:tcPr>
          <w:p>
            <w:pPr>
              <w:jc w:val="right"/>
              <w:ind w:right="504"/>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97"/>
        </w:trPr>
        <w:tc>
          <w:tcPr>
            <w:tcW w:w="4680" w:type="dxa"/>
            <w:vAlign w:val="bottom"/>
            <w:vMerge w:val="continue"/>
          </w:tcPr>
          <w:p>
            <w:pPr>
              <w:spacing w:after="0"/>
              <w:rPr>
                <w:sz w:val="8"/>
                <w:szCs w:val="8"/>
                <w:color w:val="auto"/>
              </w:rPr>
            </w:pPr>
          </w:p>
        </w:tc>
        <w:tc>
          <w:tcPr>
            <w:tcW w:w="1600" w:type="dxa"/>
            <w:vAlign w:val="bottom"/>
            <w:vMerge w:val="restart"/>
          </w:tcPr>
          <w:p>
            <w:pPr>
              <w:jc w:val="right"/>
              <w:ind w:right="561"/>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tcPr>
          <w:p>
            <w:pPr>
              <w:jc w:val="center"/>
              <w:ind w:right="60"/>
              <w:spacing w:after="0" w:line="97" w:lineRule="exact"/>
              <w:rPr>
                <w:sz w:val="20"/>
                <w:szCs w:val="20"/>
                <w:color w:val="auto"/>
              </w:rPr>
            </w:pPr>
            <w:r>
              <w:rPr>
                <w:rFonts w:ascii="Arial" w:cs="Arial" w:eastAsia="Arial" w:hAnsi="Arial"/>
                <w:sz w:val="10"/>
                <w:szCs w:val="10"/>
                <w:b w:val="1"/>
                <w:bCs w:val="1"/>
                <w:color w:val="auto"/>
                <w:w w:val="97"/>
              </w:rPr>
              <w:t>Contractual</w:t>
            </w: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rPr>
                <w:sz w:val="20"/>
                <w:szCs w:val="20"/>
                <w:color w:val="auto"/>
              </w:rPr>
            </w:pPr>
            <w:r>
              <w:rPr>
                <w:rFonts w:ascii="Arial" w:cs="Arial" w:eastAsia="Arial" w:hAnsi="Arial"/>
                <w:sz w:val="10"/>
                <w:szCs w:val="10"/>
                <w:i w:val="1"/>
                <w:iCs w:val="1"/>
                <w:color w:val="auto"/>
              </w:rPr>
              <w:t>except weighted-average exercise price)</w:t>
            </w:r>
          </w:p>
        </w:tc>
        <w:tc>
          <w:tcPr>
            <w:tcW w:w="1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48"/>
              <w:spacing w:after="0"/>
              <w:rPr>
                <w:sz w:val="20"/>
                <w:szCs w:val="20"/>
                <w:color w:val="auto"/>
              </w:rPr>
            </w:pPr>
            <w:r>
              <w:rPr>
                <w:rFonts w:ascii="Arial" w:cs="Arial" w:eastAsia="Arial" w:hAnsi="Arial"/>
                <w:sz w:val="10"/>
                <w:szCs w:val="10"/>
                <w:b w:val="1"/>
                <w:bCs w:val="1"/>
                <w:color w:val="auto"/>
              </w:rPr>
              <w:t>Exercise Price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4"/>
              </w:rPr>
              <w:t>Term (Years)</w:t>
            </w:r>
          </w:p>
        </w:tc>
        <w:tc>
          <w:tcPr>
            <w:tcW w:w="280" w:type="dxa"/>
            <w:vAlign w:val="bottom"/>
          </w:tcPr>
          <w:p>
            <w:pPr>
              <w:spacing w:after="0"/>
              <w:rPr>
                <w:sz w:val="10"/>
                <w:szCs w:val="10"/>
                <w:color w:val="auto"/>
              </w:rPr>
            </w:pPr>
          </w:p>
        </w:tc>
        <w:tc>
          <w:tcPr>
            <w:tcW w:w="1320" w:type="dxa"/>
            <w:vAlign w:val="bottom"/>
          </w:tcPr>
          <w:p>
            <w:pPr>
              <w:jc w:val="right"/>
              <w:ind w:right="424"/>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Outstanding as of December 31, 2023</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7,933,794</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1088"/>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45.22</w:t>
            </w:r>
          </w:p>
        </w:tc>
        <w:tc>
          <w:tcPr>
            <w:tcW w:w="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62.6</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Granted</w:t>
            </w:r>
          </w:p>
        </w:tc>
        <w:tc>
          <w:tcPr>
            <w:tcW w:w="1600" w:type="dxa"/>
            <w:vAlign w:val="bottom"/>
          </w:tcPr>
          <w:p>
            <w:pPr>
              <w:jc w:val="right"/>
              <w:ind w:right="1"/>
              <w:spacing w:after="0"/>
              <w:rPr>
                <w:sz w:val="20"/>
                <w:szCs w:val="20"/>
                <w:color w:val="auto"/>
              </w:rPr>
            </w:pPr>
            <w:r>
              <w:rPr>
                <w:rFonts w:ascii="Arial" w:cs="Arial" w:eastAsia="Arial" w:hAnsi="Arial"/>
                <w:sz w:val="12"/>
                <w:szCs w:val="12"/>
                <w:color w:val="auto"/>
              </w:rPr>
              <w:t>1,179,299</w:t>
            </w:r>
          </w:p>
        </w:tc>
        <w:tc>
          <w:tcPr>
            <w:tcW w:w="1300" w:type="dxa"/>
            <w:vAlign w:val="bottom"/>
            <w:gridSpan w:val="2"/>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41.26</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(271,335)</w:t>
            </w:r>
          </w:p>
        </w:tc>
        <w:tc>
          <w:tcPr>
            <w:tcW w:w="1300" w:type="dxa"/>
            <w:vAlign w:val="bottom"/>
            <w:gridSpan w:val="2"/>
            <w:shd w:val="clear" w:color="auto" w:fill="CCEEFF"/>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21.55</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Forfeited</w:t>
            </w:r>
          </w:p>
        </w:tc>
        <w:tc>
          <w:tcPr>
            <w:tcW w:w="1600" w:type="dxa"/>
            <w:vAlign w:val="bottom"/>
          </w:tcPr>
          <w:p>
            <w:pPr>
              <w:jc w:val="right"/>
              <w:spacing w:after="0"/>
              <w:rPr>
                <w:sz w:val="20"/>
                <w:szCs w:val="20"/>
                <w:color w:val="auto"/>
              </w:rPr>
            </w:pPr>
            <w:r>
              <w:rPr>
                <w:rFonts w:ascii="Arial" w:cs="Arial" w:eastAsia="Arial" w:hAnsi="Arial"/>
                <w:sz w:val="12"/>
                <w:szCs w:val="12"/>
                <w:color w:val="auto"/>
              </w:rPr>
              <w:t>(949,428)</w:t>
            </w:r>
          </w:p>
        </w:tc>
        <w:tc>
          <w:tcPr>
            <w:tcW w:w="1300" w:type="dxa"/>
            <w:vAlign w:val="bottom"/>
            <w:gridSpan w:val="2"/>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56.09</w:t>
            </w: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Expired</w:t>
            </w:r>
          </w:p>
        </w:tc>
        <w:tc>
          <w:tcPr>
            <w:tcW w:w="1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088"/>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2"/>
                <w:szCs w:val="12"/>
                <w:b w:val="1"/>
                <w:bCs w:val="1"/>
                <w:color w:val="auto"/>
              </w:rPr>
              <w:t>Outstanding as of December 31, 2024</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7,892,330</w:t>
            </w:r>
          </w:p>
        </w:tc>
        <w:tc>
          <w:tcPr>
            <w:tcW w:w="1300" w:type="dxa"/>
            <w:vAlign w:val="bottom"/>
            <w:tcBorders>
              <w:bottom w:val="single" w:sz="8" w:color="CCEEFF"/>
            </w:tcBorders>
            <w:gridSpan w:val="2"/>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9"/>
              </w:rPr>
              <w:t>44.16</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CCEEFF"/>
            </w:tcBorders>
          </w:tcPr>
          <w:p>
            <w:pPr>
              <w:jc w:val="right"/>
              <w:ind w:right="4"/>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9"/>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Vested and exercisable as of December 31, 2024</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5,440,634</w:t>
            </w:r>
          </w:p>
        </w:tc>
        <w:tc>
          <w:tcPr>
            <w:tcW w:w="130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44.80</w:t>
            </w: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3"/>
        </w:trPr>
        <w:tc>
          <w:tcPr>
            <w:tcW w:w="4680" w:type="dxa"/>
            <w:vAlign w:val="bottom"/>
          </w:tcPr>
          <w:p>
            <w:pPr>
              <w:ind w:left="140"/>
              <w:spacing w:after="0"/>
              <w:rPr>
                <w:sz w:val="20"/>
                <w:szCs w:val="20"/>
                <w:color w:val="auto"/>
              </w:rPr>
            </w:pPr>
            <w:r>
              <w:rPr>
                <w:rFonts w:ascii="Arial" w:cs="Arial" w:eastAsia="Arial" w:hAnsi="Arial"/>
                <w:sz w:val="12"/>
                <w:szCs w:val="12"/>
                <w:b w:val="1"/>
                <w:bCs w:val="1"/>
                <w:color w:val="auto"/>
              </w:rPr>
              <w:t>Vested and expected to vest as of December 31, 2024</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7,713,160</w:t>
            </w:r>
          </w:p>
        </w:tc>
        <w:tc>
          <w:tcPr>
            <w:tcW w:w="1300" w:type="dxa"/>
            <w:vAlign w:val="bottom"/>
            <w:gridSpan w:val="2"/>
          </w:tcPr>
          <w:p>
            <w:pPr>
              <w:jc w:val="right"/>
              <w:ind w:right="1088"/>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44.29</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 w:right="120" w:firstLine="432"/>
        <w:spacing w:after="0" w:line="286" w:lineRule="auto"/>
        <w:rPr>
          <w:sz w:val="20"/>
          <w:szCs w:val="20"/>
          <w:color w:val="auto"/>
        </w:rPr>
      </w:pPr>
      <w:r>
        <w:rPr>
          <w:rFonts w:ascii="Arial" w:cs="Arial" w:eastAsia="Arial" w:hAnsi="Arial"/>
          <w:sz w:val="12"/>
          <w:szCs w:val="12"/>
          <w:color w:val="auto"/>
        </w:rPr>
        <w:t>The weighted-average grant date fair value of options granted during the years ended December 31, 2024, 2023 and 2022 was $27.35, $21.99 and $39.17, respectively. The total intrinsic value of options exercised during the years ended December 31, 2024, 2023 and 2022 was $3.6 million, $1.4 million and $7.9 million, respectively.</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76" w:lineRule="exact"/>
        <w:rPr>
          <w:sz w:val="20"/>
          <w:szCs w:val="20"/>
          <w:color w:val="auto"/>
        </w:rPr>
      </w:pPr>
    </w:p>
    <w:p>
      <w:pPr>
        <w:ind w:left="8" w:right="40" w:firstLine="432"/>
        <w:spacing w:after="0" w:line="286" w:lineRule="auto"/>
        <w:rPr>
          <w:sz w:val="20"/>
          <w:szCs w:val="20"/>
          <w:color w:val="auto"/>
        </w:rPr>
      </w:pPr>
      <w:r>
        <w:rPr>
          <w:rFonts w:ascii="Arial" w:cs="Arial" w:eastAsia="Arial" w:hAnsi="Arial"/>
          <w:sz w:val="12"/>
          <w:szCs w:val="12"/>
          <w:color w:val="auto"/>
        </w:rPr>
        <w:t>A summary of restricted stock unit ("RSU") activity under the 2018 Plan for the year ended December 31, 2024 is presented below. Included in the table are RSUs granted to employees and directors under the 2018 Plan, as well as RSUs representing 170,365 shares of common stock granted to certain</w:t>
      </w: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183" w:name="page184"/>
    <w:bookmarkEnd w:id="183"/>
    <w:p>
      <w:pPr>
        <w:spacing w:after="0"/>
        <w:rPr>
          <w:sz w:val="20"/>
          <w:szCs w:val="20"/>
          <w:color w:val="auto"/>
        </w:rPr>
      </w:pPr>
      <w:r>
        <w:rPr>
          <w:rFonts w:ascii="Arial" w:cs="Arial" w:eastAsia="Arial" w:hAnsi="Arial"/>
          <w:sz w:val="12"/>
          <w:szCs w:val="12"/>
          <w:color w:val="auto"/>
        </w:rPr>
        <w:t>employees pursuant to the Nasdaq inducement grant exception in accordance with Nasdaq Listing Rule 5635(c)(4).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105"/>
              <w:spacing w:after="0"/>
              <w:rPr>
                <w:sz w:val="20"/>
                <w:szCs w:val="20"/>
                <w:color w:val="auto"/>
              </w:rPr>
            </w:pPr>
            <w:r>
              <w:rPr>
                <w:rFonts w:ascii="Arial" w:cs="Arial" w:eastAsia="Arial" w:hAnsi="Arial"/>
                <w:sz w:val="10"/>
                <w:szCs w:val="10"/>
                <w:b w:val="1"/>
                <w:bCs w:val="1"/>
                <w:color w:val="auto"/>
                <w:w w:val="95"/>
              </w:rPr>
              <w:t>Weighted-Average Grant</w:t>
            </w:r>
          </w:p>
        </w:tc>
        <w:tc>
          <w:tcPr>
            <w:tcW w:w="0" w:type="dxa"/>
            <w:vAlign w:val="bottom"/>
          </w:tcPr>
          <w:p>
            <w:pPr>
              <w:spacing w:after="0"/>
              <w:rPr>
                <w:sz w:val="1"/>
                <w:szCs w:val="1"/>
                <w:color w:val="auto"/>
              </w:rPr>
            </w:pPr>
          </w:p>
        </w:tc>
      </w:tr>
      <w:tr>
        <w:trPr>
          <w:trHeight w:val="97"/>
        </w:trPr>
        <w:tc>
          <w:tcPr>
            <w:tcW w:w="8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jc w:val="center"/>
              <w:ind w:right="105"/>
              <w:spacing w:after="0" w:line="97" w:lineRule="exact"/>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92"/>
        </w:trPr>
        <w:tc>
          <w:tcPr>
            <w:tcW w:w="8020" w:type="dxa"/>
            <w:vAlign w:val="bottom"/>
          </w:tcPr>
          <w:p>
            <w:pPr>
              <w:spacing w:after="0"/>
              <w:rPr>
                <w:sz w:val="8"/>
                <w:szCs w:val="8"/>
                <w:color w:val="auto"/>
              </w:rPr>
            </w:pPr>
          </w:p>
        </w:tc>
        <w:tc>
          <w:tcPr>
            <w:tcW w:w="1000" w:type="dxa"/>
            <w:vAlign w:val="bottom"/>
            <w:vMerge w:val="restart"/>
          </w:tcPr>
          <w:p>
            <w:pPr>
              <w:ind w:left="640"/>
              <w:spacing w:after="0"/>
              <w:rPr>
                <w:sz w:val="20"/>
                <w:szCs w:val="20"/>
                <w:color w:val="auto"/>
              </w:rPr>
            </w:pPr>
            <w:r>
              <w:rPr>
                <w:rFonts w:ascii="Arial" w:cs="Arial" w:eastAsia="Arial" w:hAnsi="Arial"/>
                <w:sz w:val="10"/>
                <w:szCs w:val="10"/>
                <w:b w:val="1"/>
                <w:bCs w:val="1"/>
                <w:color w:val="auto"/>
              </w:rPr>
              <w:t>Shares</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jc w:val="center"/>
              <w:ind w:right="105"/>
              <w:spacing w:after="0" w:line="92" w:lineRule="exact"/>
              <w:rPr>
                <w:sz w:val="20"/>
                <w:szCs w:val="20"/>
                <w:color w:val="auto"/>
              </w:rPr>
            </w:pPr>
            <w:r>
              <w:rPr>
                <w:rFonts w:ascii="Arial" w:cs="Arial" w:eastAsia="Arial" w:hAnsi="Arial"/>
                <w:sz w:val="10"/>
                <w:szCs w:val="10"/>
                <w:b w:val="1"/>
                <w:bCs w:val="1"/>
                <w:color w:val="auto"/>
                <w:w w:val="95"/>
              </w:rPr>
              <w:t>Fair Value Per</w:t>
            </w:r>
          </w:p>
        </w:tc>
        <w:tc>
          <w:tcPr>
            <w:tcW w:w="0" w:type="dxa"/>
            <w:vAlign w:val="bottom"/>
          </w:tcPr>
          <w:p>
            <w:pPr>
              <w:spacing w:after="0"/>
              <w:rPr>
                <w:sz w:val="1"/>
                <w:szCs w:val="1"/>
                <w:color w:val="auto"/>
              </w:rPr>
            </w:pPr>
          </w:p>
        </w:tc>
      </w:tr>
      <w:tr>
        <w:trPr>
          <w:trHeight w:val="132"/>
        </w:trPr>
        <w:tc>
          <w:tcPr>
            <w:tcW w:w="80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rPr>
              <w:t>Share</w:t>
            </w:r>
          </w:p>
        </w:tc>
        <w:tc>
          <w:tcPr>
            <w:tcW w:w="0" w:type="dxa"/>
            <w:vAlign w:val="bottom"/>
          </w:tcPr>
          <w:p>
            <w:pPr>
              <w:spacing w:after="0"/>
              <w:rPr>
                <w:sz w:val="1"/>
                <w:szCs w:val="1"/>
                <w:color w:val="auto"/>
              </w:rPr>
            </w:pPr>
          </w:p>
        </w:tc>
      </w:tr>
      <w:tr>
        <w:trPr>
          <w:trHeight w:val="143"/>
        </w:trPr>
        <w:tc>
          <w:tcPr>
            <w:tcW w:w="8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Unvested RSUs as of December 31, 2023</w:t>
            </w:r>
          </w:p>
        </w:tc>
        <w:tc>
          <w:tcPr>
            <w:tcW w:w="10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1,151,856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38.16</w:t>
            </w:r>
          </w:p>
        </w:tc>
        <w:tc>
          <w:tcPr>
            <w:tcW w:w="0" w:type="dxa"/>
            <w:vAlign w:val="bottom"/>
          </w:tcPr>
          <w:p>
            <w:pPr>
              <w:spacing w:after="0"/>
              <w:rPr>
                <w:sz w:val="1"/>
                <w:szCs w:val="1"/>
                <w:color w:val="auto"/>
              </w:rPr>
            </w:pPr>
          </w:p>
        </w:tc>
      </w:tr>
      <w:tr>
        <w:trPr>
          <w:trHeight w:val="153"/>
        </w:trPr>
        <w:tc>
          <w:tcPr>
            <w:tcW w:w="902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600" w:type="dxa"/>
            <w:vAlign w:val="bottom"/>
          </w:tcPr>
          <w:p>
            <w:pPr>
              <w:jc w:val="right"/>
              <w:spacing w:after="0"/>
              <w:rPr>
                <w:sz w:val="20"/>
                <w:szCs w:val="20"/>
                <w:color w:val="auto"/>
              </w:rPr>
            </w:pPr>
            <w:r>
              <w:rPr>
                <w:rFonts w:ascii="Arial" w:cs="Arial" w:eastAsia="Arial" w:hAnsi="Arial"/>
                <w:sz w:val="12"/>
                <w:szCs w:val="12"/>
                <w:color w:val="auto"/>
              </w:rPr>
              <w:t>1,744,971</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5"/>
              <w:spacing w:after="0"/>
              <w:rPr>
                <w:sz w:val="20"/>
                <w:szCs w:val="20"/>
                <w:color w:val="auto"/>
              </w:rPr>
            </w:pPr>
            <w:r>
              <w:rPr>
                <w:rFonts w:ascii="Arial" w:cs="Arial" w:eastAsia="Arial" w:hAnsi="Arial"/>
                <w:sz w:val="12"/>
                <w:szCs w:val="12"/>
                <w:color w:val="auto"/>
              </w:rPr>
              <w:t>44.43</w:t>
            </w:r>
          </w:p>
        </w:tc>
        <w:tc>
          <w:tcPr>
            <w:tcW w:w="0" w:type="dxa"/>
            <w:vAlign w:val="bottom"/>
          </w:tcPr>
          <w:p>
            <w:pPr>
              <w:spacing w:after="0"/>
              <w:rPr>
                <w:sz w:val="1"/>
                <w:szCs w:val="1"/>
                <w:color w:val="auto"/>
              </w:rPr>
            </w:pPr>
          </w:p>
        </w:tc>
      </w:tr>
      <w:tr>
        <w:trPr>
          <w:trHeight w:val="153"/>
        </w:trPr>
        <w:tc>
          <w:tcPr>
            <w:tcW w:w="9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Released</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(335,706)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38.90</w:t>
            </w:r>
          </w:p>
        </w:tc>
        <w:tc>
          <w:tcPr>
            <w:tcW w:w="0" w:type="dxa"/>
            <w:vAlign w:val="bottom"/>
          </w:tcPr>
          <w:p>
            <w:pPr>
              <w:spacing w:after="0"/>
              <w:rPr>
                <w:sz w:val="1"/>
                <w:szCs w:val="1"/>
                <w:color w:val="auto"/>
              </w:rPr>
            </w:pPr>
          </w:p>
        </w:tc>
      </w:tr>
      <w:tr>
        <w:trPr>
          <w:trHeight w:val="153"/>
        </w:trPr>
        <w:tc>
          <w:tcPr>
            <w:tcW w:w="8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(249,830)</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CCEEFF"/>
            </w:tcBorders>
          </w:tcPr>
          <w:p>
            <w:pPr>
              <w:jc w:val="right"/>
              <w:ind w:right="5"/>
              <w:spacing w:after="0"/>
              <w:rPr>
                <w:sz w:val="20"/>
                <w:szCs w:val="20"/>
                <w:color w:val="auto"/>
              </w:rPr>
            </w:pPr>
            <w:r>
              <w:rPr>
                <w:rFonts w:ascii="Arial" w:cs="Arial" w:eastAsia="Arial" w:hAnsi="Arial"/>
                <w:sz w:val="12"/>
                <w:szCs w:val="12"/>
                <w:color w:val="auto"/>
              </w:rPr>
              <w:t>43.07</w:t>
            </w:r>
          </w:p>
        </w:tc>
        <w:tc>
          <w:tcPr>
            <w:tcW w:w="0" w:type="dxa"/>
            <w:vAlign w:val="bottom"/>
          </w:tcPr>
          <w:p>
            <w:pPr>
              <w:spacing w:after="0"/>
              <w:rPr>
                <w:sz w:val="1"/>
                <w:szCs w:val="1"/>
                <w:color w:val="auto"/>
              </w:rPr>
            </w:pPr>
          </w:p>
        </w:tc>
      </w:tr>
      <w:tr>
        <w:trPr>
          <w:trHeight w:val="15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Unvested RSUs as of December 31, 2024</w:t>
            </w:r>
          </w:p>
        </w:tc>
        <w:tc>
          <w:tcPr>
            <w:tcW w:w="10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2,311,291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42.25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The weighted-average grant date fair value of RSUs granted during the years ended December 31, 2024, 2023 and 2022 was $44.43, $32.27 and $54.59, respectively. The total intrinsic value of RSUs released during the years ended December 31, 2024, 2023 and 2022 was $13.2 million, $4.3 million and $2.7 million, respectively. The total fair value of RSUs vested during the years ended December 31, 2024, 2023 and 2022 was $13.1 million, $6.9 million and $0.9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10. Equity Method Investments</w:t>
      </w:r>
    </w:p>
    <w:p>
      <w:pPr>
        <w:spacing w:after="0" w:line="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In July 2019, the Company and Bayer CropScience LP ("Bayer LP") formed Oerth Bio, a joint venture to research, develop and commercialize PROTAC targeted protein degraders for applications in the field of agriculture. Pursuant to the terms of the joint venture agreement, the Company made an in-kind intellectual property contribution to Oerth Bio in the form of a license to certain of the Company’s proprietary technology and Bayer LP committed and subsequently made cash contributions to Oerth Bio totaling $56.0 million, as well as an in-kind intellectual property contribution. The Company and Bayer LP each held an initial ownership interest in Oerth Bio representing 50% of the ownership interests. A 15% ownership interest of Oerth Bio was reserved for the future grants of incentive units to employees and service providers and, as a result, the Company's ownership interest totaled 43.6%, 45.0% and 46.5% as of December 31, 2024, 2023 and 2022, respectively, as a result of vested incentive units.</w:t>
      </w:r>
    </w:p>
    <w:p>
      <w:pPr>
        <w:spacing w:after="0" w:line="11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2"/>
          <w:szCs w:val="12"/>
          <w:color w:val="auto"/>
        </w:rPr>
        <w:t>Under the joint venture agreement, the Company has no obligation to provide additional funding and the Company’s ownership interest will not be diluted from future contributions from Bayer LP. The activities of Oerth Bio are controlled by a management board under the joint control of the Company and Bayer LP. As Oerth Bio is jointly controlled by the Company and Bayer LP, the Company accounts for its interest using the equity method of accounting. The Company determined that Oerth Bio is a variable interest entity and, accordingly, the Company has evaluated the significant activities of Oerth Bio under the variable interest entity model and concluded that the significant activities consist primarily of research and development activities and, as the Company does not have the sole power to direct such activities, the Company is not the primary beneficiary.</w:t>
      </w:r>
    </w:p>
    <w:p>
      <w:pPr>
        <w:spacing w:after="0" w:line="119" w:lineRule="exact"/>
        <w:rPr>
          <w:sz w:val="20"/>
          <w:szCs w:val="20"/>
          <w:color w:val="auto"/>
        </w:rPr>
      </w:pPr>
    </w:p>
    <w:p>
      <w:pPr>
        <w:ind w:right="120" w:firstLine="432"/>
        <w:spacing w:after="0" w:line="268" w:lineRule="auto"/>
        <w:rPr>
          <w:sz w:val="20"/>
          <w:szCs w:val="20"/>
          <w:color w:val="auto"/>
        </w:rPr>
      </w:pPr>
      <w:r>
        <w:rPr>
          <w:rFonts w:ascii="Arial" w:cs="Arial" w:eastAsia="Arial" w:hAnsi="Arial"/>
          <w:sz w:val="12"/>
          <w:szCs w:val="12"/>
          <w:color w:val="auto"/>
        </w:rPr>
        <w:t>Operating expenses and net loss of Oerth Bio for the years ended December 31, 2024, 2023 and 2022 totaled $3.7 million, $8.3 million and $22.9 million, respectively. The Company recognized no equity method losses for the year ended December 31, 2024. The Company recognized equity method losses of $2.5 million and $10.6 million for the years ended December 31, 2023 and 2022, respectively. As of December 31, 2024, and 2023, the Company’s carrying value of the investment was zero.</w:t>
      </w:r>
    </w:p>
    <w:p>
      <w:pPr>
        <w:spacing w:after="0" w:line="114"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The Company also provides Oerth Bio with compensated research and development and administrative services through a separate agreement. The services rendered by the Company during the years ended December 31, 2024, 2023 and 2022 were immaterial.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84" w:name="page185"/>
    <w:bookmarkEnd w:id="184"/>
    <w:p>
      <w:pPr>
        <w:spacing w:after="0"/>
        <w:rPr>
          <w:sz w:val="20"/>
          <w:szCs w:val="20"/>
          <w:color w:val="auto"/>
        </w:rPr>
      </w:pPr>
      <w:r>
        <w:rPr>
          <w:rFonts w:ascii="Arial" w:cs="Arial" w:eastAsia="Arial" w:hAnsi="Arial"/>
          <w:sz w:val="12"/>
          <w:szCs w:val="12"/>
          <w:b w:val="1"/>
          <w:bCs w:val="1"/>
          <w:i w:val="1"/>
          <w:iCs w:val="1"/>
          <w:color w:val="auto"/>
        </w:rPr>
        <w:t>11. Income Taxes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years ended December 31, 2024, 2023 and 2022, income tax expense totaled $0.6 million, $0.9 million and $20.9 million, respectively, and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00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133"/>
        </w:trPr>
        <w:tc>
          <w:tcPr>
            <w:tcW w:w="600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2022</w:t>
            </w:r>
          </w:p>
        </w:tc>
      </w:tr>
      <w:tr>
        <w:trPr>
          <w:trHeight w:val="134"/>
        </w:trPr>
        <w:tc>
          <w:tcPr>
            <w:tcW w:w="60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Current:</w:t>
            </w:r>
          </w:p>
        </w:tc>
        <w:tc>
          <w:tcPr>
            <w:tcW w:w="1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3"/>
        </w:trPr>
        <w:tc>
          <w:tcPr>
            <w:tcW w:w="6000" w:type="dxa"/>
            <w:vAlign w:val="bottom"/>
          </w:tcPr>
          <w:p>
            <w:pPr>
              <w:ind w:left="80"/>
              <w:spacing w:after="0"/>
              <w:rPr>
                <w:sz w:val="20"/>
                <w:szCs w:val="20"/>
                <w:color w:val="auto"/>
              </w:rPr>
            </w:pPr>
            <w:r>
              <w:rPr>
                <w:rFonts w:ascii="Arial" w:cs="Arial" w:eastAsia="Arial" w:hAnsi="Arial"/>
                <w:sz w:val="12"/>
                <w:szCs w:val="12"/>
                <w:color w:val="auto"/>
              </w:rPr>
              <w:t>U.S.:</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3"/>
        </w:trPr>
        <w:tc>
          <w:tcPr>
            <w:tcW w:w="6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Federal</w:t>
            </w:r>
          </w:p>
        </w:tc>
        <w:tc>
          <w:tcPr>
            <w:tcW w:w="1240" w:type="dxa"/>
            <w:vAlign w:val="bottom"/>
            <w:shd w:val="clear" w:color="auto" w:fill="CCEEFF"/>
          </w:tcPr>
          <w:p>
            <w:pPr>
              <w:jc w:val="right"/>
              <w:ind w:right="1104"/>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8.2</w:t>
            </w:r>
          </w:p>
        </w:tc>
      </w:tr>
      <w:tr>
        <w:trPr>
          <w:trHeight w:val="153"/>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State and local</w:t>
            </w:r>
          </w:p>
        </w:tc>
        <w:tc>
          <w:tcPr>
            <w:tcW w:w="1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12.7</w:t>
            </w:r>
          </w:p>
        </w:tc>
      </w:tr>
      <w:tr>
        <w:trPr>
          <w:trHeight w:val="142"/>
        </w:trPr>
        <w:tc>
          <w:tcPr>
            <w:tcW w:w="6000" w:type="dxa"/>
            <w:vAlign w:val="bottom"/>
            <w:shd w:val="clear" w:color="auto" w:fill="CCEEFF"/>
          </w:tcPr>
          <w:p>
            <w:pPr>
              <w:ind w:left="220"/>
              <w:spacing w:after="0"/>
              <w:rPr>
                <w:sz w:val="20"/>
                <w:szCs w:val="20"/>
                <w:color w:val="auto"/>
              </w:rPr>
            </w:pPr>
            <w:r>
              <w:rPr>
                <w:rFonts w:ascii="Arial" w:cs="Arial" w:eastAsia="Arial" w:hAnsi="Arial"/>
                <w:sz w:val="12"/>
                <w:szCs w:val="12"/>
                <w:b w:val="1"/>
                <w:bCs w:val="1"/>
                <w:color w:val="auto"/>
              </w:rPr>
              <w:t>Total current</w:t>
            </w:r>
          </w:p>
        </w:tc>
        <w:tc>
          <w:tcPr>
            <w:tcW w:w="1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20.9</w:t>
            </w:r>
          </w:p>
        </w:tc>
      </w:tr>
      <w:tr>
        <w:trPr>
          <w:trHeight w:val="133"/>
        </w:trPr>
        <w:tc>
          <w:tcPr>
            <w:tcW w:w="6000" w:type="dxa"/>
            <w:vAlign w:val="bottom"/>
          </w:tcPr>
          <w:p>
            <w:pPr>
              <w:spacing w:after="0" w:line="133" w:lineRule="exact"/>
              <w:rPr>
                <w:sz w:val="20"/>
                <w:szCs w:val="20"/>
                <w:color w:val="auto"/>
              </w:rPr>
            </w:pPr>
            <w:r>
              <w:rPr>
                <w:rFonts w:ascii="Arial" w:cs="Arial" w:eastAsia="Arial" w:hAnsi="Arial"/>
                <w:sz w:val="12"/>
                <w:szCs w:val="12"/>
                <w:b w:val="1"/>
                <w:bCs w:val="1"/>
                <w:color w:val="auto"/>
              </w:rPr>
              <w:t>Deferred:</w:t>
            </w: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3"/>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w:t>
            </w:r>
          </w:p>
        </w:tc>
        <w:tc>
          <w:tcPr>
            <w:tcW w:w="1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3"/>
        </w:trPr>
        <w:tc>
          <w:tcPr>
            <w:tcW w:w="6000" w:type="dxa"/>
            <w:vAlign w:val="bottom"/>
          </w:tcPr>
          <w:p>
            <w:pPr>
              <w:ind w:left="140"/>
              <w:spacing w:after="0"/>
              <w:rPr>
                <w:sz w:val="20"/>
                <w:szCs w:val="20"/>
                <w:color w:val="auto"/>
              </w:rPr>
            </w:pPr>
            <w:r>
              <w:rPr>
                <w:rFonts w:ascii="Arial" w:cs="Arial" w:eastAsia="Arial" w:hAnsi="Arial"/>
                <w:sz w:val="12"/>
                <w:szCs w:val="12"/>
                <w:color w:val="auto"/>
              </w:rPr>
              <w:t>Federal</w:t>
            </w:r>
          </w:p>
        </w:tc>
        <w:tc>
          <w:tcPr>
            <w:tcW w:w="1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State and local</w:t>
            </w:r>
          </w:p>
        </w:tc>
        <w:tc>
          <w:tcPr>
            <w:tcW w:w="12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2"/>
                <w:szCs w:val="12"/>
                <w:b w:val="1"/>
                <w:bCs w:val="1"/>
                <w:color w:val="auto"/>
              </w:rPr>
              <w:t>Total deferred</w:t>
            </w:r>
          </w:p>
        </w:tc>
        <w:tc>
          <w:tcPr>
            <w:tcW w:w="1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r>
      <w:tr>
        <w:trPr>
          <w:trHeight w:val="158"/>
        </w:trPr>
        <w:tc>
          <w:tcPr>
            <w:tcW w:w="6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b w:val="1"/>
                <w:bCs w:val="1"/>
                <w:color w:val="auto"/>
              </w:rPr>
              <w:t>Income tax expense</w:t>
            </w:r>
          </w:p>
        </w:tc>
        <w:tc>
          <w:tcPr>
            <w:tcW w:w="124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20.9</w:t>
            </w:r>
          </w:p>
        </w:tc>
      </w:tr>
    </w:tbl>
    <w:p>
      <w:pPr>
        <w:spacing w:after="0" w:line="194" w:lineRule="exact"/>
        <w:rPr>
          <w:sz w:val="20"/>
          <w:szCs w:val="20"/>
          <w:color w:val="auto"/>
        </w:rPr>
      </w:pPr>
    </w:p>
    <w:p>
      <w:pPr>
        <w:ind w:right="500" w:firstLine="432"/>
        <w:spacing w:after="0" w:line="286" w:lineRule="auto"/>
        <w:rPr>
          <w:sz w:val="20"/>
          <w:szCs w:val="20"/>
          <w:color w:val="auto"/>
        </w:rPr>
      </w:pPr>
      <w:r>
        <w:rPr>
          <w:rFonts w:ascii="Arial" w:cs="Arial" w:eastAsia="Arial" w:hAnsi="Arial"/>
          <w:sz w:val="12"/>
          <w:szCs w:val="12"/>
          <w:color w:val="auto"/>
        </w:rPr>
        <w:t>The Company generated a taxable income for the year ended December 31, 2024 primarily due to the Novartis License Agreement, the Novartis Asset Agreement and the required capitalization of research and development expenses. The taxable income for federal purposes has been offset by net operating losses.</w:t>
      </w:r>
    </w:p>
    <w:p>
      <w:pPr>
        <w:spacing w:after="0" w:line="103" w:lineRule="exact"/>
        <w:rPr>
          <w:sz w:val="20"/>
          <w:szCs w:val="20"/>
          <w:color w:val="auto"/>
        </w:rPr>
      </w:pPr>
    </w:p>
    <w:p>
      <w:pPr>
        <w:ind w:right="400" w:firstLine="432"/>
        <w:spacing w:after="0" w:line="286" w:lineRule="auto"/>
        <w:rPr>
          <w:sz w:val="20"/>
          <w:szCs w:val="20"/>
          <w:color w:val="auto"/>
        </w:rPr>
      </w:pPr>
      <w:r>
        <w:rPr>
          <w:rFonts w:ascii="Arial" w:cs="Arial" w:eastAsia="Arial" w:hAnsi="Arial"/>
          <w:sz w:val="12"/>
          <w:szCs w:val="12"/>
          <w:color w:val="auto"/>
        </w:rPr>
        <w:t>The Company generated a taxable loss for the year ended December 31, 2023 primarily due to operating losses. The Company has not recorded any income tax benefits for the net operating losses incurred in the period due to its uncertainty of realizing a benefit from those items.</w:t>
      </w:r>
    </w:p>
    <w:p>
      <w:pPr>
        <w:spacing w:after="0" w:line="103"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For the year ended December 31, 2022, the Company generated taxable income and paid income taxes primarily due to revenue recognition for tax purposes from the Vepdegestrant (ARV-471) Collaboration Agreement and the mandatory capitalization of qualified research and development expenses incurred on or after January 1, 2022, which, upon recognition for tax purposes, would create additional deferred tax assets. Under the Tax Cuts and Jobs Act of 2017, qualified research expenses incurred after 2021 are no longer immediately deductible for tax purposes and instead must be capitalized and amortized over at least five years for tax purposes.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of the Company’s losses before income taxes were generated in the United States.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reconciliation of the U.S. federal statutory income tax rate to the Company’s effective income tax rate for the years ended December 31, 2024, 2023 and 2022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5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Year ended December 31,</w:t>
            </w:r>
          </w:p>
        </w:tc>
        <w:tc>
          <w:tcPr>
            <w:tcW w:w="1660" w:type="dxa"/>
            <w:vAlign w:val="bottom"/>
            <w:tcBorders>
              <w:bottom w:val="single" w:sz="8" w:color="auto"/>
            </w:tcBorders>
          </w:tcPr>
          <w:p>
            <w:pPr>
              <w:spacing w:after="0"/>
              <w:rPr>
                <w:sz w:val="11"/>
                <w:szCs w:val="11"/>
                <w:color w:val="auto"/>
              </w:rPr>
            </w:pPr>
          </w:p>
        </w:tc>
      </w:tr>
      <w:tr>
        <w:trPr>
          <w:trHeight w:val="124"/>
        </w:trPr>
        <w:tc>
          <w:tcPr>
            <w:tcW w:w="3560" w:type="dxa"/>
            <w:vAlign w:val="bottom"/>
          </w:tcPr>
          <w:p>
            <w:pPr>
              <w:spacing w:after="0"/>
              <w:rPr>
                <w:sz w:val="10"/>
                <w:szCs w:val="10"/>
                <w:color w:val="auto"/>
              </w:rPr>
            </w:pPr>
          </w:p>
        </w:tc>
        <w:tc>
          <w:tcPr>
            <w:tcW w:w="4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0"/>
                <w:szCs w:val="10"/>
                <w:color w:val="auto"/>
              </w:rPr>
            </w:pPr>
          </w:p>
        </w:tc>
        <w:tc>
          <w:tcPr>
            <w:tcW w:w="1660" w:type="dxa"/>
            <w:vAlign w:val="bottom"/>
          </w:tcPr>
          <w:p>
            <w:pPr>
              <w:jc w:val="right"/>
              <w:ind w:right="662"/>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1660" w:type="dxa"/>
            <w:vAlign w:val="bottom"/>
          </w:tcPr>
          <w:p>
            <w:pPr>
              <w:jc w:val="right"/>
              <w:ind w:right="661"/>
              <w:spacing w:after="0"/>
              <w:rPr>
                <w:sz w:val="20"/>
                <w:szCs w:val="20"/>
                <w:color w:val="auto"/>
              </w:rPr>
            </w:pPr>
            <w:r>
              <w:rPr>
                <w:rFonts w:ascii="Arial" w:cs="Arial" w:eastAsia="Arial" w:hAnsi="Arial"/>
                <w:sz w:val="10"/>
                <w:szCs w:val="10"/>
                <w:b w:val="1"/>
                <w:bCs w:val="1"/>
                <w:color w:val="auto"/>
              </w:rPr>
              <w:t>2022</w:t>
            </w:r>
          </w:p>
        </w:tc>
      </w:tr>
      <w:tr>
        <w:trPr>
          <w:trHeight w:val="143"/>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Federal statutory rate</w:t>
            </w:r>
          </w:p>
        </w:tc>
        <w:tc>
          <w:tcPr>
            <w:tcW w:w="256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1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1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21.0 %</w:t>
            </w: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State taxes</w:t>
            </w:r>
          </w:p>
        </w:tc>
        <w:tc>
          <w:tcPr>
            <w:tcW w:w="4220" w:type="dxa"/>
            <w:vAlign w:val="bottom"/>
            <w:gridSpan w:val="2"/>
          </w:tcPr>
          <w:p>
            <w:pPr>
              <w:jc w:val="right"/>
              <w:spacing w:after="0"/>
              <w:rPr>
                <w:sz w:val="20"/>
                <w:szCs w:val="20"/>
                <w:color w:val="auto"/>
              </w:rPr>
            </w:pPr>
            <w:r>
              <w:rPr>
                <w:rFonts w:ascii="Arial" w:cs="Arial" w:eastAsia="Arial" w:hAnsi="Arial"/>
                <w:sz w:val="12"/>
                <w:szCs w:val="12"/>
                <w:color w:val="auto"/>
              </w:rPr>
              <w:t>7.8 %</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18.4 %</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53"/>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Federal research tax credit</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4.6 %</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7.6 %</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3.4 %</w:t>
            </w: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Other</w:t>
            </w:r>
          </w:p>
        </w:tc>
        <w:tc>
          <w:tcPr>
            <w:tcW w:w="2560" w:type="dxa"/>
            <w:vAlign w:val="bottom"/>
          </w:tcPr>
          <w:p>
            <w:pPr>
              <w:spacing w:after="0"/>
              <w:rPr>
                <w:sz w:val="13"/>
                <w:szCs w:val="13"/>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2"/>
                <w:szCs w:val="12"/>
                <w:color w:val="auto"/>
              </w:rPr>
              <w:t>— %</w:t>
            </w: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66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53"/>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Uncertain tax positions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Return to provision</w:t>
            </w:r>
          </w:p>
        </w:tc>
        <w:tc>
          <w:tcPr>
            <w:tcW w:w="4220" w:type="dxa"/>
            <w:vAlign w:val="bottom"/>
            <w:gridSpan w:val="2"/>
          </w:tcPr>
          <w:p>
            <w:pPr>
              <w:jc w:val="right"/>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3.6 %</w:t>
            </w:r>
          </w:p>
        </w:tc>
      </w:tr>
      <w:tr>
        <w:trPr>
          <w:trHeight w:val="153"/>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Stock compensation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4220" w:type="dxa"/>
            <w:vAlign w:val="bottom"/>
            <w:gridSpan w:val="2"/>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(45.4)%</w:t>
            </w:r>
          </w:p>
        </w:tc>
        <w:tc>
          <w:tcPr>
            <w:tcW w:w="10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(31.7)%</w:t>
            </w:r>
          </w:p>
        </w:tc>
      </w:tr>
      <w:tr>
        <w:trPr>
          <w:trHeight w:val="158"/>
        </w:trPr>
        <w:tc>
          <w:tcPr>
            <w:tcW w:w="3560" w:type="dxa"/>
            <w:vAlign w:val="bottom"/>
            <w:tcBorders>
              <w:top w:val="single" w:sz="8" w:color="CCEEFF"/>
              <w:bottom w:val="single" w:sz="8" w:color="CCEEFF"/>
            </w:tcBorders>
            <w:shd w:val="clear" w:color="auto" w:fill="CCEEFF"/>
          </w:tcPr>
          <w:p>
            <w:pPr>
              <w:spacing w:after="0"/>
              <w:rPr>
                <w:sz w:val="13"/>
                <w:szCs w:val="13"/>
                <w:color w:val="auto"/>
              </w:rPr>
            </w:pPr>
          </w:p>
        </w:tc>
        <w:tc>
          <w:tcPr>
            <w:tcW w:w="2560" w:type="dxa"/>
            <w:vAlign w:val="bottom"/>
            <w:tcBorders>
              <w:top w:val="single" w:sz="8" w:color="CCEEFF"/>
              <w:bottom w:val="single" w:sz="8" w:color="CCEEFF"/>
            </w:tcBorders>
            <w:shd w:val="clear" w:color="auto" w:fill="CCEEFF"/>
          </w:tcPr>
          <w:p>
            <w:pPr>
              <w:spacing w:after="0"/>
              <w:rPr>
                <w:sz w:val="13"/>
                <w:szCs w:val="1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w:t>
            </w:r>
          </w:p>
        </w:tc>
      </w:tr>
      <w:tr>
        <w:trPr>
          <w:trHeight w:val="596"/>
        </w:trPr>
        <w:tc>
          <w:tcPr>
            <w:tcW w:w="3560" w:type="dxa"/>
            <w:vAlign w:val="bottom"/>
          </w:tcPr>
          <w:p>
            <w:pPr>
              <w:spacing w:after="0"/>
              <w:rPr>
                <w:sz w:val="24"/>
                <w:szCs w:val="24"/>
                <w:color w:val="auto"/>
              </w:rPr>
            </w:pPr>
          </w:p>
        </w:tc>
        <w:tc>
          <w:tcPr>
            <w:tcW w:w="4320" w:type="dxa"/>
            <w:vAlign w:val="bottom"/>
            <w:gridSpan w:val="3"/>
          </w:tcPr>
          <w:p>
            <w:pPr>
              <w:ind w:left="1920"/>
              <w:spacing w:after="0"/>
              <w:rPr>
                <w:sz w:val="20"/>
                <w:szCs w:val="20"/>
                <w:color w:val="auto"/>
              </w:rPr>
            </w:pPr>
            <w:r>
              <w:rPr>
                <w:rFonts w:ascii="Arial" w:cs="Arial" w:eastAsia="Arial" w:hAnsi="Arial"/>
                <w:sz w:val="12"/>
                <w:szCs w:val="12"/>
                <w:color w:val="auto"/>
              </w:rPr>
              <w:t>F - 24</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0"/>
        </w:trPr>
        <w:tc>
          <w:tcPr>
            <w:tcW w:w="356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185" w:name="page186"/>
    <w:bookmarkEnd w:id="185"/>
    <w:p>
      <w:pPr>
        <w:ind w:right="360" w:firstLine="432"/>
        <w:spacing w:after="0" w:line="286" w:lineRule="auto"/>
        <w:rPr>
          <w:sz w:val="20"/>
          <w:szCs w:val="20"/>
          <w:color w:val="auto"/>
        </w:rPr>
      </w:pPr>
      <w:r>
        <w:rPr>
          <w:rFonts w:ascii="Arial" w:cs="Arial" w:eastAsia="Arial" w:hAnsi="Arial"/>
          <w:sz w:val="12"/>
          <w:szCs w:val="12"/>
          <w:color w:val="auto"/>
        </w:rPr>
        <w:t>Deferred income taxes represent the tax effect of transactions that are reported in different periods for financial and tax reporting purposes. Temporary differences and carryforwards that give rise to a significant portion of the deferred income tax benefits and liabilities were as follows as of December 31, 2024 and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0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25"/>
        </w:trPr>
        <w:tc>
          <w:tcPr>
            <w:tcW w:w="802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2023</w:t>
            </w:r>
          </w:p>
        </w:tc>
      </w:tr>
      <w:tr>
        <w:trPr>
          <w:trHeight w:val="134"/>
        </w:trPr>
        <w:tc>
          <w:tcPr>
            <w:tcW w:w="80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Deferred income tax assets:</w:t>
            </w:r>
          </w:p>
        </w:tc>
        <w:tc>
          <w:tcPr>
            <w:tcW w:w="4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Deferred revenue</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155.6</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151.2</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Capitalized research and development</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93.6</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Stock compensation</w:t>
            </w: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43.4</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Tax credits</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43.8</w:t>
            </w: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Loss carryforwards</w:t>
            </w: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31.7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65.8</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13.3</w:t>
            </w:r>
          </w:p>
        </w:tc>
      </w:tr>
      <w:tr>
        <w:trPr>
          <w:trHeight w:val="14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2"/>
                <w:szCs w:val="12"/>
                <w:b w:val="1"/>
                <w:bCs w:val="1"/>
                <w:color w:val="auto"/>
              </w:rPr>
              <w:t>Total deferred income tax assets</w:t>
            </w: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472.8</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411.1</w:t>
            </w:r>
          </w:p>
        </w:tc>
      </w:tr>
      <w:tr>
        <w:trPr>
          <w:trHeight w:val="133"/>
        </w:trPr>
        <w:tc>
          <w:tcPr>
            <w:tcW w:w="80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Deferred income tax liabilities:</w:t>
            </w:r>
          </w:p>
        </w:tc>
        <w:tc>
          <w:tcPr>
            <w:tcW w:w="4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8020" w:type="dxa"/>
            <w:vAlign w:val="bottom"/>
          </w:tcPr>
          <w:p>
            <w:pPr>
              <w:spacing w:after="0"/>
              <w:rPr>
                <w:sz w:val="20"/>
                <w:szCs w:val="20"/>
                <w:color w:val="auto"/>
              </w:rPr>
            </w:pPr>
            <w:r>
              <w:rPr>
                <w:rFonts w:ascii="Arial" w:cs="Arial" w:eastAsia="Arial" w:hAnsi="Arial"/>
                <w:sz w:val="12"/>
                <w:szCs w:val="12"/>
                <w:color w:val="auto"/>
              </w:rPr>
              <w:t>Property, equipment and leasehold improvements</w:t>
            </w: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4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r>
      <w:tr>
        <w:trPr>
          <w:trHeight w:val="142"/>
        </w:trPr>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2"/>
                <w:szCs w:val="12"/>
                <w:b w:val="1"/>
                <w:bCs w:val="1"/>
                <w:color w:val="auto"/>
              </w:rPr>
              <w:t>Total deferred income tax liabilities</w:t>
            </w:r>
          </w:p>
        </w:tc>
        <w:tc>
          <w:tcPr>
            <w:tcW w:w="4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w:t>
            </w:r>
          </w:p>
        </w:tc>
      </w:tr>
      <w:tr>
        <w:trPr>
          <w:trHeight w:val="142"/>
        </w:trPr>
        <w:tc>
          <w:tcPr>
            <w:tcW w:w="8020" w:type="dxa"/>
            <w:vAlign w:val="bottom"/>
            <w:shd w:val="clear" w:color="auto" w:fill="CCEEFF"/>
          </w:tcPr>
          <w:p>
            <w:pPr>
              <w:spacing w:after="0"/>
              <w:rPr>
                <w:sz w:val="20"/>
                <w:szCs w:val="20"/>
                <w:color w:val="auto"/>
              </w:rPr>
            </w:pPr>
            <w:r>
              <w:rPr>
                <w:rFonts w:ascii="Arial" w:cs="Arial" w:eastAsia="Arial" w:hAnsi="Arial"/>
                <w:sz w:val="12"/>
                <w:szCs w:val="12"/>
                <w:color w:val="auto"/>
              </w:rPr>
              <w:t>Less valuation allowance</w:t>
            </w:r>
          </w:p>
        </w:tc>
        <w:tc>
          <w:tcPr>
            <w:tcW w:w="4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(471.4)</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(407.9)</w:t>
            </w:r>
          </w:p>
        </w:tc>
      </w:tr>
      <w:tr>
        <w:trPr>
          <w:trHeight w:val="142"/>
        </w:trPr>
        <w:tc>
          <w:tcPr>
            <w:tcW w:w="8020" w:type="dxa"/>
            <w:vAlign w:val="bottom"/>
          </w:tcPr>
          <w:p>
            <w:pPr>
              <w:ind w:left="300"/>
              <w:spacing w:after="0"/>
              <w:rPr>
                <w:sz w:val="20"/>
                <w:szCs w:val="20"/>
                <w:color w:val="auto"/>
              </w:rPr>
            </w:pPr>
            <w:r>
              <w:rPr>
                <w:rFonts w:ascii="Arial" w:cs="Arial" w:eastAsia="Arial" w:hAnsi="Arial"/>
                <w:sz w:val="12"/>
                <w:szCs w:val="12"/>
                <w:b w:val="1"/>
                <w:bCs w:val="1"/>
                <w:color w:val="auto"/>
              </w:rPr>
              <w:t>Net deferred income tax liability</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20"/>
        </w:trPr>
        <w:tc>
          <w:tcPr>
            <w:tcW w:w="8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has provided a valuation allowance against the full amount of the deferred tax assets since it is more likely than not that the benefits will not be realized. This assessment is based on the Company's historical cumulative losses, which provide strong objective evidence that cannot be overcome with projections of income, as well as the fact the Company expects continuing losses in the future.</w:t>
      </w:r>
    </w:p>
    <w:p>
      <w:pPr>
        <w:spacing w:after="0" w:line="117"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All, or a portion of, the remaining valuation allowance may be reduced in future years based on an assessment of earnings sufficient to utilize these potential tax benefits. The valuation allowance increased by $63.5 million and $164.0 million in 2024 and 2023, respectively, due to increases in net operating loss carryforwards, revenue recognition for tax purposes from the Vepdegestrant (ARV-471) Collaboration Agreement and the mandatory capitalization of qualified research and development costs in 2024 and 2023.</w:t>
      </w:r>
    </w:p>
    <w:p>
      <w:pPr>
        <w:spacing w:after="0" w:line="1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Company had $111.0 million and $235.9 million of federal net operating loss carryforwards as of December 31, 2024 and 2023, respectively. Federal net operating losses incurred in 2018 and in future years may be carried forward indefinitely, but the deductibility of such carryforwards is limited to 80% of the Company’s taxable income in the year in which carryforwards are used. The Company had $129.0 million and $250.0 million of state and local net operating loss carryforwards as of December 31, 2024 and 2023, respectively, which expire at various dates beginning in 2035. The Company had $37.7 million and $29.1 million of federal tax credit carryforwards as of December 31, 2024 and 2023, respectively. The Company had $22.4 million and $18.7 million of state tax credit carryforwards as of December 31, 2024 and 2023, respectively, which expire at various dates beginning in 2040.</w:t>
      </w:r>
    </w:p>
    <w:p>
      <w:pPr>
        <w:spacing w:after="0" w:line="11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1"/>
          <w:szCs w:val="11"/>
          <w:color w:val="auto"/>
        </w:rPr>
        <w:t>During 2021, the Company performed a Section 382 analysis to determine whether an ownership change occurred for tax purposes. Based on this analysis, the Company determined that ownership changes occurred on July 31, 2018 and December 31, 2020 due to various equity offerings, vesting of restricted stock awards and stock option exercises. These ownership changes resulted in Section 382 limitations on the Company’s net operating loss and tax credit carryforwards generated before these dates. However, because the amount of the Section 382 limitations (including carryover of the unused Section 382 limitations and realized built-in gains) exceeds the amount of the Company’s carryforwards generated before these dates, the limitations will not affect the Company's ability to fully utilize these carryforwards.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86" w:name="page187"/>
    <w:bookmarkEnd w:id="186"/>
    <w:p>
      <w:pPr>
        <w:ind w:right="20" w:firstLine="432"/>
        <w:spacing w:after="0" w:line="262" w:lineRule="auto"/>
        <w:rPr>
          <w:sz w:val="20"/>
          <w:szCs w:val="20"/>
          <w:color w:val="auto"/>
        </w:rPr>
      </w:pPr>
      <w:r>
        <w:rPr>
          <w:rFonts w:ascii="Arial" w:cs="Arial" w:eastAsia="Arial" w:hAnsi="Arial"/>
          <w:sz w:val="12"/>
          <w:szCs w:val="12"/>
          <w:color w:val="auto"/>
        </w:rPr>
        <w:t xml:space="preserve">The Company complies with the provisions of ASC 740,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in accounting for its uncertain tax positions. ASC 740 addresses the determination of whether tax benefits claimed or expected to be claimed on a tax return should be recorded in the financial statements. Under ASC 740, the Company may recognize the tax benefit from an uncertain tax position only if it is more likely than not that the tax position will be sustained on examination by the taxing authorities, based on the technical merits of the position. As of December 31, 2024 and 2023, the Company recorded net uncertain tax positions of $5.4 million and $4.9 million, respectively, relating primarily to state income tax filing positions in various jurisdictions.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the Company's gross unrecognized tax benefits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25"/>
        </w:trPr>
        <w:tc>
          <w:tcPr>
            <w:tcW w:w="63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624"/>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2022</w:t>
            </w:r>
          </w:p>
        </w:tc>
      </w:tr>
      <w:tr>
        <w:trPr>
          <w:trHeight w:val="143"/>
        </w:trPr>
        <w:tc>
          <w:tcPr>
            <w:tcW w:w="6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Beginning of period balance - gross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6360" w:type="dxa"/>
            <w:vAlign w:val="bottom"/>
          </w:tcPr>
          <w:p>
            <w:pPr>
              <w:spacing w:after="0"/>
              <w:rPr>
                <w:sz w:val="20"/>
                <w:szCs w:val="20"/>
                <w:color w:val="auto"/>
              </w:rPr>
            </w:pPr>
            <w:r>
              <w:rPr>
                <w:rFonts w:ascii="Arial" w:cs="Arial" w:eastAsia="Arial" w:hAnsi="Arial"/>
                <w:sz w:val="12"/>
                <w:szCs w:val="12"/>
                <w:color w:val="auto"/>
              </w:rPr>
              <w:t>Increases for tax positions taken during the current period</w:t>
            </w:r>
          </w:p>
        </w:tc>
        <w:tc>
          <w:tcPr>
            <w:tcW w:w="3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4.1</w:t>
            </w:r>
          </w:p>
        </w:tc>
      </w:tr>
      <w:tr>
        <w:trPr>
          <w:trHeight w:val="153"/>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Decreases for tax positions taken during a prior period</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6360" w:type="dxa"/>
            <w:vAlign w:val="bottom"/>
          </w:tcPr>
          <w:p>
            <w:pPr>
              <w:ind w:left="140"/>
              <w:spacing w:after="0"/>
              <w:rPr>
                <w:sz w:val="20"/>
                <w:szCs w:val="20"/>
                <w:color w:val="auto"/>
              </w:rPr>
            </w:pPr>
            <w:r>
              <w:rPr>
                <w:rFonts w:ascii="Arial" w:cs="Arial" w:eastAsia="Arial" w:hAnsi="Arial"/>
                <w:sz w:val="12"/>
                <w:szCs w:val="12"/>
                <w:b w:val="1"/>
                <w:bCs w:val="1"/>
                <w:color w:val="auto"/>
              </w:rPr>
              <w:t>End of period balance - gross</w:t>
            </w: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4.1</w:t>
            </w:r>
          </w:p>
        </w:tc>
      </w:tr>
    </w:tbl>
    <w:p>
      <w:pPr>
        <w:spacing w:after="0" w:line="19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2"/>
          <w:szCs w:val="12"/>
          <w:color w:val="auto"/>
        </w:rPr>
        <w:t>The Company recognizes interest accrued related to unrecognized tax benefits and penalties in tax expense. The Company's accrual for interest and penalties as of December 31, 2024 and 2023 totaled $1.0 million and $0.4 million, respectively.</w:t>
      </w:r>
    </w:p>
    <w:p>
      <w:pPr>
        <w:spacing w:after="0" w:line="103"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The Company is required to file income tax returns in the U.S. Federal and various state jurisdictions. As a result of the Company’s net operating loss carryforwards, the Company’s federal and state statutes of limitations generally remain open for all tax years until its net operating loss and tax credit carryforwards are utilized or expire prior to utilization. The Company does not currently have any federal or state income tax examinations in progress.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12. Commitments and Contingencies</w:t>
      </w:r>
    </w:p>
    <w:p>
      <w:pPr>
        <w:spacing w:after="0" w:line="76"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From time to time, the Company may be subject to legal proceedings, claims and disputes that arise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which could differ materially. Legal fees and other costs associated with such actions are expensed as incurred. As of December 31, 2024 and 2023, the Company has accrued $5.0 million and $15.2 million, respectively, for such matters, related to the Amended License Agreement with Yale University ("Yale"), as further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and Preclinical Development and Licensing Arrangements</w:t>
      </w:r>
    </w:p>
    <w:p>
      <w:pPr>
        <w:spacing w:after="0" w:line="15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2"/>
          <w:szCs w:val="12"/>
          <w:color w:val="auto"/>
        </w:rPr>
        <w:t>From time to time, the Company enters into contracts in the normal course of business with various third parties who support its clinical trials, preclinical research studies and other services related to its development activities. The scope of the services under these agreements can generally be modified at any time, and the agreement can be terminated by either party after a period of notice and receipt of written notice.</w:t>
      </w:r>
    </w:p>
    <w:p>
      <w:pPr>
        <w:spacing w:after="0" w:line="105" w:lineRule="exact"/>
        <w:rPr>
          <w:sz w:val="20"/>
          <w:szCs w:val="20"/>
          <w:color w:val="auto"/>
        </w:rPr>
      </w:pPr>
    </w:p>
    <w:p>
      <w:pPr>
        <w:ind w:right="180" w:firstLine="432"/>
        <w:spacing w:after="0" w:line="270" w:lineRule="auto"/>
        <w:rPr>
          <w:sz w:val="20"/>
          <w:szCs w:val="20"/>
          <w:color w:val="auto"/>
        </w:rPr>
      </w:pPr>
      <w:r>
        <w:rPr>
          <w:rFonts w:ascii="Arial" w:cs="Arial" w:eastAsia="Arial" w:hAnsi="Arial"/>
          <w:sz w:val="12"/>
          <w:szCs w:val="12"/>
          <w:color w:val="auto"/>
        </w:rPr>
        <w:t>In addition, under licensing and related arrangements to which the Company is a party, the Company may be obligated to make milestone payments to third parties. The payment obligations under these arrangements are contingent upon future events, such as achievement of specified milestones or generation of product sales, and the amount, timing and likelihood of such payments are not known.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Yale University License Agreement</w:t>
      </w:r>
    </w:p>
    <w:p>
      <w:pPr>
        <w:spacing w:after="0" w:line="148" w:lineRule="exact"/>
        <w:rPr>
          <w:sz w:val="20"/>
          <w:szCs w:val="20"/>
          <w:color w:val="auto"/>
        </w:rPr>
      </w:pPr>
    </w:p>
    <w:p>
      <w:pPr>
        <w:ind w:right="160" w:firstLine="432"/>
        <w:spacing w:after="0" w:line="262" w:lineRule="auto"/>
        <w:rPr>
          <w:sz w:val="20"/>
          <w:szCs w:val="20"/>
          <w:color w:val="auto"/>
        </w:rPr>
      </w:pPr>
      <w:r>
        <w:rPr>
          <w:rFonts w:ascii="Arial" w:cs="Arial" w:eastAsia="Arial" w:hAnsi="Arial"/>
          <w:sz w:val="12"/>
          <w:szCs w:val="12"/>
          <w:color w:val="auto"/>
        </w:rPr>
        <w:t xml:space="preserve">In June 2024, the Company entered into an Amended and Restated License Agreement (the “Amended License Agreement”) with Yale pursuant to which the parties amended and restated the license agreement dated July 5, 2013, as amended to date (the "Original Agreement"). In connection with the signing of the Amended License Agreement, the Company made a payment of $14.95 million to Yale, comprising both an upfront payment connected to the Amended License Agreement and an amount related to the collaboration income under the Novartis License Agreement and Novartis Asset Agreement (see Note 3, </w:t>
      </w:r>
      <w:r>
        <w:rPr>
          <w:rFonts w:ascii="Arial" w:cs="Arial" w:eastAsia="Arial" w:hAnsi="Arial"/>
          <w:sz w:val="12"/>
          <w:szCs w:val="12"/>
          <w:i w:val="1"/>
          <w:iCs w:val="1"/>
          <w:color w:val="auto"/>
        </w:rPr>
        <w:t>Research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87" w:name="page188"/>
    <w:bookmarkEnd w:id="187"/>
    <w:p>
      <w:pPr>
        <w:ind w:left="8"/>
        <w:spacing w:after="0"/>
        <w:rPr>
          <w:sz w:val="20"/>
          <w:szCs w:val="20"/>
          <w:color w:val="auto"/>
        </w:rPr>
      </w:pPr>
      <w:r>
        <w:rPr>
          <w:rFonts w:ascii="Arial" w:cs="Arial" w:eastAsia="Arial" w:hAnsi="Arial"/>
          <w:sz w:val="12"/>
          <w:szCs w:val="12"/>
          <w:i w:val="1"/>
          <w:iCs w:val="1"/>
          <w:color w:val="auto"/>
        </w:rPr>
        <w:t xml:space="preserve">Collaboration and License Agreements, </w:t>
      </w:r>
      <w:r>
        <w:rPr>
          <w:rFonts w:ascii="Arial" w:cs="Arial" w:eastAsia="Arial" w:hAnsi="Arial"/>
          <w:sz w:val="12"/>
          <w:szCs w:val="12"/>
          <w:color w:val="auto"/>
        </w:rPr>
        <w:t>for a description of the agreements</w:t>
      </w:r>
      <w:r>
        <w:rPr>
          <w:rFonts w:ascii="Arial" w:cs="Arial" w:eastAsia="Arial" w:hAnsi="Arial"/>
          <w:sz w:val="12"/>
          <w:szCs w:val="12"/>
          <w:i w:val="1"/>
          <w:iCs w:val="1"/>
          <w:color w:val="auto"/>
        </w:rPr>
        <w:t>)</w:t>
      </w:r>
      <w:r>
        <w:rPr>
          <w:rFonts w:ascii="Arial" w:cs="Arial" w:eastAsia="Arial" w:hAnsi="Arial"/>
          <w:sz w:val="12"/>
          <w:szCs w:val="12"/>
          <w:color w:val="auto"/>
        </w:rPr>
        <w:t>. The Company will make another $5.0 million payment on the first anniversary of signing. Thereafter, the Company will also pay to Yale</w:t>
      </w:r>
    </w:p>
    <w:p>
      <w:pPr>
        <w:spacing w:after="0" w:line="18" w:lineRule="exact"/>
        <w:rPr>
          <w:sz w:val="20"/>
          <w:szCs w:val="20"/>
          <w:color w:val="auto"/>
        </w:rPr>
      </w:pPr>
    </w:p>
    <w:p>
      <w:pPr>
        <w:ind w:left="8" w:right="360" w:hanging="8"/>
        <w:spacing w:after="0" w:line="265" w:lineRule="auto"/>
        <w:tabs>
          <w:tab w:leader="none" w:pos="188" w:val="left"/>
        </w:tabs>
        <w:numPr>
          <w:ilvl w:val="0"/>
          <w:numId w:val="93"/>
        </w:numPr>
        <w:rPr>
          <w:rFonts w:ascii="Arial" w:cs="Arial" w:eastAsia="Arial" w:hAnsi="Arial"/>
          <w:sz w:val="12"/>
          <w:szCs w:val="12"/>
          <w:color w:val="auto"/>
        </w:rPr>
      </w:pPr>
      <w:r>
        <w:rPr>
          <w:rFonts w:ascii="Arial" w:cs="Arial" w:eastAsia="Arial" w:hAnsi="Arial"/>
          <w:sz w:val="12"/>
          <w:szCs w:val="12"/>
          <w:color w:val="auto"/>
        </w:rPr>
        <w:t>up to $15.0 million if it secures approval of the first and second royalty products (as defined in the Amended License Agreement), (2) a low single digit percentage royalty on certain, more narrowly defined “collaboration products,” and (3) a lower single digit royalty on its aggregate worldwide net sales of certain newly defined “meaningfully involved products.”</w:t>
      </w:r>
    </w:p>
    <w:p>
      <w:pPr>
        <w:spacing w:after="0" w:line="115" w:lineRule="exact"/>
        <w:rPr>
          <w:sz w:val="20"/>
          <w:szCs w:val="20"/>
          <w:color w:val="auto"/>
        </w:rPr>
      </w:pPr>
    </w:p>
    <w:p>
      <w:pPr>
        <w:ind w:left="8" w:right="140" w:firstLine="432"/>
        <w:spacing w:after="0" w:line="257" w:lineRule="auto"/>
        <w:rPr>
          <w:sz w:val="20"/>
          <w:szCs w:val="20"/>
          <w:color w:val="auto"/>
        </w:rPr>
      </w:pPr>
      <w:r>
        <w:rPr>
          <w:rFonts w:ascii="Arial" w:cs="Arial" w:eastAsia="Arial" w:hAnsi="Arial"/>
          <w:sz w:val="12"/>
          <w:szCs w:val="12"/>
          <w:color w:val="auto"/>
        </w:rPr>
        <w:t>The Company’s obligations under the Original Agreement to pay Yale minimum annual royalties and certain other annual fees have been eliminated and Yale has agreed to release all claims arising previously under the Original Agreement. Other provisions of the Original Agreement remain materially unchanged under the Amended License Agreement, including the requirement to pay to Yale a minimum license maintenance royalty totaling $0.1 million per year until the first sale to a third party of any licensed product, followed by success-based milestones for the first two licensed products for the development of the protein degradation technologies totaling approximately $3.0 million for the first licensed product and approximately $1.5 million for the second licensed product, certain of which milestones have already been satisfied, and low single-digit royalties on aggregate worldwide net sales of certain licensed products, which may be subject to reductions, and subject to minimum royalty payments that range from $0.2 million to $0.5 million.</w:t>
      </w:r>
    </w:p>
    <w:p>
      <w:pPr>
        <w:spacing w:after="0" w:line="121" w:lineRule="exact"/>
        <w:rPr>
          <w:sz w:val="20"/>
          <w:szCs w:val="20"/>
          <w:color w:val="auto"/>
        </w:rPr>
      </w:pPr>
    </w:p>
    <w:p>
      <w:pPr>
        <w:ind w:left="8" w:right="180" w:firstLine="432"/>
        <w:spacing w:after="0" w:line="286" w:lineRule="auto"/>
        <w:rPr>
          <w:sz w:val="20"/>
          <w:szCs w:val="20"/>
          <w:color w:val="auto"/>
        </w:rPr>
      </w:pPr>
      <w:r>
        <w:rPr>
          <w:rFonts w:ascii="Arial" w:cs="Arial" w:eastAsia="Arial" w:hAnsi="Arial"/>
          <w:sz w:val="12"/>
          <w:szCs w:val="12"/>
          <w:color w:val="auto"/>
        </w:rPr>
        <w:t>During each of the years ended December 31, 2024, 2023 and 2022, the Company paid $14.95 million, $0.3 million and $0.1 million, respectively, under the license agreement. The payment made in the year ended December 31, 2024 included the payment made in connection with signing the Amended License Agreement, as summarized above.</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FMI Agreement</w:t>
      </w:r>
    </w:p>
    <w:p>
      <w:pPr>
        <w:spacing w:after="0" w:line="148" w:lineRule="exact"/>
        <w:rPr>
          <w:sz w:val="20"/>
          <w:szCs w:val="20"/>
          <w:color w:val="auto"/>
        </w:rPr>
      </w:pPr>
    </w:p>
    <w:p>
      <w:pPr>
        <w:ind w:left="8" w:right="240" w:firstLine="432"/>
        <w:spacing w:after="0" w:line="268" w:lineRule="auto"/>
        <w:rPr>
          <w:sz w:val="20"/>
          <w:szCs w:val="20"/>
          <w:color w:val="auto"/>
        </w:rPr>
      </w:pPr>
      <w:r>
        <w:rPr>
          <w:rFonts w:ascii="Arial" w:cs="Arial" w:eastAsia="Arial" w:hAnsi="Arial"/>
          <w:sz w:val="12"/>
          <w:szCs w:val="12"/>
          <w:color w:val="auto"/>
        </w:rPr>
        <w:t>In December 2024, the Company terminated its statement of work related to the development of FoundationOne® Liquid CDx as a companion diagnostic for use with luxdegalutamide (ARV-766) for AR mCRPC in the United States and European Union under its Master In Vitro Diagnostics Agreement with Foundation Medicine, Inc. (the "FMI Agreement"), dated June 2022, for the development and commercialization of one or more of Foundation Medicine’s companion in vitro diagnostic assays for use with one or more of the Company's therapeutic products.</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13. Net Loss Per Share</w:t>
      </w:r>
    </w:p>
    <w:p>
      <w:pPr>
        <w:spacing w:after="0" w:line="76" w:lineRule="exact"/>
        <w:rPr>
          <w:sz w:val="20"/>
          <w:szCs w:val="20"/>
          <w:color w:val="auto"/>
        </w:rPr>
      </w:pPr>
    </w:p>
    <w:p>
      <w:pPr>
        <w:ind w:left="408"/>
        <w:spacing w:after="0"/>
        <w:rPr>
          <w:sz w:val="20"/>
          <w:szCs w:val="20"/>
          <w:color w:val="auto"/>
        </w:rPr>
      </w:pPr>
      <w:r>
        <w:rPr>
          <w:rFonts w:ascii="Arial" w:cs="Arial" w:eastAsia="Arial" w:hAnsi="Arial"/>
          <w:sz w:val="12"/>
          <w:szCs w:val="12"/>
          <w:color w:val="auto"/>
        </w:rPr>
        <w:t>Basic and diluted loss per common share was calculated as follows:</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3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and shares in millions, except per common share amounts)</w:t>
            </w: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6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(198.9)</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(367.3)</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(282.5)</w:t>
            </w:r>
          </w:p>
        </w:tc>
        <w:tc>
          <w:tcPr>
            <w:tcW w:w="0" w:type="dxa"/>
            <w:vAlign w:val="bottom"/>
          </w:tcPr>
          <w:p>
            <w:pPr>
              <w:spacing w:after="0"/>
              <w:rPr>
                <w:sz w:val="1"/>
                <w:szCs w:val="1"/>
                <w:color w:val="auto"/>
              </w:rPr>
            </w:pPr>
          </w:p>
        </w:tc>
      </w:tr>
      <w:tr>
        <w:trPr>
          <w:trHeight w:val="97"/>
        </w:trPr>
        <w:tc>
          <w:tcPr>
            <w:tcW w:w="6360" w:type="dxa"/>
            <w:vAlign w:val="bottom"/>
          </w:tcPr>
          <w:p>
            <w:pPr>
              <w:spacing w:after="0" w:line="97" w:lineRule="exact"/>
              <w:rPr>
                <w:sz w:val="20"/>
                <w:szCs w:val="20"/>
                <w:color w:val="auto"/>
              </w:rPr>
            </w:pPr>
            <w:r>
              <w:rPr>
                <w:rFonts w:ascii="Arial" w:cs="Arial" w:eastAsia="Arial" w:hAnsi="Arial"/>
                <w:sz w:val="11"/>
                <w:szCs w:val="11"/>
                <w:color w:val="auto"/>
              </w:rPr>
              <w:t>Weighted-average common shares outstanding</w:t>
            </w:r>
          </w:p>
        </w:tc>
        <w:tc>
          <w:tcPr>
            <w:tcW w:w="3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2"/>
                <w:szCs w:val="12"/>
                <w:color w:val="auto"/>
              </w:rPr>
              <w:t>71.9</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2"/>
                <w:szCs w:val="12"/>
                <w:color w:val="auto"/>
              </w:rPr>
              <w:t>55.5</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2"/>
                <w:szCs w:val="12"/>
                <w:color w:val="auto"/>
              </w:rPr>
              <w:t>53.2</w:t>
            </w:r>
          </w:p>
        </w:tc>
        <w:tc>
          <w:tcPr>
            <w:tcW w:w="0" w:type="dxa"/>
            <w:vAlign w:val="bottom"/>
          </w:tcPr>
          <w:p>
            <w:pPr>
              <w:spacing w:after="0"/>
              <w:rPr>
                <w:sz w:val="1"/>
                <w:szCs w:val="1"/>
                <w:color w:val="auto"/>
              </w:rPr>
            </w:pPr>
          </w:p>
        </w:tc>
      </w:tr>
      <w:tr>
        <w:trPr>
          <w:trHeight w:val="162"/>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basic and diluted</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63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Net loss per common share</w:t>
            </w:r>
          </w:p>
        </w:tc>
        <w:tc>
          <w:tcPr>
            <w:tcW w:w="38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6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 basic and diluted</w:t>
            </w: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1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2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right="100" w:firstLine="432"/>
        <w:spacing w:after="0" w:line="262" w:lineRule="auto"/>
        <w:rPr>
          <w:sz w:val="20"/>
          <w:szCs w:val="20"/>
          <w:color w:val="auto"/>
        </w:rPr>
      </w:pPr>
      <w:r>
        <w:rPr>
          <w:rFonts w:ascii="Arial" w:cs="Arial" w:eastAsia="Arial" w:hAnsi="Arial"/>
          <w:sz w:val="12"/>
          <w:szCs w:val="12"/>
          <w:color w:val="auto"/>
        </w:rPr>
        <w:t xml:space="preserve">The weighted-average number of common shares included in the computation of basic and diluted net loss per common share gives effect to pre-funded warrants which allows holders to acquire a specified number of common shares at a nominal exercise price of $0.001 per share and are classified as equity. The shares underlying the pre-funded warrants are exercisable for little or no consideration and therefore the underlying shares are considered outstanding at the issuance of the pre-funded warrants for purposes of calculating the weighted-average number of common shares outstanding in basic and diluted net loss per share for common share. See Note 9, </w:t>
      </w:r>
      <w:r>
        <w:rPr>
          <w:rFonts w:ascii="Arial" w:cs="Arial" w:eastAsia="Arial" w:hAnsi="Arial"/>
          <w:sz w:val="12"/>
          <w:szCs w:val="12"/>
          <w:i w:val="1"/>
          <w:iCs w:val="1"/>
          <w:color w:val="auto"/>
        </w:rPr>
        <w:t>Equity.</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1" w:right="299" w:bottom="1440" w:gutter="0" w:footer="0" w:header="0"/>
        </w:sectPr>
      </w:pPr>
    </w:p>
    <w:bookmarkStart w:id="188" w:name="page189"/>
    <w:bookmarkEnd w:id="188"/>
    <w:p>
      <w:pPr>
        <w:ind w:right="40" w:firstLine="416"/>
        <w:spacing w:after="0" w:line="286" w:lineRule="auto"/>
        <w:rPr>
          <w:sz w:val="20"/>
          <w:szCs w:val="20"/>
          <w:color w:val="auto"/>
        </w:rPr>
      </w:pPr>
      <w:r>
        <w:rPr>
          <w:rFonts w:ascii="Arial" w:cs="Arial" w:eastAsia="Arial" w:hAnsi="Arial"/>
          <w:sz w:val="12"/>
          <w:szCs w:val="12"/>
          <w:color w:val="auto"/>
        </w:rPr>
        <w:t>The Company reported net losses for each of the years ended December 31, 2024, 2023 and 2022, and therefore excluded all stock options and RSUs from the computation of diluted net loss per common share as their inclusion would have had an anti-dilutive effect, as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36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Year ended December 31,</w:t>
            </w:r>
          </w:p>
        </w:tc>
        <w:tc>
          <w:tcPr>
            <w:tcW w:w="1600" w:type="dxa"/>
            <w:vAlign w:val="bottom"/>
            <w:tcBorders>
              <w:bottom w:val="single" w:sz="8" w:color="auto"/>
            </w:tcBorders>
          </w:tcPr>
          <w:p>
            <w:pPr>
              <w:spacing w:after="0"/>
              <w:rPr>
                <w:sz w:val="11"/>
                <w:szCs w:val="11"/>
                <w:color w:val="auto"/>
              </w:rPr>
            </w:pPr>
          </w:p>
        </w:tc>
      </w:tr>
      <w:tr>
        <w:trPr>
          <w:trHeight w:val="125"/>
        </w:trPr>
        <w:tc>
          <w:tcPr>
            <w:tcW w:w="636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(shares in millions)</w:t>
            </w:r>
          </w:p>
        </w:tc>
        <w:tc>
          <w:tcPr>
            <w:tcW w:w="158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160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c>
          <w:tcPr>
            <w:tcW w:w="160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2022</w:t>
            </w:r>
          </w:p>
        </w:tc>
      </w:tr>
      <w:tr>
        <w:trPr>
          <w:trHeight w:val="143"/>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w:t>
            </w:r>
          </w:p>
        </w:tc>
      </w:tr>
      <w:tr>
        <w:trPr>
          <w:trHeight w:val="153"/>
        </w:trPr>
        <w:tc>
          <w:tcPr>
            <w:tcW w:w="6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RSUs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0.5</w:t>
            </w:r>
          </w:p>
        </w:tc>
      </w:tr>
      <w:tr>
        <w:trPr>
          <w:trHeight w:val="158"/>
        </w:trPr>
        <w:tc>
          <w:tcPr>
            <w:tcW w:w="636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7.3</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14. Segment Information</w:t>
      </w:r>
    </w:p>
    <w:p>
      <w:pPr>
        <w:spacing w:after="0" w:line="76"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The Company's operations are organized into one operating and reportable segment focused on the discovery, development and commercialization of therapies that degrade disease-causing proteins. The segment develops protein degradation therapies designed to harness the body's natural protein disposal system to selectively and efficiently degrade and remove disease-causing protein through the Company's PROTAC (PROteolysis TArgeting Chimera) protein degrader platform. The Company is progressing multiple product candidates through clinical development programs, including vepdegestrant, targeting the estrogen receptor for patients with locally advanced or metastatic ER+/HER2- breast cancer; ARV-393, targeting BCL6 for relapsed/refractory non-Hodgkin Lymphoma; and ARV-102, targeting LRRK2 for neurodegenerative disorders. The Company's tangible assets are held in the United States and all of the Company's revenue has been generated in the United States. The Company manages all business activities on a consolidated basis. The Company's chief operating decision maker is the Chief Executive Officer.</w:t>
      </w:r>
    </w:p>
    <w:p>
      <w:pPr>
        <w:spacing w:after="0" w:line="121"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2"/>
          <w:szCs w:val="12"/>
          <w:color w:val="auto"/>
        </w:rPr>
        <w:t>The operating segment's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Revenue is recognized ratably over the Company’s expected performance period under each respective arrangement. The Company also generated revenue through the sale of assets based on fair value. The Company does not have intra-entity sales or transfers.</w:t>
      </w:r>
    </w:p>
    <w:p>
      <w:pPr>
        <w:spacing w:after="0" w:line="119" w:lineRule="exact"/>
        <w:rPr>
          <w:sz w:val="20"/>
          <w:szCs w:val="20"/>
          <w:color w:val="auto"/>
        </w:rPr>
      </w:pPr>
    </w:p>
    <w:p>
      <w:pPr>
        <w:ind w:right="80" w:firstLine="432"/>
        <w:spacing w:after="0" w:line="268" w:lineRule="auto"/>
        <w:rPr>
          <w:sz w:val="20"/>
          <w:szCs w:val="20"/>
          <w:color w:val="auto"/>
        </w:rPr>
      </w:pPr>
      <w:r>
        <w:rPr>
          <w:rFonts w:ascii="Arial" w:cs="Arial" w:eastAsia="Arial" w:hAnsi="Arial"/>
          <w:sz w:val="12"/>
          <w:szCs w:val="12"/>
          <w:color w:val="auto"/>
        </w:rPr>
        <w:t xml:space="preserve">The accounting policies of the operating segment are the same as those described in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The chief operating decision maker evaluates the performance of the operating segment and allocates resources based on net income/ loss that also is reported on the consolidated income statement as net loss. The measure of the operating segment assets is reported on the consolidated balance sheet as total assets.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chief operating decision maker uses net loss to monitor budget versus actual results and to analyze cash flows in assessing performance of the segment and allocating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189" w:name="page190"/>
    <w:bookmarkEnd w:id="189"/>
    <w:p>
      <w:pPr>
        <w:ind w:left="428"/>
        <w:spacing w:after="0"/>
        <w:rPr>
          <w:sz w:val="20"/>
          <w:szCs w:val="20"/>
          <w:color w:val="auto"/>
        </w:rPr>
      </w:pPr>
      <w:r>
        <w:rPr>
          <w:rFonts w:ascii="Arial" w:cs="Arial" w:eastAsia="Arial" w:hAnsi="Arial"/>
          <w:sz w:val="12"/>
          <w:szCs w:val="12"/>
          <w:color w:val="auto"/>
        </w:rPr>
        <w:t>The following table summarizes the reportable segment's financial information:</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6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3"/>
        </w:trPr>
        <w:tc>
          <w:tcPr>
            <w:tcW w:w="66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(dollars in millions)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2022</w:t>
            </w:r>
          </w:p>
        </w:tc>
      </w:tr>
      <w:tr>
        <w:trPr>
          <w:trHeight w:val="161"/>
        </w:trPr>
        <w:tc>
          <w:tcPr>
            <w:tcW w:w="6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131.4</w:t>
            </w:r>
          </w:p>
        </w:tc>
      </w:tr>
      <w:tr>
        <w:trPr>
          <w:trHeight w:val="168"/>
        </w:trPr>
        <w:tc>
          <w:tcPr>
            <w:tcW w:w="6680" w:type="dxa"/>
            <w:vAlign w:val="bottom"/>
          </w:tcPr>
          <w:p>
            <w:pPr>
              <w:spacing w:after="0"/>
              <w:rPr>
                <w:sz w:val="20"/>
                <w:szCs w:val="20"/>
                <w:color w:val="auto"/>
              </w:rPr>
            </w:pPr>
            <w:r>
              <w:rPr>
                <w:rFonts w:ascii="Arial" w:cs="Arial" w:eastAsia="Arial" w:hAnsi="Arial"/>
                <w:sz w:val="12"/>
                <w:szCs w:val="12"/>
                <w:color w:val="auto"/>
              </w:rPr>
              <w:t>Less: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4"/>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Research and development expense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80" w:type="dxa"/>
            <w:vAlign w:val="bottom"/>
          </w:tcPr>
          <w:p>
            <w:pPr>
              <w:ind w:left="300"/>
              <w:spacing w:after="0"/>
              <w:rPr>
                <w:sz w:val="20"/>
                <w:szCs w:val="20"/>
                <w:color w:val="auto"/>
              </w:rPr>
            </w:pPr>
            <w:r>
              <w:rPr>
                <w:rFonts w:ascii="Arial" w:cs="Arial" w:eastAsia="Arial" w:hAnsi="Arial"/>
                <w:sz w:val="12"/>
                <w:szCs w:val="12"/>
                <w:color w:val="auto"/>
              </w:rPr>
              <w:t>Program-specific external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18"/>
        </w:trPr>
        <w:tc>
          <w:tcPr>
            <w:tcW w:w="6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Vepdegestrant (ARV-471) (*)</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72.8</w:t>
            </w:r>
          </w:p>
        </w:tc>
      </w:tr>
      <w:tr>
        <w:trPr>
          <w:trHeight w:val="168"/>
        </w:trPr>
        <w:tc>
          <w:tcPr>
            <w:tcW w:w="6680" w:type="dxa"/>
            <w:vAlign w:val="bottom"/>
          </w:tcPr>
          <w:p>
            <w:pPr>
              <w:ind w:left="440"/>
              <w:spacing w:after="0"/>
              <w:rPr>
                <w:sz w:val="20"/>
                <w:szCs w:val="20"/>
                <w:color w:val="auto"/>
              </w:rPr>
            </w:pPr>
            <w:r>
              <w:rPr>
                <w:rFonts w:ascii="Arial" w:cs="Arial" w:eastAsia="Arial" w:hAnsi="Arial"/>
                <w:sz w:val="12"/>
                <w:szCs w:val="12"/>
                <w:color w:val="auto"/>
              </w:rPr>
              <w:t>Luxdegalutamide (ARV-766)</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7.0</w:t>
            </w:r>
          </w:p>
        </w:tc>
      </w:tr>
      <w:tr>
        <w:trPr>
          <w:trHeight w:val="174"/>
        </w:trPr>
        <w:tc>
          <w:tcPr>
            <w:tcW w:w="6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ARV-102</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68"/>
        </w:trPr>
        <w:tc>
          <w:tcPr>
            <w:tcW w:w="6680" w:type="dxa"/>
            <w:vAlign w:val="bottom"/>
          </w:tcPr>
          <w:p>
            <w:pPr>
              <w:ind w:left="440"/>
              <w:spacing w:after="0"/>
              <w:rPr>
                <w:sz w:val="20"/>
                <w:szCs w:val="20"/>
                <w:color w:val="auto"/>
              </w:rPr>
            </w:pPr>
            <w:r>
              <w:rPr>
                <w:rFonts w:ascii="Arial" w:cs="Arial" w:eastAsia="Arial" w:hAnsi="Arial"/>
                <w:sz w:val="12"/>
                <w:szCs w:val="12"/>
                <w:color w:val="auto"/>
              </w:rPr>
              <w:t>Bavdegalutamide (ARV-110)</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36.7</w:t>
            </w:r>
          </w:p>
        </w:tc>
      </w:tr>
      <w:tr>
        <w:trPr>
          <w:trHeight w:val="174"/>
        </w:trPr>
        <w:tc>
          <w:tcPr>
            <w:tcW w:w="6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ARV-393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68"/>
        </w:trPr>
        <w:tc>
          <w:tcPr>
            <w:tcW w:w="6680" w:type="dxa"/>
            <w:vAlign w:val="bottom"/>
          </w:tcPr>
          <w:p>
            <w:pPr>
              <w:ind w:left="440"/>
              <w:spacing w:after="0"/>
              <w:rPr>
                <w:sz w:val="20"/>
                <w:szCs w:val="20"/>
                <w:color w:val="auto"/>
              </w:rPr>
            </w:pPr>
            <w:r>
              <w:rPr>
                <w:rFonts w:ascii="Arial" w:cs="Arial" w:eastAsia="Arial" w:hAnsi="Arial"/>
                <w:sz w:val="12"/>
                <w:szCs w:val="12"/>
                <w:color w:val="auto"/>
              </w:rPr>
              <w:t>Other programs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1.8</w:t>
            </w:r>
          </w:p>
        </w:tc>
      </w:tr>
      <w:tr>
        <w:trPr>
          <w:trHeight w:val="174"/>
        </w:trPr>
        <w:tc>
          <w:tcPr>
            <w:tcW w:w="6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Non program-specific external expense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64.3</w:t>
            </w:r>
          </w:p>
        </w:tc>
      </w:tr>
      <w:tr>
        <w:trPr>
          <w:trHeight w:val="140"/>
        </w:trPr>
        <w:tc>
          <w:tcPr>
            <w:tcW w:w="6680" w:type="dxa"/>
            <w:vAlign w:val="bottom"/>
          </w:tcPr>
          <w:p>
            <w:pPr>
              <w:ind w:left="440"/>
              <w:spacing w:after="0"/>
              <w:rPr>
                <w:sz w:val="20"/>
                <w:szCs w:val="20"/>
                <w:color w:val="auto"/>
              </w:rPr>
            </w:pPr>
            <w:r>
              <w:rPr>
                <w:rFonts w:ascii="Arial" w:cs="Arial" w:eastAsia="Arial" w:hAnsi="Arial"/>
                <w:sz w:val="12"/>
                <w:szCs w:val="12"/>
                <w:color w:val="auto"/>
              </w:rPr>
              <w:t>Compensation and related personnel expense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2"/>
        </w:trPr>
        <w:tc>
          <w:tcPr>
            <w:tcW w:w="6680" w:type="dxa"/>
            <w:vAlign w:val="bottom"/>
          </w:tcPr>
          <w:p>
            <w:pPr>
              <w:ind w:left="440"/>
              <w:spacing w:after="0"/>
              <w:rPr>
                <w:sz w:val="20"/>
                <w:szCs w:val="20"/>
                <w:color w:val="auto"/>
              </w:rPr>
            </w:pPr>
            <w:r>
              <w:rPr>
                <w:rFonts w:ascii="Arial" w:cs="Arial" w:eastAsia="Arial" w:hAnsi="Arial"/>
                <w:sz w:val="12"/>
                <w:szCs w:val="12"/>
                <w:color w:val="auto"/>
              </w:rPr>
              <w:t>(including share-based compensation)</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111.4</w:t>
            </w:r>
          </w:p>
        </w:tc>
      </w:tr>
      <w:tr>
        <w:trPr>
          <w:trHeight w:val="174"/>
        </w:trPr>
        <w:tc>
          <w:tcPr>
            <w:tcW w:w="66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Other research and development expense</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21.0</w:t>
            </w:r>
          </w:p>
        </w:tc>
      </w:tr>
      <w:tr>
        <w:trPr>
          <w:trHeight w:val="160"/>
        </w:trPr>
        <w:tc>
          <w:tcPr>
            <w:tcW w:w="6680" w:type="dxa"/>
            <w:vAlign w:val="bottom"/>
          </w:tcPr>
          <w:p>
            <w:pPr>
              <w:ind w:left="580"/>
              <w:spacing w:after="0"/>
              <w:rPr>
                <w:sz w:val="20"/>
                <w:szCs w:val="20"/>
                <w:color w:val="auto"/>
              </w:rPr>
            </w:pPr>
            <w:r>
              <w:rPr>
                <w:rFonts w:ascii="Arial" w:cs="Arial" w:eastAsia="Arial" w:hAnsi="Arial"/>
                <w:sz w:val="12"/>
                <w:szCs w:val="12"/>
                <w:b w:val="1"/>
                <w:bCs w:val="1"/>
                <w:color w:val="auto"/>
              </w:rPr>
              <w:t>Total research and development expense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379.7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315.0</w:t>
            </w:r>
          </w:p>
        </w:tc>
      </w:tr>
      <w:tr>
        <w:trPr>
          <w:trHeight w:val="171"/>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General and administrative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79.6</w:t>
            </w:r>
          </w:p>
        </w:tc>
      </w:tr>
      <w:tr>
        <w:trPr>
          <w:trHeight w:val="171"/>
        </w:trPr>
        <w:tc>
          <w:tcPr>
            <w:tcW w:w="6680" w:type="dxa"/>
            <w:vAlign w:val="bottom"/>
          </w:tcPr>
          <w:p>
            <w:pPr>
              <w:ind w:left="160"/>
              <w:spacing w:after="0"/>
              <w:rPr>
                <w:sz w:val="20"/>
                <w:szCs w:val="20"/>
                <w:color w:val="auto"/>
              </w:rPr>
            </w:pPr>
            <w:r>
              <w:rPr>
                <w:rFonts w:ascii="Arial" w:cs="Arial" w:eastAsia="Arial" w:hAnsi="Arial"/>
                <w:sz w:val="12"/>
                <w:szCs w:val="12"/>
                <w:b w:val="1"/>
                <w:bCs w:val="1"/>
                <w:color w:val="auto"/>
              </w:rPr>
              <w:t>Other segment expense, net (**)</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172"/>
        </w:trPr>
        <w:tc>
          <w:tcPr>
            <w:tcW w:w="66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Income tax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w:t>
            </w:r>
          </w:p>
        </w:tc>
      </w:tr>
      <w:tr>
        <w:trPr>
          <w:trHeight w:val="170"/>
        </w:trPr>
        <w:tc>
          <w:tcPr>
            <w:tcW w:w="6680" w:type="dxa"/>
            <w:vAlign w:val="bottom"/>
          </w:tcPr>
          <w:p>
            <w:pPr>
              <w:ind w:left="160"/>
              <w:spacing w:after="0"/>
              <w:rPr>
                <w:sz w:val="20"/>
                <w:szCs w:val="20"/>
                <w:color w:val="auto"/>
              </w:rPr>
            </w:pPr>
            <w:r>
              <w:rPr>
                <w:rFonts w:ascii="Arial" w:cs="Arial" w:eastAsia="Arial" w:hAnsi="Arial"/>
                <w:sz w:val="12"/>
                <w:szCs w:val="12"/>
                <w:b w:val="1"/>
                <w:bCs w:val="1"/>
                <w:color w:val="auto"/>
              </w:rPr>
              <w:t>Loss from equity method investment</w:t>
            </w:r>
          </w:p>
        </w:tc>
        <w:tc>
          <w:tcPr>
            <w:tcW w:w="3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10.6</w:t>
            </w:r>
          </w:p>
        </w:tc>
      </w:tr>
      <w:tr>
        <w:trPr>
          <w:trHeight w:val="172"/>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Plus: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6680" w:type="dxa"/>
            <w:vAlign w:val="bottom"/>
            <w:tcBorders>
              <w:bottom w:val="single" w:sz="8" w:color="CCEEFF"/>
            </w:tcBorders>
          </w:tcPr>
          <w:p>
            <w:pPr>
              <w:ind w:left="160"/>
              <w:spacing w:after="0"/>
              <w:rPr>
                <w:sz w:val="20"/>
                <w:szCs w:val="20"/>
                <w:color w:val="auto"/>
              </w:rPr>
            </w:pPr>
            <w:r>
              <w:rPr>
                <w:rFonts w:ascii="Arial" w:cs="Arial" w:eastAsia="Arial" w:hAnsi="Arial"/>
                <w:sz w:val="12"/>
                <w:szCs w:val="12"/>
                <w:b w:val="1"/>
                <w:bCs w:val="1"/>
                <w:color w:val="auto"/>
              </w:rPr>
              <w:t>Interest income,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12.0</w:t>
            </w:r>
          </w:p>
        </w:tc>
      </w:tr>
      <w:tr>
        <w:trPr>
          <w:trHeight w:val="17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Segment net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(282.5)</w:t>
            </w:r>
          </w:p>
        </w:tc>
      </w:tr>
    </w:tbl>
    <w:p>
      <w:pPr>
        <w:spacing w:after="0" w:line="122" w:lineRule="exact"/>
        <w:rPr>
          <w:sz w:val="20"/>
          <w:szCs w:val="20"/>
          <w:color w:val="auto"/>
        </w:rPr>
      </w:pPr>
    </w:p>
    <w:p>
      <w:pPr>
        <w:ind w:left="208" w:right="20" w:hanging="208"/>
        <w:spacing w:after="0" w:line="286" w:lineRule="auto"/>
        <w:tabs>
          <w:tab w:leader="none" w:pos="252"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net reimbursement to and from Pfizer pursuant to the Vepdegestrant (ARV-471) Collaboration Agreement which are accounted for pursuant to ASC 808 and are recorded as an offset or an increase to research and development expenses.</w:t>
      </w:r>
    </w:p>
    <w:p>
      <w:pPr>
        <w:spacing w:after="0" w:line="31" w:lineRule="exact"/>
        <w:rPr>
          <w:sz w:val="20"/>
          <w:szCs w:val="20"/>
          <w:color w:val="auto"/>
        </w:rPr>
      </w:pPr>
    </w:p>
    <w:p>
      <w:pPr>
        <w:ind w:left="428" w:right="1640" w:hanging="428"/>
        <w:spacing w:after="0" w:line="536" w:lineRule="auto"/>
        <w:tabs>
          <w:tab w:leader="none" w:pos="303"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Includes loss on disposal of fixed assets, realized gains/ losses on sale of marketable securities and refundable research and development credits from the State of Connecticut. Depreciation expense totaled $4.6 million, $4.8 million, and $6.3 million for the years ended December 31, 2024, 2023 and 2022, respectively.</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- 29</w:t>
      </w:r>
    </w:p>
    <w:p>
      <w:pPr>
        <w:sectPr>
          <w:pgSz w:w="11900" w:h="16838" w:orient="portrait"/>
          <w:cols w:equalWidth="0" w:num="1">
            <w:col w:w="11308"/>
          </w:cols>
          <w:pgMar w:left="292" w:top="811" w:right="299" w:bottom="1440"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9">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0">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4">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5">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7">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8">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1">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1">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2">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3">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4">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5">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6">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7">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8">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0">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1">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2">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3">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4">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5">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6">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7">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580" w:type="dxa"/>
            <w:vAlign w:val="bottom"/>
          </w:tcPr>
          <w:p>
            <w:pPr>
              <w:spacing w:after="0"/>
              <w:rPr>
                <w:sz w:val="13"/>
                <w:szCs w:val="13"/>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r>
      <w:tr>
        <w:trPr>
          <w:trHeight w:val="340"/>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Arvinas Operations, Inc.</w:t>
            </w: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Arvinas Androgen Receptor, Inc.</w:t>
            </w: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Arvinas Estrogen Receptor, Inc.</w:t>
            </w: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8"/>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Arvinas Winchester, Inc.</w:t>
            </w: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300"/>
          </w:cols>
          <w:pgMar w:left="300" w:top="974" w:right="299" w:bottom="1440" w:gutter="0" w:footer="0" w:header="0"/>
        </w:sectPr>
      </w:pPr>
    </w:p>
    <w:bookmarkStart w:id="250" w:name="page251"/>
    <w:bookmarkEnd w:id="250"/>
    <w:p>
      <w:pPr>
        <w:jc w:val="right"/>
        <w:spacing w:after="0"/>
        <w:rPr>
          <w:sz w:val="20"/>
          <w:szCs w:val="20"/>
          <w:color w:val="auto"/>
        </w:rPr>
      </w:pPr>
      <w:r>
        <w:rPr>
          <w:rFonts w:ascii="Calibri" w:cs="Calibri" w:eastAsia="Calibri" w:hAnsi="Calibri"/>
          <w:sz w:val="13"/>
          <w:szCs w:val="13"/>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5"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333-234031, 333-234035, 333-251326, 333-275377 and 333-275945 on Form S-3 and Registration Statement Nos. 333-227555, 333-231388, 333-237215, 333-253721, 333-263095, 333-270010,333-276519, 333-278044 and 333-280537 on Form S-8 of our reports dated February 11, 2025, relating to the consolidated financial statements of Arvinas, Inc. and subsidiaries (the “Company”) and the effectiveness of the Company’s internal control over financial reporting appearing in this Annual Report on Form 10-K for the year ended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11, 2025</w:t>
      </w:r>
    </w:p>
    <w:p>
      <w:pPr>
        <w:sectPr>
          <w:pgSz w:w="11900" w:h="16838" w:orient="portrait"/>
          <w:cols w:equalWidth="0" w:num="1">
            <w:col w:w="11300"/>
          </w:cols>
          <w:pgMar w:left="300" w:top="103" w:right="299" w:bottom="1440" w:gutter="0" w:footer="0" w:header="0"/>
        </w:sectPr>
      </w:pPr>
    </w:p>
    <w:bookmarkStart w:id="251" w:name="page252"/>
    <w:bookmarkEnd w:id="251"/>
    <w:p>
      <w:pPr>
        <w:jc w:val="right"/>
        <w:spacing w:after="0"/>
        <w:rPr>
          <w:sz w:val="20"/>
          <w:szCs w:val="20"/>
          <w:color w:val="auto"/>
        </w:rPr>
      </w:pPr>
      <w:r>
        <w:rPr>
          <w:rFonts w:ascii="Arial" w:cs="Arial" w:eastAsia="Arial" w:hAnsi="Arial"/>
          <w:sz w:val="12"/>
          <w:szCs w:val="12"/>
          <w:b w:val="1"/>
          <w:bCs w:val="1"/>
          <w:color w:val="auto"/>
        </w:rPr>
        <w:t>Exhibit 31.1</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John Houston, Ph.D., certify that:</w:t>
      </w:r>
    </w:p>
    <w:p>
      <w:pPr>
        <w:spacing w:after="0" w:line="150" w:lineRule="exact"/>
        <w:rPr>
          <w:sz w:val="20"/>
          <w:szCs w:val="20"/>
          <w:color w:val="auto"/>
        </w:rPr>
      </w:pPr>
    </w:p>
    <w:p>
      <w:pPr>
        <w:ind w:left="428" w:hanging="428"/>
        <w:spacing w:after="0"/>
        <w:tabs>
          <w:tab w:leader="none" w:pos="428" w:val="left"/>
        </w:tabs>
        <w:numPr>
          <w:ilvl w:val="0"/>
          <w:numId w:val="9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Arvinas, Inc.;</w:t>
      </w:r>
    </w:p>
    <w:p>
      <w:pPr>
        <w:spacing w:after="0" w:line="150"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2"/>
          <w:szCs w:val="12"/>
          <w:color w:val="auto"/>
        </w:rPr>
      </w:pPr>
    </w:p>
    <w:p>
      <w:pPr>
        <w:ind w:left="868" w:right="340" w:hanging="436"/>
        <w:spacing w:after="0" w:line="286" w:lineRule="auto"/>
        <w:tabs>
          <w:tab w:leader="none" w:pos="862" w:val="left"/>
        </w:tabs>
        <w:numPr>
          <w:ilvl w:val="1"/>
          <w:numId w:val="9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2"/>
          <w:szCs w:val="12"/>
          <w:color w:val="auto"/>
        </w:rPr>
      </w:pPr>
    </w:p>
    <w:p>
      <w:pPr>
        <w:ind w:left="868" w:right="80" w:hanging="436"/>
        <w:spacing w:after="0" w:line="286" w:lineRule="auto"/>
        <w:tabs>
          <w:tab w:leader="none" w:pos="862" w:val="left"/>
        </w:tabs>
        <w:numPr>
          <w:ilvl w:val="1"/>
          <w:numId w:val="9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2"/>
          <w:szCs w:val="12"/>
          <w:color w:val="auto"/>
        </w:rPr>
      </w:pPr>
    </w:p>
    <w:p>
      <w:pPr>
        <w:ind w:left="868" w:right="100" w:hanging="436"/>
        <w:spacing w:after="0" w:line="286" w:lineRule="auto"/>
        <w:tabs>
          <w:tab w:leader="none" w:pos="864" w:val="left"/>
        </w:tabs>
        <w:numPr>
          <w:ilvl w:val="1"/>
          <w:numId w:val="9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2"/>
          <w:szCs w:val="12"/>
          <w:color w:val="auto"/>
        </w:rPr>
      </w:pPr>
    </w:p>
    <w:p>
      <w:pPr>
        <w:ind w:left="868" w:right="40" w:hanging="436"/>
        <w:spacing w:after="0" w:line="286" w:lineRule="auto"/>
        <w:tabs>
          <w:tab w:leader="none" w:pos="862" w:val="left"/>
        </w:tabs>
        <w:numPr>
          <w:ilvl w:val="1"/>
          <w:numId w:val="9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2"/>
          <w:szCs w:val="12"/>
          <w:color w:val="auto"/>
        </w:rPr>
      </w:pPr>
    </w:p>
    <w:p>
      <w:pPr>
        <w:ind w:left="868" w:right="360" w:hanging="436"/>
        <w:spacing w:after="0" w:line="286" w:lineRule="auto"/>
        <w:tabs>
          <w:tab w:leader="none" w:pos="862" w:val="left"/>
        </w:tabs>
        <w:numPr>
          <w:ilvl w:val="1"/>
          <w:numId w:val="9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2"/>
          <w:szCs w:val="12"/>
          <w:color w:val="auto"/>
        </w:rPr>
      </w:pPr>
    </w:p>
    <w:p>
      <w:pPr>
        <w:ind w:left="848" w:hanging="416"/>
        <w:spacing w:after="0"/>
        <w:tabs>
          <w:tab w:leader="none" w:pos="848" w:val="left"/>
        </w:tabs>
        <w:numPr>
          <w:ilvl w:val="1"/>
          <w:numId w:val="9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
        <w:spacing w:after="0"/>
        <w:tabs>
          <w:tab w:leader="none" w:pos="5408" w:val="left"/>
          <w:tab w:leader="none" w:pos="7948" w:val="left"/>
        </w:tabs>
        <w:rPr>
          <w:sz w:val="20"/>
          <w:szCs w:val="20"/>
          <w:color w:val="auto"/>
        </w:rPr>
      </w:pPr>
      <w:r>
        <w:rPr>
          <w:rFonts w:ascii="Arial" w:cs="Arial" w:eastAsia="Arial" w:hAnsi="Arial"/>
          <w:sz w:val="12"/>
          <w:szCs w:val="12"/>
          <w:color w:val="auto"/>
        </w:rPr>
        <w:t>Date: February 11,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John Houston,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23495</wp:posOffset>
            </wp:positionV>
            <wp:extent cx="34290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1">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31" w:lineRule="exact"/>
        <w:rPr>
          <w:sz w:val="20"/>
          <w:szCs w:val="20"/>
          <w:color w:val="auto"/>
        </w:rPr>
      </w:pPr>
    </w:p>
    <w:p>
      <w:pPr>
        <w:ind w:left="8008"/>
        <w:spacing w:after="0"/>
        <w:rPr>
          <w:sz w:val="20"/>
          <w:szCs w:val="20"/>
          <w:color w:val="auto"/>
        </w:rPr>
      </w:pPr>
      <w:r>
        <w:rPr>
          <w:rFonts w:ascii="Arial" w:cs="Arial" w:eastAsia="Arial" w:hAnsi="Arial"/>
          <w:sz w:val="12"/>
          <w:szCs w:val="12"/>
          <w:b w:val="1"/>
          <w:bCs w:val="1"/>
          <w:color w:val="auto"/>
        </w:rPr>
        <w:t>John Houston, Ph.D.</w:t>
      </w:r>
    </w:p>
    <w:p>
      <w:pPr>
        <w:spacing w:after="0" w:line="33" w:lineRule="exact"/>
        <w:rPr>
          <w:sz w:val="20"/>
          <w:szCs w:val="20"/>
          <w:color w:val="auto"/>
        </w:rPr>
      </w:pPr>
    </w:p>
    <w:p>
      <w:pPr>
        <w:ind w:left="7528"/>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18" w:lineRule="exact"/>
        <w:rPr>
          <w:sz w:val="20"/>
          <w:szCs w:val="20"/>
          <w:color w:val="auto"/>
        </w:rPr>
      </w:pPr>
    </w:p>
    <w:p>
      <w:pPr>
        <w:ind w:left="7808"/>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11308"/>
          </w:cols>
          <w:pgMar w:left="292" w:top="667" w:right="2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Andrew Saik, certify that:</w:t>
      </w:r>
    </w:p>
    <w:p>
      <w:pPr>
        <w:spacing w:after="0" w:line="150" w:lineRule="exact"/>
        <w:rPr>
          <w:sz w:val="20"/>
          <w:szCs w:val="20"/>
          <w:color w:val="auto"/>
        </w:rPr>
      </w:pPr>
    </w:p>
    <w:p>
      <w:pPr>
        <w:ind w:left="428" w:hanging="428"/>
        <w:spacing w:after="0"/>
        <w:tabs>
          <w:tab w:leader="none" w:pos="428" w:val="left"/>
        </w:tabs>
        <w:numPr>
          <w:ilvl w:val="0"/>
          <w:numId w:val="9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Arvinas, Inc.;</w:t>
      </w:r>
    </w:p>
    <w:p>
      <w:pPr>
        <w:spacing w:after="0" w:line="150"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2"/>
          <w:szCs w:val="12"/>
          <w:color w:val="auto"/>
        </w:rPr>
      </w:pPr>
    </w:p>
    <w:p>
      <w:pPr>
        <w:ind w:left="868" w:right="340" w:hanging="436"/>
        <w:spacing w:after="0" w:line="286" w:lineRule="auto"/>
        <w:tabs>
          <w:tab w:leader="none" w:pos="862" w:val="left"/>
        </w:tabs>
        <w:numPr>
          <w:ilvl w:val="1"/>
          <w:numId w:val="9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2"/>
          <w:szCs w:val="12"/>
          <w:color w:val="auto"/>
        </w:rPr>
      </w:pPr>
    </w:p>
    <w:p>
      <w:pPr>
        <w:ind w:left="868" w:right="80" w:hanging="436"/>
        <w:spacing w:after="0" w:line="286" w:lineRule="auto"/>
        <w:tabs>
          <w:tab w:leader="none" w:pos="862" w:val="left"/>
        </w:tabs>
        <w:numPr>
          <w:ilvl w:val="1"/>
          <w:numId w:val="9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2"/>
          <w:szCs w:val="12"/>
          <w:color w:val="auto"/>
        </w:rPr>
      </w:pPr>
    </w:p>
    <w:p>
      <w:pPr>
        <w:ind w:left="868" w:right="100" w:hanging="436"/>
        <w:spacing w:after="0" w:line="286" w:lineRule="auto"/>
        <w:tabs>
          <w:tab w:leader="none" w:pos="864" w:val="left"/>
        </w:tabs>
        <w:numPr>
          <w:ilvl w:val="1"/>
          <w:numId w:val="9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2"/>
          <w:szCs w:val="12"/>
          <w:color w:val="auto"/>
        </w:rPr>
      </w:pPr>
    </w:p>
    <w:p>
      <w:pPr>
        <w:ind w:left="868" w:right="40" w:hanging="436"/>
        <w:spacing w:after="0" w:line="286" w:lineRule="auto"/>
        <w:tabs>
          <w:tab w:leader="none" w:pos="862" w:val="left"/>
        </w:tabs>
        <w:numPr>
          <w:ilvl w:val="1"/>
          <w:numId w:val="9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2"/>
          <w:szCs w:val="12"/>
          <w:color w:val="auto"/>
        </w:rPr>
      </w:pPr>
    </w:p>
    <w:p>
      <w:pPr>
        <w:ind w:left="868" w:right="360" w:hanging="436"/>
        <w:spacing w:after="0" w:line="286" w:lineRule="auto"/>
        <w:tabs>
          <w:tab w:leader="none" w:pos="862" w:val="left"/>
        </w:tabs>
        <w:numPr>
          <w:ilvl w:val="1"/>
          <w:numId w:val="9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2"/>
          <w:szCs w:val="12"/>
          <w:color w:val="auto"/>
        </w:rPr>
      </w:pPr>
    </w:p>
    <w:p>
      <w:pPr>
        <w:ind w:left="848" w:hanging="416"/>
        <w:spacing w:after="0"/>
        <w:tabs>
          <w:tab w:leader="none" w:pos="848" w:val="left"/>
        </w:tabs>
        <w:numPr>
          <w:ilvl w:val="1"/>
          <w:numId w:val="9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
        <w:spacing w:after="0"/>
        <w:tabs>
          <w:tab w:leader="none" w:pos="5408" w:val="left"/>
          <w:tab w:leader="none" w:pos="8168" w:val="left"/>
        </w:tabs>
        <w:rPr>
          <w:sz w:val="20"/>
          <w:szCs w:val="20"/>
          <w:color w:val="auto"/>
        </w:rPr>
      </w:pPr>
      <w:r>
        <w:rPr>
          <w:rFonts w:ascii="Arial" w:cs="Arial" w:eastAsia="Arial" w:hAnsi="Arial"/>
          <w:sz w:val="12"/>
          <w:szCs w:val="12"/>
          <w:color w:val="auto"/>
        </w:rPr>
        <w:t>Date: February 11,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23495</wp:posOffset>
            </wp:positionV>
            <wp:extent cx="34290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2">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31" w:lineRule="exact"/>
        <w:rPr>
          <w:sz w:val="20"/>
          <w:szCs w:val="20"/>
          <w:color w:val="auto"/>
        </w:rPr>
      </w:pPr>
    </w:p>
    <w:p>
      <w:pPr>
        <w:ind w:left="8248"/>
        <w:spacing w:after="0"/>
        <w:rPr>
          <w:sz w:val="20"/>
          <w:szCs w:val="20"/>
          <w:color w:val="auto"/>
        </w:rPr>
      </w:pPr>
      <w:r>
        <w:rPr>
          <w:rFonts w:ascii="Arial" w:cs="Arial" w:eastAsia="Arial" w:hAnsi="Arial"/>
          <w:sz w:val="12"/>
          <w:szCs w:val="12"/>
          <w:b w:val="1"/>
          <w:bCs w:val="1"/>
          <w:color w:val="auto"/>
        </w:rPr>
        <w:t>Andrew Saik</w:t>
      </w:r>
    </w:p>
    <w:p>
      <w:pPr>
        <w:spacing w:after="0" w:line="33" w:lineRule="exact"/>
        <w:rPr>
          <w:sz w:val="20"/>
          <w:szCs w:val="20"/>
          <w:color w:val="auto"/>
        </w:rPr>
      </w:pPr>
    </w:p>
    <w:p>
      <w:pPr>
        <w:ind w:left="7548"/>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8" w:lineRule="exact"/>
        <w:rPr>
          <w:sz w:val="20"/>
          <w:szCs w:val="20"/>
          <w:color w:val="auto"/>
        </w:rPr>
      </w:pPr>
    </w:p>
    <w:p>
      <w:pPr>
        <w:ind w:left="7828"/>
        <w:spacing w:after="0"/>
        <w:rPr>
          <w:sz w:val="20"/>
          <w:szCs w:val="20"/>
          <w:color w:val="auto"/>
        </w:rPr>
      </w:pPr>
      <w:r>
        <w:rPr>
          <w:rFonts w:ascii="Arial" w:cs="Arial" w:eastAsia="Arial" w:hAnsi="Arial"/>
          <w:sz w:val="12"/>
          <w:szCs w:val="12"/>
          <w:b w:val="1"/>
          <w:bCs w:val="1"/>
          <w:color w:val="auto"/>
        </w:rPr>
        <w:t>(Principal Financial Officer)</w:t>
      </w:r>
    </w:p>
    <w:p>
      <w:pPr>
        <w:sectPr>
          <w:pgSz w:w="11900" w:h="16838" w:orient="portrait"/>
          <w:cols w:equalWidth="0" w:num="1">
            <w:col w:w="11308"/>
          </w:cols>
          <w:pgMar w:left="292" w:top="811" w:right="299" w:bottom="1440" w:gutter="0" w:footer="0" w:header="0"/>
        </w:sectPr>
      </w:pPr>
    </w:p>
    <w:bookmarkStart w:id="253" w:name="page254"/>
    <w:bookmarkEnd w:id="25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38"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In connection with the Annual Report of Arvinas,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03" w:lineRule="exact"/>
        <w:rPr>
          <w:sz w:val="20"/>
          <w:szCs w:val="20"/>
          <w:color w:val="auto"/>
        </w:rPr>
      </w:pPr>
    </w:p>
    <w:p>
      <w:pPr>
        <w:ind w:left="840" w:hanging="416"/>
        <w:spacing w:after="0"/>
        <w:tabs>
          <w:tab w:leader="none" w:pos="8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186" w:lineRule="exact"/>
        <w:rPr>
          <w:sz w:val="20"/>
          <w:szCs w:val="20"/>
          <w:color w:val="auto"/>
        </w:rPr>
      </w:pPr>
    </w:p>
    <w:p>
      <w:pPr>
        <w:spacing w:after="0"/>
        <w:tabs>
          <w:tab w:leader="none" w:pos="5400" w:val="left"/>
          <w:tab w:leader="none" w:pos="7940" w:val="left"/>
        </w:tabs>
        <w:rPr>
          <w:sz w:val="20"/>
          <w:szCs w:val="20"/>
          <w:color w:val="auto"/>
        </w:rPr>
      </w:pPr>
      <w:r>
        <w:rPr>
          <w:rFonts w:ascii="Arial" w:cs="Arial" w:eastAsia="Arial" w:hAnsi="Arial"/>
          <w:sz w:val="12"/>
          <w:szCs w:val="12"/>
          <w:color w:val="auto"/>
        </w:rPr>
        <w:t>Date: February 11,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John Houston,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4290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3">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31"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John Houston, Ph.D.</w:t>
      </w:r>
    </w:p>
    <w:p>
      <w:pPr>
        <w:spacing w:after="0" w:line="33" w:lineRule="exact"/>
        <w:rPr>
          <w:sz w:val="20"/>
          <w:szCs w:val="20"/>
          <w:color w:val="auto"/>
        </w:rPr>
      </w:pPr>
    </w:p>
    <w:p>
      <w:pPr>
        <w:ind w:left="752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18" w:lineRule="exact"/>
        <w:rPr>
          <w:sz w:val="20"/>
          <w:szCs w:val="20"/>
          <w:color w:val="auto"/>
        </w:rPr>
      </w:pPr>
    </w:p>
    <w:p>
      <w:pPr>
        <w:ind w:left="780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11300"/>
          </w:cols>
          <w:pgMar w:left="300" w:top="811" w:right="2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2"/>
          <w:szCs w:val="12"/>
          <w:b w:val="1"/>
          <w:bCs w:val="1"/>
          <w:color w:val="auto"/>
        </w:rPr>
        <w:t>Exhibit 32.2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38"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In connection with the Annual Report of Arvinas,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03" w:lineRule="exact"/>
        <w:rPr>
          <w:sz w:val="20"/>
          <w:szCs w:val="20"/>
          <w:color w:val="auto"/>
        </w:rPr>
      </w:pPr>
    </w:p>
    <w:p>
      <w:pPr>
        <w:ind w:left="840" w:hanging="416"/>
        <w:spacing w:after="0"/>
        <w:tabs>
          <w:tab w:leader="none" w:pos="8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186" w:lineRule="exact"/>
        <w:rPr>
          <w:sz w:val="20"/>
          <w:szCs w:val="20"/>
          <w:color w:val="auto"/>
        </w:rPr>
      </w:pPr>
    </w:p>
    <w:p>
      <w:pPr>
        <w:spacing w:after="0"/>
        <w:tabs>
          <w:tab w:leader="none" w:pos="5400" w:val="left"/>
          <w:tab w:leader="none" w:pos="8160" w:val="left"/>
        </w:tabs>
        <w:rPr>
          <w:sz w:val="20"/>
          <w:szCs w:val="20"/>
          <w:color w:val="auto"/>
        </w:rPr>
      </w:pPr>
      <w:r>
        <w:rPr>
          <w:rFonts w:ascii="Arial" w:cs="Arial" w:eastAsia="Arial" w:hAnsi="Arial"/>
          <w:sz w:val="12"/>
          <w:szCs w:val="12"/>
          <w:color w:val="auto"/>
        </w:rPr>
        <w:t>Date: February 11,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42900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4">
                      <a:extLst>
                        <a:ext uri="{28A0092B-C50C-407E-A947-70E740481C1C}"/>
                      </a:extLst>
                    </a:blip>
                    <a:srcRect/>
                    <a:stretch>
                      <a:fillRect/>
                    </a:stretch>
                  </pic:blipFill>
                  <pic:spPr bwMode="auto">
                    <a:xfrm>
                      <a:off x="0" y="0"/>
                      <a:ext cx="3429000" cy="5715"/>
                    </a:xfrm>
                    <a:prstGeom prst="rect">
                      <a:avLst/>
                    </a:prstGeom>
                    <a:noFill/>
                  </pic:spPr>
                </pic:pic>
              </a:graphicData>
            </a:graphic>
          </wp:anchor>
        </w:drawing>
      </w:r>
    </w:p>
    <w:p>
      <w:pPr>
        <w:spacing w:after="0" w:line="31" w:lineRule="exact"/>
        <w:rPr>
          <w:sz w:val="20"/>
          <w:szCs w:val="20"/>
          <w:color w:val="auto"/>
        </w:rPr>
      </w:pPr>
    </w:p>
    <w:p>
      <w:pPr>
        <w:ind w:left="8240"/>
        <w:spacing w:after="0"/>
        <w:rPr>
          <w:sz w:val="20"/>
          <w:szCs w:val="20"/>
          <w:color w:val="auto"/>
        </w:rPr>
      </w:pPr>
      <w:r>
        <w:rPr>
          <w:rFonts w:ascii="Arial" w:cs="Arial" w:eastAsia="Arial" w:hAnsi="Arial"/>
          <w:sz w:val="12"/>
          <w:szCs w:val="12"/>
          <w:b w:val="1"/>
          <w:bCs w:val="1"/>
          <w:color w:val="auto"/>
        </w:rPr>
        <w:t>Andrew Saik</w:t>
      </w:r>
    </w:p>
    <w:p>
      <w:pPr>
        <w:spacing w:after="0" w:line="33"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8"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auto"/>
        </w:rPr>
        <w:t>(Principal Financial Officer)</w:t>
      </w:r>
    </w:p>
    <w:sectPr>
      <w:pgSz w:w="11900" w:h="16838" w:orient="portrait"/>
      <w:cols w:equalWidth="0" w:num="1">
        <w:col w:w="11300"/>
      </w:cols>
      <w:pgMar w:left="300" w:top="8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lvl w:ilvl="1">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2"/>
    </w:lvl>
  </w:abstractNum>
  <w:abstractNum w:abstractNumId="84">
    <w:nsid w:val="39EE015C"/>
    <w:multiLevelType w:val="hybridMultilevel"/>
    <w:lvl w:ilvl="0">
      <w:lvlJc w:val="left"/>
      <w:lvlText w:val="(%1)"/>
      <w:numFmt w:val="decimal"/>
      <w:start w:val="2"/>
    </w:lvl>
  </w:abstractNum>
  <w:abstractNum w:abstractNumId="85">
    <w:nsid w:val="57FC4FBB"/>
    <w:multiLevelType w:val="hybridMultilevel"/>
    <w:lvl w:ilvl="0">
      <w:lvlJc w:val="left"/>
      <w:lvlText w:val="*"/>
      <w:numFmt w:val="bullet"/>
      <w:start w:val="1"/>
    </w:lvl>
    <w:lvl w:ilvl="1">
      <w:lvlJc w:val="left"/>
      <w:lvlText w:val="%2"/>
      <w:numFmt w:val="decimal"/>
      <w:start w:val="104"/>
    </w:lvl>
  </w:abstractNum>
  <w:abstractNum w:abstractNumId="86">
    <w:nsid w:val="CC1016F"/>
    <w:multiLevelType w:val="hybridMultilevel"/>
    <w:lvl w:ilvl="0">
      <w:lvlJc w:val="left"/>
      <w:lvlText w:val="**"/>
      <w:numFmt w:val="bullet"/>
      <w:start w:val="1"/>
    </w:lvl>
    <w:lvl w:ilvl="1">
      <w:lvlJc w:val="left"/>
      <w:lvlText w:val="%2"/>
      <w:numFmt w:val="decimal"/>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lvl w:ilvl="1">
      <w:lvlJc w:val="left"/>
      <w:lvlText w:val="◦"/>
      <w:numFmt w:val="bullet"/>
      <w:start w:val="1"/>
    </w:lvl>
  </w:abstractNum>
  <w:abstractNum w:abstractNumId="89">
    <w:nsid w:val="26F324BA"/>
    <w:multiLevelType w:val="hybridMultilevel"/>
    <w:lvl w:ilvl="0">
      <w:lvlJc w:val="left"/>
      <w:lvlText w:val="%1."/>
      <w:numFmt w:val="decimal"/>
      <w:start w:val="3"/>
    </w:lvl>
  </w:abstractNum>
  <w:abstractNum w:abstractNumId="90">
    <w:nsid w:val="7F01579B"/>
    <w:multiLevelType w:val="hybridMultilevel"/>
    <w:lvl w:ilvl="0">
      <w:lvlJc w:val="left"/>
      <w:lvlText w:val="%1."/>
      <w:numFmt w:val="decimal"/>
      <w:start w:val="9"/>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3" Type="http://schemas.openxmlformats.org/officeDocument/2006/relationships/image" Target="media/image171.png"/><Relationship Id="rId185" Type="http://schemas.openxmlformats.org/officeDocument/2006/relationships/image" Target="media/image172.png"/><Relationship Id="rId200"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22" Type="http://schemas.openxmlformats.org/officeDocument/2006/relationships/image" Target="media/image179.png"/><Relationship Id="rId225" Type="http://schemas.openxmlformats.org/officeDocument/2006/relationships/image" Target="media/image180.png"/><Relationship Id="rId232"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pn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300" Type="http://schemas.openxmlformats.org/officeDocument/2006/relationships/image" Target="media/image235.png"/><Relationship Id="rId301" Type="http://schemas.openxmlformats.org/officeDocument/2006/relationships/image" Target="media/image236.png"/><Relationship Id="rId302"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305" Type="http://schemas.openxmlformats.org/officeDocument/2006/relationships/image" Target="media/image240.png"/><Relationship Id="rId306" Type="http://schemas.openxmlformats.org/officeDocument/2006/relationships/image" Target="media/image241.png"/><Relationship Id="rId307" Type="http://schemas.openxmlformats.org/officeDocument/2006/relationships/image" Target="media/image242.png"/><Relationship Id="rId308" Type="http://schemas.openxmlformats.org/officeDocument/2006/relationships/image" Target="media/image243.png"/><Relationship Id="rId309" Type="http://schemas.openxmlformats.org/officeDocument/2006/relationships/image" Target="media/image244.png"/><Relationship Id="rId310" Type="http://schemas.openxmlformats.org/officeDocument/2006/relationships/image" Target="media/image245.png"/><Relationship Id="rId311" Type="http://schemas.openxmlformats.org/officeDocument/2006/relationships/image" Target="media/image246.png"/><Relationship Id="rId312" Type="http://schemas.openxmlformats.org/officeDocument/2006/relationships/image" Target="media/image247.png"/><Relationship Id="rId313" Type="http://schemas.openxmlformats.org/officeDocument/2006/relationships/image" Target="media/image248.png"/><Relationship Id="rId314" Type="http://schemas.openxmlformats.org/officeDocument/2006/relationships/image" Target="media/image249.png"/><Relationship Id="rId315" Type="http://schemas.openxmlformats.org/officeDocument/2006/relationships/image" Target="media/image250.png"/><Relationship Id="rId316" Type="http://schemas.openxmlformats.org/officeDocument/2006/relationships/image" Target="media/image251.png"/><Relationship Id="rId317" Type="http://schemas.openxmlformats.org/officeDocument/2006/relationships/image" Target="media/image252.png"/><Relationship Id="rId318" Type="http://schemas.openxmlformats.org/officeDocument/2006/relationships/image" Target="media/image253.png"/><Relationship Id="rId319" Type="http://schemas.openxmlformats.org/officeDocument/2006/relationships/image" Target="media/image254.png"/><Relationship Id="rId320" Type="http://schemas.openxmlformats.org/officeDocument/2006/relationships/image" Target="media/image255.png"/><Relationship Id="rId321" Type="http://schemas.openxmlformats.org/officeDocument/2006/relationships/image" Target="media/image256.png"/><Relationship Id="rId322" Type="http://schemas.openxmlformats.org/officeDocument/2006/relationships/image" Target="media/image257.png"/><Relationship Id="rId323" Type="http://schemas.openxmlformats.org/officeDocument/2006/relationships/image" Target="media/image258.png"/><Relationship Id="rId324" Type="http://schemas.openxmlformats.org/officeDocument/2006/relationships/image" Target="media/image259.png"/><Relationship Id="rId325" Type="http://schemas.openxmlformats.org/officeDocument/2006/relationships/image" Target="media/image260.png"/><Relationship Id="rId326" Type="http://schemas.openxmlformats.org/officeDocument/2006/relationships/image" Target="media/image261.png"/><Relationship Id="rId327" Type="http://schemas.openxmlformats.org/officeDocument/2006/relationships/image" Target="media/image262.png"/><Relationship Id="rId328" Type="http://schemas.openxmlformats.org/officeDocument/2006/relationships/image" Target="media/image263.png"/><Relationship Id="rId329" Type="http://schemas.openxmlformats.org/officeDocument/2006/relationships/image" Target="media/image264.png"/><Relationship Id="rId330" Type="http://schemas.openxmlformats.org/officeDocument/2006/relationships/image" Target="media/image265.png"/><Relationship Id="rId331" Type="http://schemas.openxmlformats.org/officeDocument/2006/relationships/image" Target="media/image266.png"/><Relationship Id="rId332" Type="http://schemas.openxmlformats.org/officeDocument/2006/relationships/image" Target="media/image267.png"/><Relationship Id="rId333" Type="http://schemas.openxmlformats.org/officeDocument/2006/relationships/image" Target="media/image268.png"/><Relationship Id="rId334" Type="http://schemas.openxmlformats.org/officeDocument/2006/relationships/image" Target="media/image269.png"/><Relationship Id="rId335" Type="http://schemas.openxmlformats.org/officeDocument/2006/relationships/image" Target="media/image270.png"/><Relationship Id="rId336" Type="http://schemas.openxmlformats.org/officeDocument/2006/relationships/image" Target="media/image271.png"/><Relationship Id="rId337" Type="http://schemas.openxmlformats.org/officeDocument/2006/relationships/image" Target="media/image272.png"/><Relationship Id="rId338" Type="http://schemas.openxmlformats.org/officeDocument/2006/relationships/image" Target="media/image273.png"/><Relationship Id="rId339" Type="http://schemas.openxmlformats.org/officeDocument/2006/relationships/image" Target="media/image274.png"/><Relationship Id="rId340" Type="http://schemas.openxmlformats.org/officeDocument/2006/relationships/image" Target="media/image275.png"/><Relationship Id="rId341" Type="http://schemas.openxmlformats.org/officeDocument/2006/relationships/image" Target="media/image276.png"/><Relationship Id="rId342" Type="http://schemas.openxmlformats.org/officeDocument/2006/relationships/image" Target="media/image277.png"/><Relationship Id="rId343" Type="http://schemas.openxmlformats.org/officeDocument/2006/relationships/image" Target="media/image278.png"/><Relationship Id="rId344" Type="http://schemas.openxmlformats.org/officeDocument/2006/relationships/image" Target="media/image279.png"/><Relationship Id="rId178" Type="http://schemas.openxmlformats.org/officeDocument/2006/relationships/hyperlink" Target="https://www.sec.gov/Archives/edgar/data/1655759/000119312518289513/d615527dex31.htm" TargetMode="External"/><Relationship Id="rId179" Type="http://schemas.openxmlformats.org/officeDocument/2006/relationships/hyperlink" Target="https://www.sec.gov/Archives/edgar/data/1655759/000165575923000073/exhibit31-secondamendeda.htm" TargetMode="External"/><Relationship Id="rId180" Type="http://schemas.openxmlformats.org/officeDocument/2006/relationships/hyperlink" Target="http://www.sec.gov/Archives/edgar/data/1655759/000119312518262944/d564688dex41.htm" TargetMode="External"/><Relationship Id="rId181" Type="http://schemas.openxmlformats.org/officeDocument/2006/relationships/hyperlink" Target="http://www.sec.gov/Archives/edgar/data/1655759/000119312518262944/d564688dex43.htm" TargetMode="External"/><Relationship Id="rId182" Type="http://schemas.openxmlformats.org/officeDocument/2006/relationships/hyperlink" Target="https://www.sec.gov/Archives/edgar/data/1655759/000119312523282934/d906900dex41.htm" TargetMode="External"/><Relationship Id="rId184" Type="http://schemas.openxmlformats.org/officeDocument/2006/relationships/hyperlink" Target="https://www.sec.gov/Archives/edgar/data/1655759/000119312523282934/d906900dex102.htm" TargetMode="External"/><Relationship Id="rId186" Type="http://schemas.openxmlformats.org/officeDocument/2006/relationships/hyperlink" Target="https://www.sec.gov/Archives/edgar/data/0001655759/000156459020011004/arvn-ex44_268.htm" TargetMode="External"/><Relationship Id="rId187" Type="http://schemas.openxmlformats.org/officeDocument/2006/relationships/hyperlink" Target="http://www.sec.gov/Archives/edgar/data/0001655759/000119312518262944/d564688dex101.htm" TargetMode="External"/><Relationship Id="rId188" Type="http://schemas.openxmlformats.org/officeDocument/2006/relationships/hyperlink" Target="http://www.sec.gov/Archives/edgar/data/0001655759/000119312518262944/d564688dex102.htm" TargetMode="External"/><Relationship Id="rId189" Type="http://schemas.openxmlformats.org/officeDocument/2006/relationships/hyperlink" Target="http://www.sec.gov/Archives/edgar/data/1655759/000119312518273347/d564688dex103.htm" TargetMode="External"/><Relationship Id="rId190" Type="http://schemas.openxmlformats.org/officeDocument/2006/relationships/hyperlink" Target="http://www.sec.gov/Archives/edgar/data/0001655759/000119312518273347/d564688dex104.htm" TargetMode="External"/><Relationship Id="rId191" Type="http://schemas.openxmlformats.org/officeDocument/2006/relationships/hyperlink" Target="http://www.sec.gov/Archives/edgar/data/0001655759/000119312518273347/d564688dex105.htm" TargetMode="External"/><Relationship Id="rId192" Type="http://schemas.openxmlformats.org/officeDocument/2006/relationships/hyperlink" Target="http://www.sec.gov/Archives/edgar/data/1655759/000156459019009357/arvn-ex106_781.htm" TargetMode="External"/><Relationship Id="rId193" Type="http://schemas.openxmlformats.org/officeDocument/2006/relationships/hyperlink" Target="http://www.sec.gov/Archives/edgar/data/0001655759/000119312518273347/d564688dex106.htm" TargetMode="External"/><Relationship Id="rId194" Type="http://schemas.openxmlformats.org/officeDocument/2006/relationships/hyperlink" Target="https://www.sec.gov/Archives/edgar/data/1655759/000165575922000016/arvinas-formofrsuagreement.htm" TargetMode="External"/><Relationship Id="rId195" Type="http://schemas.openxmlformats.org/officeDocument/2006/relationships/hyperlink" Target="https://www.sec.gov/Archives/edgar/data/1655759/000165575924000009/arvinas-optioninducement.htm" TargetMode="External"/><Relationship Id="rId196" Type="http://schemas.openxmlformats.org/officeDocument/2006/relationships/hyperlink" Target="https://www.sec.gov/Archives/edgar/data/1655759/000165575924000009/arvinas-rsuinducementgra.htm" TargetMode="External"/><Relationship Id="rId197" Type="http://schemas.openxmlformats.org/officeDocument/2006/relationships/hyperlink" Target="http://www.sec.gov/Archives/edgar/data/1655759/000119312518273347/d564688dex107.htm" TargetMode="External"/><Relationship Id="rId198" Type="http://schemas.openxmlformats.org/officeDocument/2006/relationships/hyperlink" Target="http://www.sec.gov/Archives/edgar/data/0001655759/000119312518273347/d564688dex108.htm" TargetMode="External"/><Relationship Id="rId199" Type="http://schemas.openxmlformats.org/officeDocument/2006/relationships/hyperlink" Target="http://www.sec.gov/Archives/edgar/data/0001655759/000119312518273347/d564688dex109.htm" TargetMode="External"/><Relationship Id="rId201" Type="http://schemas.openxmlformats.org/officeDocument/2006/relationships/hyperlink" Target="http://www.sec.gov/Archives/edgar/data/0001655759/000119312518273347/d564688dex1010.htm" TargetMode="External"/><Relationship Id="rId202" Type="http://schemas.openxmlformats.org/officeDocument/2006/relationships/hyperlink" Target="https://www.sec.gov/Archives/edgar/data/1655759/000165575924000060/employmentagreement-noah.htm" TargetMode="External"/><Relationship Id="rId205" Type="http://schemas.openxmlformats.org/officeDocument/2006/relationships/hyperlink" Target="https://www.sec.gov/Archives/edgar/data/1655759/000165575924000060/signedrteelpromotion_let.htm" TargetMode="External"/><Relationship Id="rId206" Type="http://schemas.openxmlformats.org/officeDocument/2006/relationships/hyperlink" Target="https://www.sec.gov/Archives/edgar/data/1655759/000165575924000118/exhibit101-saikemploymen.htm" TargetMode="External"/><Relationship Id="rId207" Type="http://schemas.openxmlformats.org/officeDocument/2006/relationships/hyperlink" Target="https://www.sec.gov/Archives/edgar/data/1655759/000165575924000118/exhibit102-cacacepromoti.htm" TargetMode="External"/><Relationship Id="rId208" Type="http://schemas.openxmlformats.org/officeDocument/2006/relationships/hyperlink" Target="http://www.sec.gov/Archives/edgar/data/1655759/000119312518273347/d564688dex1012.htm" TargetMode="External"/><Relationship Id="rId209" Type="http://schemas.openxmlformats.org/officeDocument/2006/relationships/hyperlink" Target="http://www.sec.gov/Archives/edgar/data/1655759/000119312519076853/d723460dex101.htm" TargetMode="External"/><Relationship Id="rId210" Type="http://schemas.openxmlformats.org/officeDocument/2006/relationships/hyperlink" Target="https://www.sec.gov/Archives/edgar/data/0001655759/000156459020011004/arvn-ex1014_313.htm" TargetMode="External"/><Relationship Id="rId211" Type="http://schemas.openxmlformats.org/officeDocument/2006/relationships/hyperlink" Target="https://www.sec.gov/Archives/edgar/data/1655759/000156459021009857/arvn-ex1034_590.htm" TargetMode="External"/><Relationship Id="rId212" Type="http://schemas.openxmlformats.org/officeDocument/2006/relationships/hyperlink" Target="https://www.sec.gov/Archives/edgar/data/1655759/000165575923000079/arvinassixthleaseamendme.htm" TargetMode="External"/><Relationship Id="rId213" Type="http://schemas.openxmlformats.org/officeDocument/2006/relationships/hyperlink" Target="https://www.sec.gov/Archives/edgar/data/0001655759/000156459020011004/arvn-ex1015_406.htm" TargetMode="External"/><Relationship Id="rId214" Type="http://schemas.openxmlformats.org/officeDocument/2006/relationships/hyperlink" Target="https://www.sec.gov/Archives/edgar/data/0001655759/000156459020011004/arvn-ex1016_407.htm" TargetMode="External"/><Relationship Id="rId218" Type="http://schemas.openxmlformats.org/officeDocument/2006/relationships/hyperlink" Target="https://www.sec.gov/Archives/edgar/data/1655759/000156459021009857/arvn-ex1035_591.htm" TargetMode="External"/><Relationship Id="rId219" Type="http://schemas.openxmlformats.org/officeDocument/2006/relationships/hyperlink" Target="https://www.sec.gov/Archives/edgar/data/1655759/000156459021041688/arvn-ex101_99.htm" TargetMode="External"/><Relationship Id="rId220" Type="http://schemas.openxmlformats.org/officeDocument/2006/relationships/hyperlink" Target="https://www.sec.gov/Archives/edgar/data/1655759/000165575922000054/a101collegearvinasfirstame.htm" TargetMode="External"/><Relationship Id="rId221" Type="http://schemas.openxmlformats.org/officeDocument/2006/relationships/hyperlink" Target="https://www.sec.gov/Archives/edgar/data/1655759/000165575924000060/a101collegestamendment2-.htm" TargetMode="External"/><Relationship Id="rId223" Type="http://schemas.openxmlformats.org/officeDocument/2006/relationships/hyperlink" Target="https://www.sec.gov/Archives/edgar/data/1655759/000165575924000131/exhibit101-terminationof.htm" TargetMode="External"/><Relationship Id="rId224" Type="http://schemas.openxmlformats.org/officeDocument/2006/relationships/hyperlink" Target="https://www.sec.gov/Archives/edgar/data/1655759/000165575924000118/exhibit106-amendedyaleag.htm" TargetMode="External"/><Relationship Id="rId226" Type="http://schemas.openxmlformats.org/officeDocument/2006/relationships/hyperlink" Target="http://www.sec.gov/Archives/edgar/data/1655759/000119312518273347/d564688dex1016.htm" TargetMode="External"/><Relationship Id="rId227" Type="http://schemas.openxmlformats.org/officeDocument/2006/relationships/hyperlink" Target="http://www.sec.gov/Archives/edgar/data/1655759/000119312518273347/d564688dex1017.htm" TargetMode="External"/><Relationship Id="rId228" Type="http://schemas.openxmlformats.org/officeDocument/2006/relationships/hyperlink" Target="https://www.sec.gov/Archives/edgar/data/0001655759/000156459020011004/arvn-ex1024_312.htm" TargetMode="External"/><Relationship Id="rId229" Type="http://schemas.openxmlformats.org/officeDocument/2006/relationships/hyperlink" Target="https://www.sec.gov/Archives/edgar/data/1655759/000165575922000016/pfizerarvinasamendmentno2r.htm" TargetMode="External"/><Relationship Id="rId230" Type="http://schemas.openxmlformats.org/officeDocument/2006/relationships/hyperlink" Target="https://www.sec.gov/Archives/edgar/data/1655759/000165575923000010/arvinaspfizzeramendmentno3.htm" TargetMode="External"/><Relationship Id="rId231" Type="http://schemas.openxmlformats.org/officeDocument/2006/relationships/hyperlink" Target="http://www.sec.gov/Archives/edgar/data/1655759/000156459019028501/arvn-ex103_145.htm" TargetMode="External"/><Relationship Id="rId233" Type="http://schemas.openxmlformats.org/officeDocument/2006/relationships/hyperlink" Target="https://www.sec.gov/Archives/edgar/data/1655759/000165575923000079/bayer_arvinasxamendmentx.htm" TargetMode="External"/><Relationship Id="rId234" Type="http://schemas.openxmlformats.org/officeDocument/2006/relationships/hyperlink" Target="https://www.sec.gov/Archives/edgar/data/1655759/000165575923000010/exhibit1034arvinasbayeroer.htm" TargetMode="External"/><Relationship Id="rId235" Type="http://schemas.openxmlformats.org/officeDocument/2006/relationships/hyperlink" Target="https://www.sec.gov/Archives/edgar/data/0001655759/000119312521221390/d160222dex101.htm" TargetMode="External"/><Relationship Id="rId236" Type="http://schemas.openxmlformats.org/officeDocument/2006/relationships/hyperlink" Target="https://www.sec.gov/Archives/edgar/data/1655759/000165575922000027/arvinasfmicdxagreementre.htm" TargetMode="External"/><Relationship Id="rId237" Type="http://schemas.openxmlformats.org/officeDocument/2006/relationships/hyperlink" Target="http://www.sec.gov/Archives/edgar/data/1655759/000156459019028501/arvn-ex105_115.htm" TargetMode="External"/><Relationship Id="rId238" Type="http://schemas.openxmlformats.org/officeDocument/2006/relationships/hyperlink" Target="http://www.sec.gov/Archives/edgar/data/1655759/000156459019028501/arvn-ex106_114.htm" TargetMode="External"/><Relationship Id="rId239" Type="http://schemas.openxmlformats.org/officeDocument/2006/relationships/hyperlink" Target="https://www.sec.gov/Archives/edgar/data/0001655759/000119312521221390/d160222dex102.htm" TargetMode="External"/><Relationship Id="rId240" Type="http://schemas.openxmlformats.org/officeDocument/2006/relationships/hyperlink" Target="https://www.sec.gov/Archives/edgar/data/0001655759/000119312521221390/d160222dex103.htm" TargetMode="External"/><Relationship Id="rId241" Type="http://schemas.openxmlformats.org/officeDocument/2006/relationships/hyperlink" Target="https://www.sec.gov/Archives/edgar/data/1655759/000119312523272580/d555260dex12.htm" TargetMode="External"/><Relationship Id="rId242" Type="http://schemas.openxmlformats.org/officeDocument/2006/relationships/hyperlink" Target="https://www.sec.gov/Archives/edgar/data/1655759/000119312523282934/d906900dex101.htm" TargetMode="External"/><Relationship Id="rId243" Type="http://schemas.openxmlformats.org/officeDocument/2006/relationships/hyperlink" Target="https://www.sec.gov/Archives/edgar/data/1655759/000165575924000118/exhibit104-novartisxarvi.htm" TargetMode="External"/><Relationship Id="rId244" Type="http://schemas.openxmlformats.org/officeDocument/2006/relationships/hyperlink" Target="https://www.sec.gov/Archives/edgar/data/1655759/000165575924000118/exhibit105-novartisxarvi.htm" TargetMode="External"/><Relationship Id="rId247" Type="http://schemas.openxmlformats.org/officeDocument/2006/relationships/hyperlink" Target="https://www.sec.gov/Archives/edgar/data/1655759/000165575924000018/arvinas-exchangexcompliant.htm" TargetMode="External"/><Relationship Id="rId248" Type="http://schemas.openxmlformats.org/officeDocument/2006/relationships/hyperlink" Target="https://www.sec.gov/Archives/edgar/data/1655759/000156459021009857/arvn-ex991_7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2025-02-11T16:24:44Z</dcterms:created>
  <dcterms:modified xsi:type="dcterms:W3CDTF">2025-02-11T16:24:44Z</dcterms:modified>
</cp:coreProperties>
</file>